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Common Implementation Pitfalls</w:t>
      </w:r>
    </w:p>
    <w:p>
      <w:pPr>
        <w:pStyle w:val="Heading2"/>
      </w:pPr>
      <w:r>
        <w:t xml:space="preserve">Document Information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tcPr>
          <w:p>
            <w:r>
              <w:t xml:space="preserve">Field</w:t>
            </w:r>
          </w:p>
        </w:tc>
        <w:tc>
          <w:tcPr>
            <w:tcW w:type="dxa" w:w="504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tcPr>
          <w:p>
            <w:r>
              <w:t xml:space="preserve">Value</w:t>
            </w:r>
          </w:p>
        </w:tc>
      </w:tr>
      <w:tr>
        <w:trPr>
          <w:tblHeader w:val="false"/>
        </w:trPr>
        <w:tc>
          <w:tcPr>
            <w:tcW w:type="dxa" w:w="5040"/>
            <w:tcBorders>
              <w:top w:val="single" w:color="BFBFBF" w:sz="2"/>
              <w:left w:val="single" w:color="BFBFBF" w:sz="2"/>
              <w:bottom w:val="single" w:color="BFBFBF" w:sz="2"/>
              <w:right w:val="single" w:color="BFBFBF" w:sz="2"/>
            </w:tcBorders>
            <w:tcMar>
              <w:top w:type="dxa" w:w="80"/>
              <w:left w:type="dxa" w:w="120"/>
              <w:bottom w:type="dxa" w:w="80"/>
              <w:right w:type="dxa" w:w="120"/>
            </w:tcMar>
          </w:tcPr>
          <w:p>
            <w:r>
              <w:t xml:space="preserve">Document Title</w:t>
            </w:r>
          </w:p>
        </w:tc>
        <w:tc>
          <w:tcPr>
            <w:tcW w:type="dxa" w:w="5040"/>
            <w:tcBorders>
              <w:top w:val="single" w:color="BFBFBF" w:sz="2"/>
              <w:left w:val="single" w:color="BFBFBF" w:sz="2"/>
              <w:bottom w:val="single" w:color="BFBFBF" w:sz="2"/>
              <w:right w:val="single" w:color="BFBFBF" w:sz="2"/>
            </w:tcBorders>
            <w:tcMar>
              <w:top w:type="dxa" w:w="80"/>
              <w:left w:type="dxa" w:w="120"/>
              <w:bottom w:type="dxa" w:w="80"/>
              <w:right w:type="dxa" w:w="120"/>
            </w:tcMar>
          </w:tcPr>
          <w:p>
            <w:r>
              <w:t xml:space="preserve">Data Governance Implementation — Common Pitfalls</w:t>
            </w:r>
          </w:p>
        </w:tc>
      </w:tr>
      <w:tr>
        <w:trPr>
          <w:tblHeader w:val="false"/>
        </w:trPr>
        <w:tc>
          <w:tcPr>
            <w:tcW w:type="dxa" w:w="5040"/>
            <w:tcBorders>
              <w:top w:val="single" w:color="BFBFBF" w:sz="2"/>
              <w:left w:val="single" w:color="BFBFBF" w:sz="2"/>
              <w:bottom w:val="single" w:color="BFBFBF" w:sz="2"/>
              <w:right w:val="single" w:color="BFBFBF" w:sz="2"/>
            </w:tcBorders>
            <w:tcMar>
              <w:top w:type="dxa" w:w="80"/>
              <w:left w:type="dxa" w:w="120"/>
              <w:bottom w:type="dxa" w:w="80"/>
              <w:right w:type="dxa" w:w="120"/>
            </w:tcMar>
          </w:tcPr>
          <w:p>
            <w:r>
              <w:t xml:space="preserve">Version</w:t>
            </w:r>
          </w:p>
        </w:tc>
        <w:tc>
          <w:tcPr>
            <w:tcW w:type="dxa" w:w="5040"/>
            <w:tcBorders>
              <w:top w:val="single" w:color="BFBFBF" w:sz="2"/>
              <w:left w:val="single" w:color="BFBFBF" w:sz="2"/>
              <w:bottom w:val="single" w:color="BFBFBF" w:sz="2"/>
              <w:right w:val="single" w:color="BFBFBF" w:sz="2"/>
            </w:tcBorders>
            <w:tcMar>
              <w:top w:type="dxa" w:w="80"/>
              <w:left w:type="dxa" w:w="120"/>
              <w:bottom w:type="dxa" w:w="80"/>
              <w:right w:type="dxa" w:w="120"/>
            </w:tcMar>
          </w:tcPr>
          <w:p>
            <w:r>
              <w:t xml:space="preserve">1.0</w:t>
            </w:r>
          </w:p>
        </w:tc>
      </w:tr>
      <w:tr>
        <w:trPr>
          <w:tblHeader w:val="false"/>
        </w:trPr>
        <w:tc>
          <w:tcPr>
            <w:tcW w:type="dxa" w:w="5040"/>
            <w:tcBorders>
              <w:top w:val="single" w:color="BFBFBF" w:sz="2"/>
              <w:left w:val="single" w:color="BFBFBF" w:sz="2"/>
              <w:bottom w:val="single" w:color="BFBFBF" w:sz="2"/>
              <w:right w:val="single" w:color="BFBFBF" w:sz="2"/>
            </w:tcBorders>
            <w:tcMar>
              <w:top w:type="dxa" w:w="80"/>
              <w:left w:type="dxa" w:w="120"/>
              <w:bottom w:type="dxa" w:w="80"/>
              <w:right w:type="dxa" w:w="120"/>
            </w:tcMar>
          </w:tcPr>
          <w:p>
            <w:r>
              <w:t xml:space="preserve">Effective Date</w:t>
            </w:r>
          </w:p>
        </w:tc>
        <w:tc>
          <w:tcPr>
            <w:tcW w:type="dxa" w:w="5040"/>
            <w:tcBorders>
              <w:top w:val="single" w:color="BFBFBF" w:sz="2"/>
              <w:left w:val="single" w:color="BFBFBF" w:sz="2"/>
              <w:bottom w:val="single" w:color="BFBFBF" w:sz="2"/>
              <w:right w:val="single" w:color="BFBFBF" w:sz="2"/>
            </w:tcBorders>
            <w:tcMar>
              <w:top w:type="dxa" w:w="80"/>
              <w:left w:type="dxa" w:w="120"/>
              <w:bottom w:type="dxa" w:w="80"/>
              <w:right w:type="dxa" w:w="120"/>
            </w:tcMar>
          </w:tcPr>
          <w:p>
            <w:r>
              <w:t xml:space="preserve">[Insert Date]</w:t>
            </w:r>
          </w:p>
        </w:tc>
      </w:tr>
      <w:tr>
        <w:trPr>
          <w:tblHeader w:val="false"/>
        </w:trPr>
        <w:tc>
          <w:tcPr>
            <w:tcW w:type="dxa" w:w="5040"/>
            <w:tcBorders>
              <w:top w:val="single" w:color="BFBFBF" w:sz="2"/>
              <w:left w:val="single" w:color="BFBFBF" w:sz="2"/>
              <w:bottom w:val="single" w:color="BFBFBF" w:sz="2"/>
              <w:right w:val="single" w:color="BFBFBF" w:sz="2"/>
            </w:tcBorders>
            <w:tcMar>
              <w:top w:type="dxa" w:w="80"/>
              <w:left w:type="dxa" w:w="120"/>
              <w:bottom w:type="dxa" w:w="80"/>
              <w:right w:type="dxa" w:w="120"/>
            </w:tcMar>
          </w:tcPr>
          <w:p>
            <w:r>
              <w:t xml:space="preserve">Review Date</w:t>
            </w:r>
          </w:p>
        </w:tc>
        <w:tc>
          <w:tcPr>
            <w:tcW w:type="dxa" w:w="5040"/>
            <w:tcBorders>
              <w:top w:val="single" w:color="BFBFBF" w:sz="2"/>
              <w:left w:val="single" w:color="BFBFBF" w:sz="2"/>
              <w:bottom w:val="single" w:color="BFBFBF" w:sz="2"/>
              <w:right w:val="single" w:color="BFBFBF" w:sz="2"/>
            </w:tcBorders>
            <w:tcMar>
              <w:top w:type="dxa" w:w="80"/>
              <w:left w:type="dxa" w:w="120"/>
              <w:bottom w:type="dxa" w:w="80"/>
              <w:right w:type="dxa" w:w="120"/>
            </w:tcMar>
          </w:tcPr>
          <w:p>
            <w:r>
              <w:t xml:space="preserve">[Insert Date - Recommend Annual]</w:t>
            </w:r>
          </w:p>
        </w:tc>
      </w:tr>
      <w:tr>
        <w:trPr>
          <w:tblHeader w:val="false"/>
        </w:trPr>
        <w:tc>
          <w:tcPr>
            <w:tcW w:type="dxa" w:w="5040"/>
            <w:tcBorders>
              <w:top w:val="single" w:color="BFBFBF" w:sz="2"/>
              <w:left w:val="single" w:color="BFBFBF" w:sz="2"/>
              <w:bottom w:val="single" w:color="BFBFBF" w:sz="2"/>
              <w:right w:val="single" w:color="BFBFBF" w:sz="2"/>
            </w:tcBorders>
            <w:tcMar>
              <w:top w:type="dxa" w:w="80"/>
              <w:left w:type="dxa" w:w="120"/>
              <w:bottom w:type="dxa" w:w="80"/>
              <w:right w:type="dxa" w:w="120"/>
            </w:tcMar>
          </w:tcPr>
          <w:p>
            <w:r>
              <w:t xml:space="preserve">Owner</w:t>
            </w:r>
          </w:p>
        </w:tc>
        <w:tc>
          <w:tcPr>
            <w:tcW w:type="dxa" w:w="5040"/>
            <w:tcBorders>
              <w:top w:val="single" w:color="BFBFBF" w:sz="2"/>
              <w:left w:val="single" w:color="BFBFBF" w:sz="2"/>
              <w:bottom w:val="single" w:color="BFBFBF" w:sz="2"/>
              <w:right w:val="single" w:color="BFBFBF" w:sz="2"/>
            </w:tcBorders>
            <w:tcMar>
              <w:top w:type="dxa" w:w="80"/>
              <w:left w:type="dxa" w:w="120"/>
              <w:bottom w:type="dxa" w:w="80"/>
              <w:right w:type="dxa" w:w="120"/>
            </w:tcMar>
          </w:tcPr>
          <w:p>
            <w:r>
              <w:t xml:space="preserve">[Data Governance Office]</w:t>
            </w:r>
          </w:p>
        </w:tc>
      </w:tr>
      <w:tr>
        <w:trPr>
          <w:tblHeader w:val="false"/>
        </w:trPr>
        <w:tc>
          <w:tcPr>
            <w:tcW w:type="dxa" w:w="5040"/>
            <w:tcBorders>
              <w:top w:val="single" w:color="BFBFBF" w:sz="2"/>
              <w:left w:val="single" w:color="BFBFBF" w:sz="2"/>
              <w:bottom w:val="single" w:color="BFBFBF" w:sz="2"/>
              <w:right w:val="single" w:color="BFBFBF" w:sz="2"/>
            </w:tcBorders>
            <w:tcMar>
              <w:top w:type="dxa" w:w="80"/>
              <w:left w:type="dxa" w:w="120"/>
              <w:bottom w:type="dxa" w:w="80"/>
              <w:right w:type="dxa" w:w="120"/>
            </w:tcMar>
          </w:tcPr>
          <w:p>
            <w:r>
              <w:t xml:space="preserve">Approved By</w:t>
            </w:r>
          </w:p>
        </w:tc>
        <w:tc>
          <w:tcPr>
            <w:tcW w:type="dxa" w:w="5040"/>
            <w:tcBorders>
              <w:top w:val="single" w:color="BFBFBF" w:sz="2"/>
              <w:left w:val="single" w:color="BFBFBF" w:sz="2"/>
              <w:bottom w:val="single" w:color="BFBFBF" w:sz="2"/>
              <w:right w:val="single" w:color="BFBFBF" w:sz="2"/>
            </w:tcBorders>
            <w:tcMar>
              <w:top w:type="dxa" w:w="80"/>
              <w:left w:type="dxa" w:w="120"/>
              <w:bottom w:type="dxa" w:w="80"/>
              <w:right w:type="dxa" w:w="120"/>
            </w:tcMar>
          </w:tcPr>
          <w:p>
            <w:r>
              <w:t xml:space="preserve">[Chief Data Officer]</w:t>
            </w:r>
          </w:p>
        </w:tc>
      </w:tr>
      <w:tr>
        <w:trPr>
          <w:tblHeader w:val="false"/>
        </w:trPr>
        <w:tc>
          <w:tcPr>
            <w:tcW w:type="dxa" w:w="5040"/>
            <w:tcBorders>
              <w:top w:val="single" w:color="BFBFBF" w:sz="2"/>
              <w:left w:val="single" w:color="BFBFBF" w:sz="2"/>
              <w:bottom w:val="single" w:color="BFBFBF" w:sz="2"/>
              <w:right w:val="single" w:color="BFBFBF" w:sz="2"/>
            </w:tcBorders>
            <w:tcMar>
              <w:top w:type="dxa" w:w="80"/>
              <w:left w:type="dxa" w:w="120"/>
              <w:bottom w:type="dxa" w:w="80"/>
              <w:right w:type="dxa" w:w="120"/>
            </w:tcMar>
          </w:tcPr>
          <w:p>
            <w:r>
              <w:t xml:space="preserve">Classification</w:t>
            </w:r>
          </w:p>
        </w:tc>
        <w:tc>
          <w:tcPr>
            <w:tcW w:type="dxa" w:w="5040"/>
            <w:tcBorders>
              <w:top w:val="single" w:color="BFBFBF" w:sz="2"/>
              <w:left w:val="single" w:color="BFBFBF" w:sz="2"/>
              <w:bottom w:val="single" w:color="BFBFBF" w:sz="2"/>
              <w:right w:val="single" w:color="BFBFBF" w:sz="2"/>
            </w:tcBorders>
            <w:tcMar>
              <w:top w:type="dxa" w:w="80"/>
              <w:left w:type="dxa" w:w="120"/>
              <w:bottom w:type="dxa" w:w="80"/>
              <w:right w:type="dxa" w:w="120"/>
            </w:tcMar>
          </w:tcPr>
          <w:p>
            <w:r>
              <w:t xml:space="preserve">Internal Use</w:t>
            </w:r>
          </w:p>
        </w:tc>
      </w:tr>
    </w:tbl>
    <w:p>
      <w:pPr>
        <w:spacing w:after="120"/>
      </w:pPr>
    </w:p>
    <w:p>
      <w:pPr>
        <w:pBdr>
          <w:bottom w:val="single" w:color="2E75B6" w:sz="6" w:space="4"/>
        </w:pBdr>
        <w:spacing w:after="200"/>
      </w:pPr>
    </w:p>
    <w:p>
      <w:pPr>
        <w:pStyle w:val="Heading2"/>
      </w:pPr>
      <w:r>
        <w:t xml:space="preserve">Purpose</w:t>
      </w:r>
    </w:p>
    <w:p>
      <w:pPr>
        <w:spacing w:after="160"/>
      </w:pPr>
      <w:r>
        <w:t xml:space="preserve">This document compiles the most common pitfalls organizations encounter when implementing data governance programs, drawn from the Industry Examples in this section and broader implementation experience. Use it during program planning to proactively avoid these traps.</w:t>
      </w:r>
    </w:p>
    <w:p>
      <w:pPr>
        <w:pBdr>
          <w:bottom w:val="single" w:color="2E75B6" w:sz="6" w:space="4"/>
        </w:pBdr>
        <w:spacing w:after="200"/>
      </w:pPr>
    </w:p>
    <w:p>
      <w:pPr>
        <w:pStyle w:val="Heading2"/>
      </w:pPr>
      <w:r>
        <w:t xml:space="preserve">1. Strategic and Organizational Pitfalls</w:t>
      </w:r>
    </w:p>
    <w:p>
      <w:pPr>
        <w:pStyle w:val="Heading3"/>
      </w:pPr>
      <w:r>
        <w:t xml:space="preserve">1.1 Treating Governance as an IT-Only Initiative</w:t>
      </w:r>
    </w:p>
    <w:p>
      <w:pPr>
        <w:spacing w:after="160"/>
      </w:pPr>
      <w:r>
        <w:rPr>
          <w:b/>
          <w:bCs/>
        </w:rPr>
        <w:t xml:space="preserve">The pitfall:</w:t>
      </w:r>
      <w:r>
        <w:t xml:space="preserve"> Positioning data governance as a technology project rather than a business capability leads to weak business engagement and stalled adoption.</w:t>
      </w:r>
    </w:p>
    <w:p>
      <w:pPr>
        <w:spacing w:after="160"/>
      </w:pPr>
      <w:r>
        <w:rPr>
          <w:b/>
          <w:bCs/>
        </w:rPr>
        <w:t xml:space="preserve">Avoid it by:</w:t>
      </w:r>
      <w:r>
        <w:t xml:space="preserve"> Securing business co-sponsorship (not just IT) from day one, as seen in the Healthcare and Retail case studies.</w:t>
      </w:r>
    </w:p>
    <w:p>
      <w:pPr>
        <w:pStyle w:val="Heading3"/>
      </w:pPr>
      <w:r>
        <w:t xml:space="preserve">1.2 Boiling the Ocean</w:t>
      </w:r>
    </w:p>
    <w:p>
      <w:pPr>
        <w:spacing w:after="160"/>
      </w:pPr>
      <w:r>
        <w:rPr>
          <w:b/>
          <w:bCs/>
        </w:rPr>
        <w:t xml:space="preserve">The pitfall:</w:t>
      </w:r>
      <w:r>
        <w:t xml:space="preserve"> Attempting to govern all data domains simultaneously overwhelms resources and delays any visible value.</w:t>
      </w:r>
    </w:p>
    <w:p>
      <w:pPr>
        <w:spacing w:after="160"/>
      </w:pPr>
      <w:r>
        <w:rPr>
          <w:b/>
          <w:bCs/>
        </w:rPr>
        <w:t xml:space="preserve">Avoid it by:</w:t>
      </w:r>
      <w:r>
        <w:t xml:space="preserve"> Selecting one high-visibility, high-pain pilot domain (see Section 2.2 of each Industry Example) and proving value before expanding.</w:t>
      </w:r>
    </w:p>
    <w:p>
      <w:pPr>
        <w:pStyle w:val="Heading3"/>
      </w:pPr>
      <w:r>
        <w:t xml:space="preserve">1.3 Underestimating Change Management</w:t>
      </w:r>
    </w:p>
    <w:p>
      <w:pPr>
        <w:spacing w:after="160"/>
      </w:pPr>
      <w:r>
        <w:rPr>
          <w:b/>
          <w:bCs/>
        </w:rPr>
        <w:t xml:space="preserve">The pitfall:</w:t>
      </w:r>
      <w:r>
        <w:t xml:space="preserve"> Treating governance as a policy/technology rollout without a dedicated change management effort results in low adoption regardless of how well the program is designed.</w:t>
      </w:r>
    </w:p>
    <w:p>
      <w:pPr>
        <w:spacing w:after="160"/>
      </w:pPr>
      <w:r>
        <w:rPr>
          <w:b/>
          <w:bCs/>
        </w:rPr>
        <w:t xml:space="preserve">Avoid it by:</w:t>
      </w:r>
      <w:r>
        <w:t xml:space="preserve"> Investing in the Change Management Toolkit's ADKAR-based approach from the start, not as an afterthought.</w:t>
      </w:r>
    </w:p>
    <w:p>
      <w:pPr>
        <w:pBdr>
          <w:bottom w:val="single" w:color="2E75B6" w:sz="6" w:space="4"/>
        </w:pBdr>
        <w:spacing w:after="200"/>
      </w:pPr>
    </w:p>
    <w:p>
      <w:pPr>
        <w:pStyle w:val="Heading2"/>
      </w:pPr>
      <w:r>
        <w:t xml:space="preserve">2. Governance Design Pitfalls</w:t>
      </w:r>
    </w:p>
    <w:p>
      <w:pPr>
        <w:pStyle w:val="Heading3"/>
      </w:pPr>
      <w:r>
        <w:t xml:space="preserve">2.1 Overly Complex Policies</w:t>
      </w:r>
    </w:p>
    <w:p>
      <w:pPr>
        <w:spacing w:after="160"/>
      </w:pPr>
      <w:r>
        <w:rPr>
          <w:b/>
          <w:bCs/>
        </w:rPr>
        <w:t xml:space="preserve">The pitfall:</w:t>
      </w:r>
      <w:r>
        <w:t xml:space="preserve"> Policies written for theoretical completeness rather than practical usability are ignored by the people meant to follow them.</w:t>
      </w:r>
    </w:p>
    <w:p>
      <w:pPr>
        <w:spacing w:after="160"/>
      </w:pPr>
      <w:r>
        <w:rPr>
          <w:b/>
          <w:bCs/>
        </w:rPr>
        <w:t xml:space="preserve">Avoid it by:</w:t>
      </w:r>
      <w:r>
        <w:t xml:space="preserve"> Pilot-testing policies with actual data stewards before formal rollout and simplifying based on feedback.</w:t>
      </w:r>
    </w:p>
    <w:p>
      <w:pPr>
        <w:pStyle w:val="Heading3"/>
      </w:pPr>
      <w:r>
        <w:t xml:space="preserve">2.2 Undefined or Overlapping Accountability</w:t>
      </w:r>
    </w:p>
    <w:p>
      <w:pPr>
        <w:spacing w:after="160"/>
      </w:pPr>
      <w:r>
        <w:rPr>
          <w:b/>
          <w:bCs/>
        </w:rPr>
        <w:t xml:space="preserve">The pitfall:</w:t>
      </w:r>
      <w:r>
        <w:t xml:space="preserve"> Without clear RACI-style accountability, data issues fall into gaps between teams and never get resolved.</w:t>
      </w:r>
    </w:p>
    <w:p>
      <w:pPr>
        <w:spacing w:after="160"/>
      </w:pPr>
      <w:r>
        <w:rPr>
          <w:b/>
          <w:bCs/>
        </w:rPr>
        <w:t xml:space="preserve">Avoid it by:</w:t>
      </w:r>
      <w:r>
        <w:t xml:space="preserve"> Using the RACI Matrix Templates and Authority Matrix patterns from the Governance Charter consistently across all domains.</w:t>
      </w:r>
    </w:p>
    <w:p>
      <w:pPr>
        <w:pStyle w:val="Heading3"/>
      </w:pPr>
      <w:r>
        <w:t xml:space="preserve">2.3 No Formal Escalation Path</w:t>
      </w:r>
    </w:p>
    <w:p>
      <w:pPr>
        <w:spacing w:after="160"/>
      </w:pPr>
      <w:r>
        <w:rPr>
          <w:b/>
          <w:bCs/>
        </w:rPr>
        <w:t xml:space="preserve">The pitfall:</w:t>
      </w:r>
      <w:r>
        <w:t xml:space="preserve"> Issues stall indefinitely when there's no clear mechanism to escalate unresolved or cross-domain problems.</w:t>
      </w:r>
    </w:p>
    <w:p>
      <w:pPr>
        <w:spacing w:after="160"/>
      </w:pPr>
      <w:r>
        <w:rPr>
          <w:b/>
          <w:bCs/>
        </w:rPr>
        <w:t xml:space="preserve">Avoid it by:</w:t>
      </w:r>
      <w:r>
        <w:t xml:space="preserve"> Implementing the Escalation Procedures and Data Issue Resolution Process before go-live, not after the first major incident.</w:t>
      </w:r>
    </w:p>
    <w:p>
      <w:pPr>
        <w:pBdr>
          <w:bottom w:val="single" w:color="2E75B6" w:sz="6" w:space="4"/>
        </w:pBdr>
        <w:spacing w:after="200"/>
      </w:pPr>
    </w:p>
    <w:p>
      <w:pPr>
        <w:pStyle w:val="Heading2"/>
      </w:pPr>
      <w:r>
        <w:t xml:space="preserve">3. Technical Pitfalls</w:t>
      </w:r>
    </w:p>
    <w:p>
      <w:pPr>
        <w:pStyle w:val="Heading3"/>
      </w:pPr>
      <w:r>
        <w:t xml:space="preserve">3.1 Cataloging Without Governance</w:t>
      </w:r>
    </w:p>
    <w:p>
      <w:pPr>
        <w:spacing w:after="160"/>
      </w:pPr>
      <w:r>
        <w:rPr>
          <w:b/>
          <w:bCs/>
        </w:rPr>
        <w:t xml:space="preserve">The pitfall:</w:t>
      </w:r>
      <w:r>
        <w:t xml:space="preserve"> Deploying a data catalog tool without the underlying governance processes results in a catalog full of unverified, stale metadata.</w:t>
      </w:r>
    </w:p>
    <w:p>
      <w:pPr>
        <w:spacing w:after="160"/>
      </w:pPr>
      <w:r>
        <w:rPr>
          <w:b/>
          <w:bCs/>
        </w:rPr>
        <w:t xml:space="preserve">Avoid it by:</w:t>
      </w:r>
      <w:r>
        <w:t xml:space="preserve"> Pairing every catalog rollout with the Metadata Management Procedures and active steward review cycles.</w:t>
      </w:r>
    </w:p>
    <w:p>
      <w:pPr>
        <w:pStyle w:val="Heading3"/>
      </w:pPr>
      <w:r>
        <w:t xml:space="preserve">3.2 Assuming a Single Clean Identifier Exists</w:t>
      </w:r>
    </w:p>
    <w:p>
      <w:pPr>
        <w:spacing w:after="160"/>
      </w:pPr>
      <w:r>
        <w:rPr>
          <w:b/>
          <w:bCs/>
        </w:rPr>
        <w:t xml:space="preserve">The pitfall:</w:t>
      </w:r>
      <w:r>
        <w:t xml:space="preserve"> Identity resolution projects (customer, patient, product) often assume a clean key exists across systems when it doesn't.</w:t>
      </w:r>
    </w:p>
    <w:p>
      <w:pPr>
        <w:spacing w:after="160"/>
      </w:pPr>
      <w:r>
        <w:rPr>
          <w:b/>
          <w:bCs/>
        </w:rPr>
        <w:t xml:space="preserve">Avoid it by:</w:t>
      </w:r>
      <w:r>
        <w:t xml:space="preserve"> Planning for multi-attribute matching from the start, as seen in the Retail case study.</w:t>
      </w:r>
    </w:p>
    <w:p>
      <w:pPr>
        <w:pStyle w:val="Heading3"/>
      </w:pPr>
      <w:r>
        <w:t xml:space="preserve">3.3 Ignoring Legacy and Shadow Systems</w:t>
      </w:r>
    </w:p>
    <w:p>
      <w:pPr>
        <w:spacing w:after="160"/>
      </w:pPr>
      <w:r>
        <w:rPr>
          <w:b/>
          <w:bCs/>
        </w:rPr>
        <w:t xml:space="preserve">The pitfall:</w:t>
      </w:r>
      <w:r>
        <w:t xml:space="preserve"> Departmental spreadsheets, legacy systems, and "shadow IT" data sources are often excluded from governance scope, leaving significant blind spots.</w:t>
      </w:r>
    </w:p>
    <w:p>
      <w:pPr>
        <w:spacing w:after="160"/>
      </w:pPr>
      <w:r>
        <w:rPr>
          <w:b/>
          <w:bCs/>
        </w:rPr>
        <w:t xml:space="preserve">Avoid it by:</w:t>
      </w:r>
      <w:r>
        <w:t xml:space="preserve"> Including a discovery phase to identify shadow systems, and developing lightweight onboarding paths for them.</w:t>
      </w:r>
    </w:p>
    <w:p>
      <w:pPr>
        <w:pBdr>
          <w:bottom w:val="single" w:color="2E75B6" w:sz="6" w:space="4"/>
        </w:pBdr>
        <w:spacing w:after="200"/>
      </w:pPr>
    </w:p>
    <w:p>
      <w:pPr>
        <w:pStyle w:val="Heading2"/>
      </w:pPr>
      <w:r>
        <w:t xml:space="preserve">4. Measurement and Sustainability Pitfalls</w:t>
      </w:r>
    </w:p>
    <w:p>
      <w:pPr>
        <w:pStyle w:val="Heading3"/>
      </w:pPr>
      <w:r>
        <w:t xml:space="preserve">4.1 No Baseline Metrics</w:t>
      </w:r>
    </w:p>
    <w:p>
      <w:pPr>
        <w:spacing w:after="160"/>
      </w:pPr>
      <w:r>
        <w:rPr>
          <w:b/>
          <w:bCs/>
        </w:rPr>
        <w:t xml:space="preserve">The pitfall:</w:t>
      </w:r>
      <w:r>
        <w:t xml:space="preserve"> Without a "before" baseline, it's impossible to demonstrate program value later.</w:t>
      </w:r>
    </w:p>
    <w:p>
      <w:pPr>
        <w:spacing w:after="160"/>
      </w:pPr>
      <w:r>
        <w:rPr>
          <w:b/>
          <w:bCs/>
        </w:rPr>
        <w:t xml:space="preserve">Avoid it by:</w:t>
      </w:r>
      <w:r>
        <w:t xml:space="preserve"> Running the Current State Assessment and capturing baseline KPIs before any implementation work begins.</w:t>
      </w:r>
    </w:p>
    <w:p>
      <w:pPr>
        <w:pStyle w:val="Heading3"/>
      </w:pPr>
      <w:r>
        <w:t xml:space="preserve">4.2 Governance as a One-Time Project</w:t>
      </w:r>
    </w:p>
    <w:p>
      <w:pPr>
        <w:spacing w:after="160"/>
      </w:pPr>
      <w:r>
        <w:rPr>
          <w:b/>
          <w:bCs/>
        </w:rPr>
        <w:t xml:space="preserve">The pitfall:</w:t>
      </w:r>
      <w:r>
        <w:t xml:space="preserve"> Treating governance as a project with an end date rather than an ongoing operating capability causes a regression once the project team disbands.</w:t>
      </w:r>
    </w:p>
    <w:p>
      <w:pPr>
        <w:spacing w:after="160"/>
      </w:pPr>
      <w:r>
        <w:rPr>
          <w:b/>
          <w:bCs/>
        </w:rPr>
        <w:t xml:space="preserve">Avoid it by:</w:t>
      </w:r>
      <w:r>
        <w:t xml:space="preserve"> Building a formal transition-to-operations plan (see Project Charter Template, Phase 5: Stabilization) with sustained ownership.</w:t>
      </w:r>
    </w:p>
    <w:p>
      <w:pPr>
        <w:pStyle w:val="Heading3"/>
      </w:pPr>
      <w:r>
        <w:t xml:space="preserve">4.3 Metrics That Don't Connect to Business Value</w:t>
      </w:r>
    </w:p>
    <w:p>
      <w:pPr>
        <w:spacing w:after="160"/>
      </w:pPr>
      <w:r>
        <w:rPr>
          <w:b/>
          <w:bCs/>
        </w:rPr>
        <w:t xml:space="preserve">The pitfall:</w:t>
      </w:r>
      <w:r>
        <w:t xml:space="preserve"> Reporting only technical metrics (e.g., "% metadata complete") fails to sustain executive support.</w:t>
      </w:r>
    </w:p>
    <w:p>
      <w:pPr>
        <w:spacing w:after="160"/>
      </w:pPr>
      <w:r>
        <w:rPr>
          <w:b/>
          <w:bCs/>
        </w:rPr>
        <w:t xml:space="preserve">Avoid it by:</w:t>
      </w:r>
      <w:r>
        <w:t xml:space="preserve"> Pairing technical metrics with business outcomes (cost savings, time savings, risk reduction) in every governance report.</w:t>
      </w:r>
    </w:p>
    <w:p>
      <w:pPr>
        <w:pBdr>
          <w:bottom w:val="single" w:color="2E75B6" w:sz="6" w:space="4"/>
        </w:pBdr>
        <w:spacing w:after="200"/>
      </w:pPr>
    </w:p>
    <w:p>
      <w:pPr>
        <w:pStyle w:val="Heading2"/>
      </w:pPr>
      <w:r>
        <w:t xml:space="preserve">5. Quick Self-Assessment</w:t>
      </w:r>
    </w:p>
    <w:p>
      <w:pPr>
        <w:spacing w:after="160"/>
      </w:pPr>
      <w:r>
        <w:t xml:space="preserve">Before launching or expanding your program, confirm:</w:t>
      </w:r>
    </w:p>
    <w:p>
      <w:pPr>
        <w:pStyle w:val="ListParagraph"/>
        <w:numPr>
          <w:ilvl w:val="0"/>
          <w:numId w:val="2"/>
        </w:numPr>
      </w:pPr>
      <w:r>
        <w:t xml:space="preserve">[ ] Business co-sponsorship secured (not IT-only)</w:t>
      </w:r>
    </w:p>
    <w:p>
      <w:pPr>
        <w:pStyle w:val="ListParagraph"/>
        <w:numPr>
          <w:ilvl w:val="0"/>
          <w:numId w:val="2"/>
        </w:numPr>
      </w:pPr>
      <w:r>
        <w:t xml:space="preserve">[ ] A single, high-value pilot domain selected</w:t>
      </w:r>
    </w:p>
    <w:p>
      <w:pPr>
        <w:pStyle w:val="ListParagraph"/>
        <w:numPr>
          <w:ilvl w:val="0"/>
          <w:numId w:val="2"/>
        </w:numPr>
      </w:pPr>
      <w:r>
        <w:t xml:space="preserve">[ ] Change management plan in place alongside the technical plan</w:t>
      </w:r>
    </w:p>
    <w:p>
      <w:pPr>
        <w:pStyle w:val="ListParagraph"/>
        <w:numPr>
          <w:ilvl w:val="0"/>
          <w:numId w:val="2"/>
        </w:numPr>
      </w:pPr>
      <w:r>
        <w:t xml:space="preserve">[ ] Clear accountability (RACI) defined for every domain in scope</w:t>
      </w:r>
    </w:p>
    <w:p>
      <w:pPr>
        <w:pStyle w:val="ListParagraph"/>
        <w:numPr>
          <w:ilvl w:val="0"/>
          <w:numId w:val="2"/>
        </w:numPr>
      </w:pPr>
      <w:r>
        <w:t xml:space="preserve">[ ] Escalation path tested before go-live</w:t>
      </w:r>
    </w:p>
    <w:p>
      <w:pPr>
        <w:pStyle w:val="ListParagraph"/>
        <w:numPr>
          <w:ilvl w:val="0"/>
          <w:numId w:val="2"/>
        </w:numPr>
      </w:pPr>
      <w:r>
        <w:t xml:space="preserve">[ ] Baseline metrics captured before implementation begins</w:t>
      </w:r>
    </w:p>
    <w:p>
      <w:pPr>
        <w:pStyle w:val="ListParagraph"/>
        <w:numPr>
          <w:ilvl w:val="0"/>
          <w:numId w:val="2"/>
        </w:numPr>
      </w:pPr>
      <w:r>
        <w:t xml:space="preserve">[ ] Transition-to-operations plan defined for post-project sustainability</w:t>
      </w:r>
    </w:p>
    <w:p>
      <w:pPr>
        <w:pBdr>
          <w:bottom w:val="single" w:color="2E75B6" w:sz="6" w:space="4"/>
        </w:pBdr>
        <w:spacing w:after="200"/>
      </w:pPr>
    </w:p>
    <w:p>
      <w:pPr>
        <w:spacing w:after="160"/>
      </w:pPr>
      <w:r>
        <w:rPr>
          <w:b/>
          <w:bCs/>
        </w:rPr>
        <w:t xml:space="preserve">Document Control:</w:t>
      </w:r>
    </w:p>
    <w:p>
      <w:pPr>
        <w:pStyle w:val="ListParagraph"/>
        <w:numPr>
          <w:ilvl w:val="0"/>
          <w:numId w:val="2"/>
        </w:numPr>
      </w:pPr>
      <w:r>
        <w:t xml:space="preserve">This is a template document requiring customization for specific organizational needs</w:t>
      </w:r>
    </w:p>
    <w:p>
      <w:pPr>
        <w:pStyle w:val="ListParagraph"/>
        <w:numPr>
          <w:ilvl w:val="0"/>
          <w:numId w:val="2"/>
        </w:numPr>
      </w:pPr>
      <w:r>
        <w:t xml:space="preserve">Update periodically as new lessons are captured through Post-Implementation Reviews</w:t>
      </w:r>
    </w:p>
    <w:p>
      <w:pPr>
        <w:pStyle w:val="ListParagraph"/>
        <w:numPr>
          <w:ilvl w:val="0"/>
          <w:numId w:val="2"/>
        </w:numPr>
      </w:pPr>
      <w:r>
        <w:t xml:space="preserve">Pair with Success Factor Analysis for a complementary positive-pattern view</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808080"/>
        <w:sz w:val="16"/>
        <w:szCs w:val="16"/>
      </w:rPr>
      <w:t xml:space="preserve">Common Implementation Pitfalls</w:t>
    </w:r>
    <w:r>
      <w:rPr>
        <w:color w:val="808080"/>
        <w:sz w:val="16"/>
        <w:szCs w:val="16"/>
      </w:rPr>
      <w:t xml:space="preserve">	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Data Governance Framework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000000"/>
      <w:sz w:val="32"/>
      <w:szCs w:val="32"/>
    </w:rPr>
  </w:style>
  <w:style w:type="paragraph" w:styleId="Heading2">
    <w:name w:val="Heading 2"/>
    <w:basedOn w:val="Normal"/>
    <w:next w:val="Normal"/>
    <w:qFormat/>
    <w:pPr>
      <w:spacing w:after="160" w:before="260"/>
      <w:outlineLvl w:val="1"/>
    </w:pPr>
    <w:rPr>
      <w:rFonts w:ascii="Arial" w:cs="Arial" w:eastAsia="Arial" w:hAnsi="Arial"/>
      <w:b/>
      <w:bCs/>
      <w:color w:val="000000"/>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000000"/>
      <w:sz w:val="23"/>
      <w:szCs w:val="23"/>
    </w:rPr>
  </w:style>
  <w:style w:type="paragraph" w:styleId="Heading4">
    <w:name w:val="Heading 4"/>
    <w:basedOn w:val="Normal"/>
    <w:next w:val="Normal"/>
    <w:qFormat/>
    <w:pPr>
      <w:spacing w:after="100" w:before="160"/>
      <w:outlineLvl w:val="3"/>
    </w:pPr>
    <w:rPr>
      <w:rFonts w:ascii="Arial" w:cs="Arial" w:eastAsia="Arial" w:hAnsi="Arial"/>
      <w:b/>
      <w:bCs/>
      <w:i/>
      <w:i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2026-06-30T20:49:30.897Z</dcterms:created>
  <dcterms:modified xsi:type="dcterms:W3CDTF">2026-06-30T20:49:30.897Z</dcterms:modified>
</cp:coreProperties>
</file>

<file path=docProps/custom.xml><?xml version="1.0" encoding="utf-8"?>
<Properties xmlns="http://schemas.openxmlformats.org/officeDocument/2006/custom-properties" xmlns:vt="http://schemas.openxmlformats.org/officeDocument/2006/docPropsVTypes"/>
</file>