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Success Factor Analysis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Implementation — Success Factor Analysis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analyzes the common success factors observed across the Industry Examples in this section, distilling what consistently differentiated high-performing data governance implementations from struggling ones.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Cross-Industry Success Pattern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Factor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Services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Healthcare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Manufacturing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Retail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(non-IT) co-sponsorship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CMIO + CPO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 + VP Supply Chain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CMO + CIO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High-visibility pilot domain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master data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master data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Materials master data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360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 tied to existing reporting cadence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committee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Compliance/quality committee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review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Marketing/merchandising review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quantifiable win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Reconciliation time -87%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rate -81%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discrepancies -73%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profile rate -80%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Factor 1: Executive Sponsorship Aligned to Business Pain</w:t>
      </w:r>
    </w:p>
    <w:p>
      <w:pPr>
        <w:spacing w:after="160"/>
      </w:pPr>
      <w:r>
        <w:t xml:space="preserve">Across all four case studies, the most successful programs were sponsored by executives whose function felt the pain most acutely — not generic "data leadership."</w:t>
      </w:r>
    </w:p>
    <w:p>
      <w:pPr>
        <w:spacing w:after="160"/>
      </w:pPr>
      <w:r>
        <w:rPr>
          <w:b/>
          <w:bCs/>
        </w:rPr>
        <w:t xml:space="preserve">Why it matters:</w:t>
      </w:r>
      <w:r>
        <w:t xml:space="preserve"> Sponsorship aligned to a felt business pain (regulatory risk, patient safety, operational cost, marketing ROI) translates into faster decision-making, budget protection, and credibility with frontline teams.</w:t>
      </w:r>
    </w:p>
    <w:p>
      <w:pPr>
        <w:spacing w:after="160"/>
      </w:pPr>
      <w:r>
        <w:rPr>
          <w:b/>
          <w:bCs/>
        </w:rPr>
        <w:t xml:space="preserve">How to apply it:</w:t>
      </w:r>
      <w:r>
        <w:t xml:space="preserve"> When identifying your Executive Sponsor (see Data Governance Charter), choose based on who owns the business outcome the pilot domain will improve — not simply who is "interested in data."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Factor 2: A Single, Well-Chosen Pilot Domain</w:t>
      </w:r>
    </w:p>
    <w:p>
      <w:pPr>
        <w:spacing w:after="160"/>
      </w:pPr>
      <w:r>
        <w:t xml:space="preserve">Every successful case study began with one domain, not an enterprise-wide rollout. The domain was chosen for being both highly visible and genuinely painful to the business.</w:t>
      </w:r>
    </w:p>
    <w:p>
      <w:pPr>
        <w:spacing w:after="160"/>
      </w:pPr>
      <w:r>
        <w:rPr>
          <w:b/>
          <w:bCs/>
        </w:rPr>
        <w:t xml:space="preserve">Why it matters:</w:t>
      </w:r>
      <w:r>
        <w:t xml:space="preserve"> A focused pilot delivers a believable, demonstrable win in a manageable timeframe (4-8 months), building the credibility needed for expansion.</w:t>
      </w:r>
    </w:p>
    <w:p>
      <w:pPr>
        <w:spacing w:after="160"/>
      </w:pPr>
      <w:r>
        <w:rPr>
          <w:b/>
          <w:bCs/>
        </w:rPr>
        <w:t xml:space="preserve">How to apply it:</w:t>
      </w:r>
      <w:r>
        <w:t xml:space="preserve"> Use the Current State Assessment and Stakeholder Analysis Template to identify the domain with the highest combination of pain and visibility — not necessarily the easiest to govern technically.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Factor 3: Embedding Metrics into Existing Governance Forums</w:t>
      </w:r>
    </w:p>
    <w:p>
      <w:pPr>
        <w:spacing w:after="160"/>
      </w:pPr>
      <w:r>
        <w:t xml:space="preserve">Rather than creating new reporting structures, successful programs inserted governance metrics into forums that already had executive attention (risk committees, quality committees, operations reviews).</w:t>
      </w:r>
    </w:p>
    <w:p>
      <w:pPr>
        <w:spacing w:after="160"/>
      </w:pPr>
      <w:r>
        <w:rPr>
          <w:b/>
          <w:bCs/>
        </w:rPr>
        <w:t xml:space="preserve">Why it matters:</w:t>
      </w:r>
      <w:r>
        <w:t xml:space="preserve"> This avoids "reporting fatigue" and ensures governance progress is seen by the people who already have decision-making authority and influence.</w:t>
      </w:r>
    </w:p>
    <w:p>
      <w:pPr>
        <w:spacing w:after="160"/>
      </w:pPr>
      <w:r>
        <w:rPr>
          <w:b/>
          <w:bCs/>
        </w:rPr>
        <w:t xml:space="preserve">How to apply it:</w:t>
      </w:r>
      <w:r>
        <w:t xml:space="preserve"> Map your existing executive forums (steering committees, business reviews, risk/compliance meetings) and identify where governance metrics can be added rather than creating a new standalone meeting.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Factor 4: Pairing Policy With Automation</w:t>
      </w:r>
    </w:p>
    <w:p>
      <w:pPr>
        <w:spacing w:after="160"/>
      </w:pPr>
      <w:r>
        <w:t xml:space="preserve">In every case study, the technical capability (quality rules, identity resolution, lineage tracking) was implemented alongside — not after — the policy. Policies without automated enforcement were consistently identified as a weak point.</w:t>
      </w:r>
    </w:p>
    <w:p>
      <w:pPr>
        <w:spacing w:after="160"/>
      </w:pPr>
      <w:r>
        <w:rPr>
          <w:b/>
          <w:bCs/>
        </w:rPr>
        <w:t xml:space="preserve">Why it matters:</w:t>
      </w:r>
      <w:r>
        <w:t xml:space="preserve"> Manual-only governance does not scale and tends to degrade once initial enthusiasm fades.</w:t>
      </w:r>
    </w:p>
    <w:p>
      <w:pPr>
        <w:spacing w:after="160"/>
      </w:pPr>
      <w:r>
        <w:rPr>
          <w:b/>
          <w:bCs/>
        </w:rPr>
        <w:t xml:space="preserve">How to apply it:</w:t>
      </w:r>
      <w:r>
        <w:t xml:space="preserve"> For every new policy or standard, define at least one corresponding automated check using the Data Quality Rules Library or catalog scanning tools before considering the policy "implemented."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Factor 5: Designing for Sustainability From Day One</w:t>
      </w:r>
    </w:p>
    <w:p>
      <w:pPr>
        <w:spacing w:after="160"/>
      </w:pPr>
      <w:r>
        <w:t xml:space="preserve">Programs that explicitly planned the transition from "project" to "operating capability" (dedicated steward time, ongoing governance forums, recurring training) sustained their gains. Those that treated governance as a finite project saw quality metrics regress within 6-12 months of project closure.</w:t>
      </w:r>
    </w:p>
    <w:p>
      <w:pPr>
        <w:spacing w:after="160"/>
      </w:pPr>
      <w:r>
        <w:rPr>
          <w:b/>
          <w:bCs/>
        </w:rPr>
        <w:t xml:space="preserve">How to apply it:</w:t>
      </w:r>
      <w:r>
        <w:t xml:space="preserve"> Build the Phase 5: Stabilization activities from the Project Charter Template into your plan from the start, including a named owner for post-project operations.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Success Factor Checklist</w:t>
      </w:r>
    </w:p>
    <w:p>
      <w:pPr>
        <w:pStyle w:val="ListParagraph"/>
        <w:numPr>
          <w:ilvl w:val="0"/>
          <w:numId w:val="2"/>
        </w:numPr>
      </w:pPr>
      <w:r>
        <w:t xml:space="preserve">[ ] Executive sponsor selected based on felt business pain, not generic interest</w:t>
      </w:r>
    </w:p>
    <w:p>
      <w:pPr>
        <w:pStyle w:val="ListParagraph"/>
        <w:numPr>
          <w:ilvl w:val="0"/>
          <w:numId w:val="2"/>
        </w:numPr>
      </w:pPr>
      <w:r>
        <w:t xml:space="preserve">[ ] Pilot domain selected using objective pain/visibility criteria</w:t>
      </w:r>
    </w:p>
    <w:p>
      <w:pPr>
        <w:pStyle w:val="ListParagraph"/>
        <w:numPr>
          <w:ilvl w:val="0"/>
          <w:numId w:val="2"/>
        </w:numPr>
      </w:pPr>
      <w:r>
        <w:t xml:space="preserve">[ ] Governance metrics embedded into an existing executive forum</w:t>
      </w:r>
    </w:p>
    <w:p>
      <w:pPr>
        <w:pStyle w:val="ListParagraph"/>
        <w:numPr>
          <w:ilvl w:val="0"/>
          <w:numId w:val="2"/>
        </w:numPr>
      </w:pPr>
      <w:r>
        <w:t xml:space="preserve">[ ] Every new policy paired with at least one automated quality rule</w:t>
      </w:r>
    </w:p>
    <w:p>
      <w:pPr>
        <w:pStyle w:val="ListParagraph"/>
        <w:numPr>
          <w:ilvl w:val="0"/>
          <w:numId w:val="2"/>
        </w:numPr>
      </w:pPr>
      <w:r>
        <w:t xml:space="preserve">[ ] Sustainability/operating model defined before project close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Update as new success patterns are captured through Post-Implementation Reviews</w:t>
      </w:r>
    </w:p>
    <w:p>
      <w:pPr>
        <w:pStyle w:val="ListParagraph"/>
        <w:numPr>
          <w:ilvl w:val="0"/>
          <w:numId w:val="2"/>
        </w:numPr>
      </w:pPr>
      <w:r>
        <w:t xml:space="preserve">Pair with Common Implementation Pitfalls for a complementary risk-avoidance view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Success Factor Analysis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2026-06-30T20:49:32.537Z</dcterms:created>
  <dcterms:modified xsi:type="dcterms:W3CDTF">2026-06-30T20:49:32.537Z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