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CCPA Implementation Guide</w:t>
      </w:r>
    </w:p>
    <w:p>
      <w:pPr>
        <w:pStyle w:val="Heading2"/>
      </w:pPr>
      <w:r>
        <w:t xml:space="preserve">Document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Field</w:t>
            </w:r>
          </w:p>
        </w:tc>
        <w:tc>
          <w:tcPr>
            <w:tcW w:type="dxa" w:w="504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Value</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Document Title</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[Organization Name] CCPA/CPRA Implementation Guide</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Version</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1.0</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Effective Date</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[Insert Date]</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Review Date</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[Insert Date - Recommend Annual]</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Owner</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[Data Privacy Officer]</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Approved By</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[Legal Counsel / Chief Data Officer]</w:t>
            </w:r>
          </w:p>
        </w:tc>
      </w:tr>
      <w:tr>
        <w:trPr>
          <w:tblHeader w:val="false"/>
        </w:trPr>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Classification</w:t>
            </w:r>
          </w:p>
        </w:tc>
        <w:tc>
          <w:tcPr>
            <w:tcW w:type="dxa" w:w="504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Internal Use</w:t>
            </w:r>
          </w:p>
        </w:tc>
      </w:tr>
    </w:tbl>
    <w:p>
      <w:pPr>
        <w:spacing w:after="120"/>
      </w:pPr>
    </w:p>
    <w:p>
      <w:pPr>
        <w:pBdr>
          <w:left w:val="single" w:color="BFBFBF" w:sz="12" w:space="8"/>
        </w:pBdr>
        <w:spacing w:after="160"/>
        <w:ind w:left="360"/>
      </w:pPr>
      <w:r>
        <w:rPr>
          <w:b/>
          <w:bCs/>
        </w:rPr>
        <w:t xml:space="preserve">Important:</w:t>
      </w:r>
      <w:r>
        <w:t xml:space="preserve"> This guide is a governance planning aid, not legal advice. Consult qualified legal counsel to confirm CCPA/CPRA obligations applicable to your organization.</w:t>
      </w:r>
    </w:p>
    <w:p>
      <w:pPr>
        <w:pBdr>
          <w:bottom w:val="single" w:color="2E75B6" w:sz="6" w:space="4"/>
        </w:pBdr>
        <w:spacing w:after="200"/>
      </w:pPr>
    </w:p>
    <w:p>
      <w:pPr>
        <w:pStyle w:val="Heading2"/>
      </w:pPr>
      <w:r>
        <w:t xml:space="preserve">Executive Summary</w:t>
      </w:r>
    </w:p>
    <w:p>
      <w:pPr>
        <w:spacing w:after="160"/>
      </w:pPr>
      <w:r>
        <w:t xml:space="preserve">This guide helps [Organization Name] operationalize compliance with the California Consumer Privacy Act (CCPA), as amended by the California Privacy Rights Act (CPRA), through the data governance program's existing structures (data catalog, classification scheme, and stewardship model).</w:t>
      </w:r>
    </w:p>
    <w:p>
      <w:pPr>
        <w:pBdr>
          <w:bottom w:val="single" w:color="2E75B6" w:sz="6" w:space="4"/>
        </w:pBdr>
        <w:spacing w:after="200"/>
      </w:pPr>
    </w:p>
    <w:p>
      <w:pPr>
        <w:pStyle w:val="Heading2"/>
      </w:pPr>
      <w:r>
        <w:t xml:space="preserve">1. Applicability Assessment</w:t>
      </w:r>
    </w:p>
    <w:p>
      <w:pPr>
        <w:pStyle w:val="ListParagraph"/>
        <w:numPr>
          <w:ilvl w:val="0"/>
          <w:numId w:val="2"/>
        </w:numPr>
      </w:pPr>
      <w:r>
        <w:t xml:space="preserve">[ ] Confirmed whether [Organization Name] meets CCPA/CPRA applicability thresholds (revenue, data volume, or revenue-from-sale/sharing of personal information)</w:t>
      </w:r>
    </w:p>
    <w:p>
      <w:pPr>
        <w:pStyle w:val="ListParagraph"/>
        <w:numPr>
          <w:ilvl w:val="0"/>
          <w:numId w:val="2"/>
        </w:numPr>
      </w:pPr>
      <w:r>
        <w:t xml:space="preserve">[ ] Identified all California consumer/employee/business contact personal information processed</w:t>
      </w:r>
    </w:p>
    <w:p>
      <w:pPr>
        <w:pStyle w:val="ListParagraph"/>
        <w:numPr>
          <w:ilvl w:val="0"/>
          <w:numId w:val="2"/>
        </w:numPr>
      </w:pPr>
      <w:r>
        <w:t xml:space="preserve">[ ] Determined whether the organization "sells" or "shares" personal information as defined by CPRA</w:t>
      </w:r>
    </w:p>
    <w:p>
      <w:pPr>
        <w:pBdr>
          <w:bottom w:val="single" w:color="2E75B6" w:sz="6" w:space="4"/>
        </w:pBdr>
        <w:spacing w:after="200"/>
      </w:pPr>
    </w:p>
    <w:p>
      <w:pPr>
        <w:pStyle w:val="Heading2"/>
      </w:pPr>
      <w:r>
        <w:t xml:space="preserve">2. Notice and Transparency Requirements</w:t>
      </w:r>
    </w:p>
    <w:p>
      <w:pPr>
        <w:pStyle w:val="ListParagraph"/>
        <w:numPr>
          <w:ilvl w:val="0"/>
          <w:numId w:val="2"/>
        </w:numPr>
      </w:pPr>
      <w:r>
        <w:t xml:space="preserve">[ ] Privacy Policy includes all CCPA/CPRA-required disclosures (categories collected, purposes, retention, third-party sharing)</w:t>
      </w:r>
    </w:p>
    <w:p>
      <w:pPr>
        <w:pStyle w:val="ListParagraph"/>
        <w:numPr>
          <w:ilvl w:val="0"/>
          <w:numId w:val="2"/>
        </w:numPr>
      </w:pPr>
      <w:r>
        <w:t xml:space="preserve">[ ] "Notice at Collection" provided at or before the point of collection</w:t>
      </w:r>
    </w:p>
    <w:p>
      <w:pPr>
        <w:pStyle w:val="ListParagraph"/>
        <w:numPr>
          <w:ilvl w:val="0"/>
          <w:numId w:val="2"/>
        </w:numPr>
      </w:pPr>
      <w:r>
        <w:t xml:space="preserve">[ ] "Do Not Sell or Share My Personal Information" link implemented (if applicable)</w:t>
      </w:r>
    </w:p>
    <w:p>
      <w:pPr>
        <w:pStyle w:val="ListParagraph"/>
        <w:numPr>
          <w:ilvl w:val="0"/>
          <w:numId w:val="2"/>
        </w:numPr>
      </w:pPr>
      <w:r>
        <w:t xml:space="preserve">[ ] Notice of Right to Limit Use of Sensitive Personal Information implemented (if applicable)</w:t>
      </w:r>
    </w:p>
    <w:p>
      <w:pPr>
        <w:pBdr>
          <w:bottom w:val="single" w:color="2E75B6" w:sz="6" w:space="4"/>
        </w:pBdr>
        <w:spacing w:after="200"/>
      </w:pPr>
    </w:p>
    <w:p>
      <w:pPr>
        <w:pStyle w:val="Heading2"/>
      </w:pPr>
      <w:r>
        <w:t xml:space="preserve">3. Consumer Rights Implementation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Right</w:t>
            </w:r>
          </w:p>
        </w:tc>
        <w:tc>
          <w:tcPr>
            <w:tcW w:type="dxa" w:w="25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Implemented?</w:t>
            </w:r>
          </w:p>
        </w:tc>
        <w:tc>
          <w:tcPr>
            <w:tcW w:type="dxa" w:w="25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Process Owner</w:t>
            </w:r>
          </w:p>
        </w:tc>
        <w:tc>
          <w:tcPr>
            <w:tcW w:type="dxa" w:w="25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Notes</w:t>
            </w:r>
          </w:p>
        </w:tc>
      </w:tr>
      <w:tr>
        <w:trPr>
          <w:tblHeader w:val="false"/>
        </w:trPr>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Right to Know / Access</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 ]</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[Owner]</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
            </w:r>
          </w:p>
        </w:tc>
      </w:tr>
      <w:tr>
        <w:trPr>
          <w:tblHeader w:val="false"/>
        </w:trPr>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Right to Delete</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 ]</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[Owner]</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
            </w:r>
          </w:p>
        </w:tc>
      </w:tr>
      <w:tr>
        <w:trPr>
          <w:tblHeader w:val="false"/>
        </w:trPr>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Right to Correct</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 ]</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[Owner]</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
            </w:r>
          </w:p>
        </w:tc>
      </w:tr>
      <w:tr>
        <w:trPr>
          <w:tblHeader w:val="false"/>
        </w:trPr>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Right to Opt-Out of Sale/Sharing</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 ]</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[Owner]</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
            </w:r>
          </w:p>
        </w:tc>
      </w:tr>
      <w:tr>
        <w:trPr>
          <w:tblHeader w:val="false"/>
        </w:trPr>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Right to Limit Use of Sensitive PI</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 ]</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[Owner]</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
            </w:r>
          </w:p>
        </w:tc>
      </w:tr>
      <w:tr>
        <w:trPr>
          <w:tblHeader w:val="false"/>
        </w:trPr>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Right to Non-Discrimination</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 ]</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[Owner]</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
            </w:r>
          </w:p>
        </w:tc>
      </w:tr>
      <w:tr>
        <w:trPr>
          <w:tblHeader w:val="false"/>
        </w:trPr>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Right to Data Portability</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 ]</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[Owner]</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
            </w:r>
          </w:p>
        </w:tc>
      </w:tr>
    </w:tbl>
    <w:p>
      <w:pPr>
        <w:spacing w:after="120"/>
      </w:pPr>
    </w:p>
    <w:p>
      <w:pPr>
        <w:spacing w:after="160"/>
      </w:pPr>
      <w:r>
        <w:t xml:space="preserve">All consumer rights requests must be verifiable, free of charge (within statutory limits), and fulfilled within 45 calendar days (extendable by 45 additional days with notice). See Data Subject Request Procedures for the operational workflow shared with GDPR rights handling.</w:t>
      </w:r>
    </w:p>
    <w:p>
      <w:pPr>
        <w:pBdr>
          <w:bottom w:val="single" w:color="2E75B6" w:sz="6" w:space="4"/>
        </w:pBdr>
        <w:spacing w:after="200"/>
      </w:pPr>
    </w:p>
    <w:p>
      <w:pPr>
        <w:pStyle w:val="Heading2"/>
      </w:pPr>
      <w:r>
        <w:t xml:space="preserve">4. Data Mapping and Classification</w:t>
      </w:r>
    </w:p>
    <w:p>
      <w:pPr>
        <w:pStyle w:val="ListParagraph"/>
        <w:numPr>
          <w:ilvl w:val="0"/>
          <w:numId w:val="2"/>
        </w:numPr>
      </w:pPr>
      <w:r>
        <w:t xml:space="preserve">[ ] Personal information categories mapped to the data catalog using the Data Classification Scheme</w:t>
      </w:r>
    </w:p>
    <w:p>
      <w:pPr>
        <w:pStyle w:val="ListParagraph"/>
        <w:numPr>
          <w:ilvl w:val="0"/>
          <w:numId w:val="2"/>
        </w:numPr>
      </w:pPr>
      <w:r>
        <w:t xml:space="preserve">[ ] Categories of sensitive personal information identified and flagged distinctly (e.g., SSN, precise geolocation, biometric data)</w:t>
      </w:r>
    </w:p>
    <w:p>
      <w:pPr>
        <w:pStyle w:val="ListParagraph"/>
        <w:numPr>
          <w:ilvl w:val="0"/>
          <w:numId w:val="2"/>
        </w:numPr>
      </w:pPr>
      <w:r>
        <w:t xml:space="preserve">[ ] Sale/sharing flows of personal information documented in the catalog's lineage records</w:t>
      </w:r>
    </w:p>
    <w:p>
      <w:pPr>
        <w:pStyle w:val="ListParagraph"/>
        <w:numPr>
          <w:ilvl w:val="0"/>
          <w:numId w:val="2"/>
        </w:numPr>
      </w:pPr>
      <w:r>
        <w:t xml:space="preserve">[ ] Retention schedules applied per the Data Retention Policy</w:t>
      </w:r>
    </w:p>
    <w:p>
      <w:pPr>
        <w:pBdr>
          <w:bottom w:val="single" w:color="2E75B6" w:sz="6" w:space="4"/>
        </w:pBdr>
        <w:spacing w:after="200"/>
      </w:pPr>
    </w:p>
    <w:p>
      <w:pPr>
        <w:pStyle w:val="Heading2"/>
      </w:pPr>
      <w:r>
        <w:t xml:space="preserve">5. Service Provider and Third-Party Management</w:t>
      </w:r>
    </w:p>
    <w:p>
      <w:pPr>
        <w:pStyle w:val="ListParagraph"/>
        <w:numPr>
          <w:ilvl w:val="0"/>
          <w:numId w:val="2"/>
        </w:numPr>
      </w:pPr>
      <w:r>
        <w:t xml:space="preserve">[ ] Contracts with service providers include CCPA/CPRA-required terms restricting use of personal information</w:t>
      </w:r>
    </w:p>
    <w:p>
      <w:pPr>
        <w:pStyle w:val="ListParagraph"/>
        <w:numPr>
          <w:ilvl w:val="0"/>
          <w:numId w:val="2"/>
        </w:numPr>
      </w:pPr>
      <w:r>
        <w:t xml:space="preserve">[ ] Contracts with "third parties" (as distinct from service providers) include required limitations</w:t>
      </w:r>
    </w:p>
    <w:p>
      <w:pPr>
        <w:pStyle w:val="ListParagraph"/>
        <w:numPr>
          <w:ilvl w:val="0"/>
          <w:numId w:val="2"/>
        </w:numPr>
      </w:pPr>
      <w:r>
        <w:t xml:space="preserve">[ ] Vendor due diligence process confirms CCPA/CPRA contractual terms before data sharing begins (see Vendor Due Diligence Checklist)</w:t>
      </w:r>
    </w:p>
    <w:p>
      <w:pPr>
        <w:pBdr>
          <w:bottom w:val="single" w:color="2E75B6" w:sz="6" w:space="4"/>
        </w:pBdr>
        <w:spacing w:after="200"/>
      </w:pPr>
    </w:p>
    <w:p>
      <w:pPr>
        <w:pStyle w:val="Heading2"/>
      </w:pPr>
      <w:r>
        <w:t xml:space="preserve">6. Employee and B2B Personal Information</w:t>
      </w:r>
    </w:p>
    <w:p>
      <w:pPr>
        <w:pStyle w:val="ListParagraph"/>
        <w:numPr>
          <w:ilvl w:val="0"/>
          <w:numId w:val="2"/>
        </w:numPr>
      </w:pPr>
      <w:r>
        <w:t xml:space="preserve">[ ] Confirmed whether employee and B2B contact personal information is in scope under current CPRA provisions</w:t>
      </w:r>
    </w:p>
    <w:p>
      <w:pPr>
        <w:pStyle w:val="ListParagraph"/>
        <w:numPr>
          <w:ilvl w:val="0"/>
          <w:numId w:val="2"/>
        </w:numPr>
      </w:pPr>
      <w:r>
        <w:t xml:space="preserve">[ ] Applicable rights processes extended to employee/B2B data where required</w:t>
      </w:r>
    </w:p>
    <w:p>
      <w:pPr>
        <w:pBdr>
          <w:bottom w:val="single" w:color="2E75B6" w:sz="6" w:space="4"/>
        </w:pBdr>
        <w:spacing w:after="200"/>
      </w:pPr>
    </w:p>
    <w:p>
      <w:pPr>
        <w:pStyle w:val="Heading2"/>
      </w:pPr>
      <w:r>
        <w:t xml:space="preserve">7. Operational Readiness</w:t>
      </w:r>
    </w:p>
    <w:p>
      <w:pPr>
        <w:pStyle w:val="ListParagraph"/>
        <w:numPr>
          <w:ilvl w:val="0"/>
          <w:numId w:val="2"/>
        </w:numPr>
      </w:pPr>
      <w:r>
        <w:t xml:space="preserve">[ ] Intake channel(s) established for consumer rights requests (web form, toll-free number, email)</w:t>
      </w:r>
    </w:p>
    <w:p>
      <w:pPr>
        <w:pStyle w:val="ListParagraph"/>
        <w:numPr>
          <w:ilvl w:val="0"/>
          <w:numId w:val="2"/>
        </w:numPr>
      </w:pPr>
      <w:r>
        <w:t xml:space="preserve">[ ] Identity verification procedure defined and documented</w:t>
      </w:r>
    </w:p>
    <w:p>
      <w:pPr>
        <w:pStyle w:val="ListParagraph"/>
        <w:numPr>
          <w:ilvl w:val="0"/>
          <w:numId w:val="2"/>
        </w:numPr>
      </w:pPr>
      <w:r>
        <w:t xml:space="preserve">[ ] Internal workflow defined to route requests to the correct data systems/stewards</w:t>
      </w:r>
    </w:p>
    <w:p>
      <w:pPr>
        <w:pStyle w:val="ListParagraph"/>
        <w:numPr>
          <w:ilvl w:val="0"/>
          <w:numId w:val="2"/>
        </w:numPr>
      </w:pPr>
      <w:r>
        <w:t xml:space="preserve">[ ] Request fulfillment and response logging implemented for audit purposes</w:t>
      </w:r>
    </w:p>
    <w:p>
      <w:pPr>
        <w:pStyle w:val="ListParagraph"/>
        <w:numPr>
          <w:ilvl w:val="0"/>
          <w:numId w:val="2"/>
        </w:numPr>
      </w:pPr>
      <w:r>
        <w:t xml:space="preserve">[ ] Staff trained on CCPA/CPRA request handling and non-retaliation requirements</w:t>
      </w:r>
    </w:p>
    <w:p>
      <w:pPr>
        <w:pBdr>
          <w:bottom w:val="single" w:color="2E75B6" w:sz="6" w:space="4"/>
        </w:pBdr>
        <w:spacing w:after="200"/>
      </w:pPr>
    </w:p>
    <w:p>
      <w:pPr>
        <w:pStyle w:val="Heading2"/>
      </w:pPr>
      <w:r>
        <w:t xml:space="preserve">8. Risk Assessments (CPRA)</w:t>
      </w:r>
    </w:p>
    <w:p>
      <w:pPr>
        <w:pStyle w:val="ListParagraph"/>
        <w:numPr>
          <w:ilvl w:val="0"/>
          <w:numId w:val="2"/>
        </w:numPr>
      </w:pPr>
      <w:r>
        <w:t xml:space="preserve">[ ] Cybersecurity audits conducted where required by CPRA risk-based thresholds</w:t>
      </w:r>
    </w:p>
    <w:p>
      <w:pPr>
        <w:pStyle w:val="ListParagraph"/>
        <w:numPr>
          <w:ilvl w:val="0"/>
          <w:numId w:val="2"/>
        </w:numPr>
      </w:pPr>
      <w:r>
        <w:t xml:space="preserve">[ ] Risk assessments conducted for processing that presents significant risk to consumer privacy</w:t>
      </w:r>
    </w:p>
    <w:p>
      <w:pPr>
        <w:pStyle w:val="ListParagraph"/>
        <w:numPr>
          <w:ilvl w:val="0"/>
          <w:numId w:val="2"/>
        </w:numPr>
      </w:pPr>
      <w:r>
        <w:t xml:space="preserve">[ ] Automated decision-making technology use evaluated against CPRA requirements</w:t>
      </w:r>
    </w:p>
    <w:p>
      <w:pPr>
        <w:pBdr>
          <w:bottom w:val="single" w:color="2E75B6" w:sz="6" w:space="4"/>
        </w:pBdr>
        <w:spacing w:after="200"/>
      </w:pPr>
    </w:p>
    <w:p>
      <w:pPr>
        <w:pStyle w:val="Heading2"/>
      </w:pPr>
      <w:r>
        <w:t xml:space="preserve">9. Governance and Reporting</w:t>
      </w:r>
    </w:p>
    <w:p>
      <w:pPr>
        <w:pStyle w:val="ListParagraph"/>
        <w:numPr>
          <w:ilvl w:val="0"/>
          <w:numId w:val="2"/>
        </w:numPr>
      </w:pPr>
      <w:r>
        <w:t xml:space="preserve">[ ] CCPA/CPRA compliance status reviewed quarterly by the Data Governance Council</w:t>
      </w:r>
    </w:p>
    <w:p>
      <w:pPr>
        <w:pStyle w:val="ListParagraph"/>
        <w:numPr>
          <w:ilvl w:val="0"/>
          <w:numId w:val="2"/>
        </w:numPr>
      </w:pPr>
      <w:r>
        <w:t xml:space="preserve">[ ] Metrics tracked: request volume, average fulfillment time, opt-out request volume</w:t>
      </w:r>
    </w:p>
    <w:p>
      <w:pPr>
        <w:pStyle w:val="ListParagraph"/>
        <w:numPr>
          <w:ilvl w:val="0"/>
          <w:numId w:val="2"/>
        </w:numPr>
      </w:pPr>
      <w:r>
        <w:t xml:space="preserve">[ ] Annual review of Privacy Policy and consumer rights processes against current CPRA regulations</w:t>
      </w:r>
    </w:p>
    <w:p>
      <w:pPr>
        <w:pBdr>
          <w:bottom w:val="single" w:color="2E75B6" w:sz="6" w:space="4"/>
        </w:pBdr>
        <w:spacing w:after="200"/>
      </w:pPr>
    </w:p>
    <w:p>
      <w:pPr>
        <w:pStyle w:val="Heading2"/>
      </w:pPr>
      <w:r>
        <w:t xml:space="preserve">10. Compliance Status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Area</w:t>
            </w:r>
          </w:p>
        </w:tc>
        <w:tc>
          <w:tcPr>
            <w:tcW w:type="dxa" w:w="25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Status (Compliant / Partial / Gap)</w:t>
            </w:r>
          </w:p>
        </w:tc>
        <w:tc>
          <w:tcPr>
            <w:tcW w:type="dxa" w:w="25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Owner</w:t>
            </w:r>
          </w:p>
        </w:tc>
        <w:tc>
          <w:tcPr>
            <w:tcW w:type="dxa" w:w="25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tcPr>
          <w:p>
            <w:r>
              <w:t xml:space="preserve">Target Date</w:t>
            </w:r>
          </w:p>
        </w:tc>
      </w:tr>
      <w:tr>
        <w:trPr>
          <w:tblHeader w:val="false"/>
        </w:trPr>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Notice &amp; Transparency</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[Status]</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[Owner]</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[Date]</w:t>
            </w:r>
          </w:p>
        </w:tc>
      </w:tr>
      <w:tr>
        <w:trPr>
          <w:tblHeader w:val="false"/>
        </w:trPr>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Consumer Rights</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[Status]</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[Owner]</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[Date]</w:t>
            </w:r>
          </w:p>
        </w:tc>
      </w:tr>
      <w:tr>
        <w:trPr>
          <w:tblHeader w:val="false"/>
        </w:trPr>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Data Mapping</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[Status]</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[Owner]</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[Date]</w:t>
            </w:r>
          </w:p>
        </w:tc>
      </w:tr>
      <w:tr>
        <w:trPr>
          <w:tblHeader w:val="false"/>
        </w:trPr>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Service Provider Contracts</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[Status]</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[Owner]</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[Date]</w:t>
            </w:r>
          </w:p>
        </w:tc>
      </w:tr>
      <w:tr>
        <w:trPr>
          <w:tblHeader w:val="false"/>
        </w:trPr>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Operational Readiness</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[Status]</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[Owner]</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[Date]</w:t>
            </w:r>
          </w:p>
        </w:tc>
      </w:tr>
      <w:tr>
        <w:trPr>
          <w:tblHeader w:val="false"/>
        </w:trPr>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Risk Assessments</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[Status]</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[Owner]</w:t>
            </w:r>
          </w:p>
        </w:tc>
        <w:tc>
          <w:tcPr>
            <w:tcW w:type="dxa" w:w="2520"/>
            <w:tcBorders>
              <w:top w:val="single" w:color="BFBFBF" w:sz="2"/>
              <w:left w:val="single" w:color="BFBFBF" w:sz="2"/>
              <w:bottom w:val="single" w:color="BFBFBF" w:sz="2"/>
              <w:right w:val="single" w:color="BFBFBF" w:sz="2"/>
            </w:tcBorders>
            <w:tcMar>
              <w:top w:type="dxa" w:w="80"/>
              <w:left w:type="dxa" w:w="120"/>
              <w:bottom w:type="dxa" w:w="80"/>
              <w:right w:type="dxa" w:w="120"/>
            </w:tcMar>
          </w:tcPr>
          <w:p>
            <w:r>
              <w:t xml:space="preserve">[Date]</w:t>
            </w:r>
          </w:p>
        </w:tc>
      </w:tr>
    </w:tbl>
    <w:p>
      <w:pPr>
        <w:spacing w:after="120"/>
      </w:pPr>
    </w:p>
    <w:p>
      <w:pPr>
        <w:pBdr>
          <w:bottom w:val="single" w:color="2E75B6" w:sz="6" w:space="4"/>
        </w:pBdr>
        <w:spacing w:after="200"/>
      </w:pPr>
    </w:p>
    <w:p>
      <w:pPr>
        <w:spacing w:after="160"/>
      </w:pPr>
      <w:r>
        <w:rPr>
          <w:b/>
          <w:bCs/>
        </w:rPr>
        <w:t xml:space="preserve">Document Control:</w:t>
      </w:r>
    </w:p>
    <w:p>
      <w:pPr>
        <w:pStyle w:val="ListParagraph"/>
        <w:numPr>
          <w:ilvl w:val="0"/>
          <w:numId w:val="2"/>
        </w:numPr>
      </w:pPr>
      <w:r>
        <w:t xml:space="preserve">This is a template document requiring customization and legal review for specific organizational needs</w:t>
      </w:r>
    </w:p>
    <w:p>
      <w:pPr>
        <w:pStyle w:val="ListParagraph"/>
        <w:numPr>
          <w:ilvl w:val="0"/>
          <w:numId w:val="2"/>
        </w:numPr>
      </w:pPr>
      <w:r>
        <w:t xml:space="preserve">Sections in [brackets] require organization-specific information</w:t>
      </w:r>
    </w:p>
    <w:p>
      <w:pPr>
        <w:pStyle w:val="ListParagraph"/>
        <w:numPr>
          <w:ilvl w:val="0"/>
          <w:numId w:val="2"/>
        </w:numPr>
      </w:pPr>
      <w:r>
        <w:t xml:space="preserve">Not a substitute for legal advice — engage qualified counsel for binding compliance determinations</w:t>
      </w:r>
    </w:p>
    <w:p>
      <w:pPr>
        <w:pStyle w:val="ListParagraph"/>
        <w:numPr>
          <w:ilvl w:val="0"/>
          <w:numId w:val="2"/>
        </w:numPr>
      </w:pPr>
      <w:r>
        <w:t xml:space="preserve">Regular updates required to maintain currency and effectiveness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CCPA Implementation Guide</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Data Governance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00000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00000"/>
      <w:sz w:val="23"/>
      <w:szCs w:val="23"/>
    </w:rPr>
  </w:style>
  <w:style w:type="paragraph" w:styleId="Heading4">
    <w:name w:val="Heading 4"/>
    <w:basedOn w:val="Normal"/>
    <w:next w:val="Normal"/>
    <w:qFormat/>
    <w:pPr>
      <w:spacing w:after="100" w:before="16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2026-06-30T20:53:31.550Z</dcterms:created>
  <dcterms:modified xsi:type="dcterms:W3CDTF">2026-06-30T20:53:31.550Z</dcterms:modified>
</cp:coreProperties>
</file>

<file path=docProps/custom.xml><?xml version="1.0" encoding="utf-8"?>
<Properties xmlns="http://schemas.openxmlformats.org/officeDocument/2006/custom-properties" xmlns:vt="http://schemas.openxmlformats.org/officeDocument/2006/docPropsVTypes"/>
</file>