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Processing Agreements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Data Processing Agreement (DPA) Template &amp; Guidance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[Legal Counsel / Data Privacy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[Legal Counsel]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left w:val="single" w:color="BFBFBF" w:sz="12" w:space="8"/>
        </w:pBdr>
        <w:spacing w:after="160"/>
        <w:ind w:left="360"/>
      </w:pPr>
      <w:r>
        <w:rPr>
          <w:b/>
          <w:bCs/>
        </w:rPr>
        <w:t xml:space="preserve">Important:</w:t>
      </w:r>
      <w:r>
        <w:t xml:space="preserve"> This document provides governance guidance and a structural template only. It is not legal advice and must not be used as a final contract without review by qualified legal counsel.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document explains when a Data Processing Agreement (DPA) is required, summarizes its standard components, and provides a structural template to accelerate legal drafting when [Organization Name] engages a vendor or partner that will process personal data on its behalf.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When a DPA Is Required</w:t>
      </w:r>
    </w:p>
    <w:p>
      <w:pPr>
        <w:spacing w:after="160"/>
      </w:pPr>
      <w:r>
        <w:t xml:space="preserve">A DPA is required whenever a third party (a "Processor" or "Service Provider") processes personal data on behalf of [Organization Name] (the "Controller"), including:</w:t>
      </w:r>
    </w:p>
    <w:p>
      <w:pPr>
        <w:pStyle w:val="ListParagraph"/>
        <w:numPr>
          <w:ilvl w:val="0"/>
          <w:numId w:val="2"/>
        </w:numPr>
      </w:pPr>
      <w:r>
        <w:t xml:space="preserve">Cloud hosting or SaaS providers storing personal data</w:t>
      </w:r>
    </w:p>
    <w:p>
      <w:pPr>
        <w:pStyle w:val="ListParagraph"/>
        <w:numPr>
          <w:ilvl w:val="0"/>
          <w:numId w:val="2"/>
        </w:numPr>
      </w:pPr>
      <w:r>
        <w:t xml:space="preserve">Marketing platforms processing customer data</w:t>
      </w:r>
    </w:p>
    <w:p>
      <w:pPr>
        <w:pStyle w:val="ListParagraph"/>
        <w:numPr>
          <w:ilvl w:val="0"/>
          <w:numId w:val="2"/>
        </w:numPr>
      </w:pPr>
      <w:r>
        <w:t xml:space="preserve">Analytics vendors processing usage or behavioral data</w:t>
      </w:r>
    </w:p>
    <w:p>
      <w:pPr>
        <w:pStyle w:val="ListParagraph"/>
        <w:numPr>
          <w:ilvl w:val="0"/>
          <w:numId w:val="2"/>
        </w:numPr>
      </w:pPr>
      <w:r>
        <w:t xml:space="preserve">Outsourced support functions (call centers, billing processors, etc.)</w:t>
      </w:r>
    </w:p>
    <w:p>
      <w:pPr>
        <w:pStyle w:val="ListParagraph"/>
        <w:numPr>
          <w:ilvl w:val="0"/>
          <w:numId w:val="2"/>
        </w:numPr>
      </w:pPr>
      <w:r>
        <w:t xml:space="preserve">Any vendor identified through the Vendor Due Diligence Checklist as handling personal data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Standard DPA Components</w:t>
      </w:r>
    </w:p>
    <w:p>
      <w:pPr>
        <w:pStyle w:val="Heading3"/>
      </w:pPr>
      <w:r>
        <w:t xml:space="preserve">2.1 Parties and Definitions</w:t>
      </w:r>
    </w:p>
    <w:p>
      <w:pPr>
        <w:spacing w:after="160"/>
      </w:pPr>
      <w:r>
        <w:t xml:space="preserve">Identifies the Controller and Processor, and defines key terms (Personal Data, Processing, Data Subject, Sub-processor) consistent with applicable law (GDPR, CCPA/CPRA, etc.).</w:t>
      </w:r>
    </w:p>
    <w:p>
      <w:pPr>
        <w:pStyle w:val="Heading3"/>
      </w:pPr>
      <w:r>
        <w:t xml:space="preserve">2.2 Subject Matter and Duration</w:t>
      </w:r>
    </w:p>
    <w:p>
      <w:pPr>
        <w:spacing w:after="160"/>
      </w:pPr>
      <w:r>
        <w:t xml:space="preserve">Describes the nature, purpose, and duration of processing, and the categories of personal data and data subjects involved.</w:t>
      </w:r>
    </w:p>
    <w:p>
      <w:pPr>
        <w:pStyle w:val="Heading3"/>
      </w:pPr>
      <w:r>
        <w:t xml:space="preserve">2.3 Processor Obligations</w:t>
      </w:r>
    </w:p>
    <w:p>
      <w:pPr>
        <w:pStyle w:val="ListParagraph"/>
        <w:numPr>
          <w:ilvl w:val="0"/>
          <w:numId w:val="2"/>
        </w:numPr>
      </w:pPr>
      <w:r>
        <w:t xml:space="preserve">Process personal data only on documented instructions from the Controller</w:t>
      </w:r>
    </w:p>
    <w:p>
      <w:pPr>
        <w:pStyle w:val="ListParagraph"/>
        <w:numPr>
          <w:ilvl w:val="0"/>
          <w:numId w:val="2"/>
        </w:numPr>
      </w:pPr>
      <w:r>
        <w:t xml:space="preserve">Ensure personnel are bound by confidentiality obligations</w:t>
      </w:r>
    </w:p>
    <w:p>
      <w:pPr>
        <w:pStyle w:val="ListParagraph"/>
        <w:numPr>
          <w:ilvl w:val="0"/>
          <w:numId w:val="2"/>
        </w:numPr>
      </w:pPr>
      <w:r>
        <w:t xml:space="preserve">Implement appropriate technical and organizational security measures</w:t>
      </w:r>
    </w:p>
    <w:p>
      <w:pPr>
        <w:pStyle w:val="ListParagraph"/>
        <w:numPr>
          <w:ilvl w:val="0"/>
          <w:numId w:val="2"/>
        </w:numPr>
      </w:pPr>
      <w:r>
        <w:t xml:space="preserve">Assist the Controller in responding to data subject rights requests</w:t>
      </w:r>
    </w:p>
    <w:p>
      <w:pPr>
        <w:pStyle w:val="ListParagraph"/>
        <w:numPr>
          <w:ilvl w:val="0"/>
          <w:numId w:val="2"/>
        </w:numPr>
      </w:pPr>
      <w:r>
        <w:t xml:space="preserve">Assist the Controller with breach notification obligations</w:t>
      </w:r>
    </w:p>
    <w:p>
      <w:pPr>
        <w:pStyle w:val="ListParagraph"/>
        <w:numPr>
          <w:ilvl w:val="0"/>
          <w:numId w:val="2"/>
        </w:numPr>
      </w:pPr>
      <w:r>
        <w:t xml:space="preserve">Delete or return personal data at the end of the engagement</w:t>
      </w:r>
    </w:p>
    <w:p>
      <w:pPr>
        <w:pStyle w:val="ListParagraph"/>
        <w:numPr>
          <w:ilvl w:val="0"/>
          <w:numId w:val="2"/>
        </w:numPr>
      </w:pPr>
      <w:r>
        <w:t xml:space="preserve">Make available information necessary to demonstrate compliance</w:t>
      </w:r>
    </w:p>
    <w:p>
      <w:pPr>
        <w:pStyle w:val="Heading3"/>
      </w:pPr>
      <w:r>
        <w:t xml:space="preserve">2.4 Sub-processing</w:t>
      </w:r>
    </w:p>
    <w:p>
      <w:pPr>
        <w:pStyle w:val="ListParagraph"/>
        <w:numPr>
          <w:ilvl w:val="0"/>
          <w:numId w:val="2"/>
        </w:numPr>
      </w:pPr>
      <w:r>
        <w:t xml:space="preserve">Defines whether general or specific authorization is required for engaging sub-processors</w:t>
      </w:r>
    </w:p>
    <w:p>
      <w:pPr>
        <w:pStyle w:val="ListParagraph"/>
        <w:numPr>
          <w:ilvl w:val="0"/>
          <w:numId w:val="2"/>
        </w:numPr>
      </w:pPr>
      <w:r>
        <w:t xml:space="preserve">Requires flow-down of equivalent data protection obligations to any sub-processor</w:t>
      </w:r>
    </w:p>
    <w:p>
      <w:pPr>
        <w:pStyle w:val="ListParagraph"/>
        <w:numPr>
          <w:ilvl w:val="0"/>
          <w:numId w:val="2"/>
        </w:numPr>
      </w:pPr>
      <w:r>
        <w:t xml:space="preserve">Defines notification process for new sub-processors</w:t>
      </w:r>
    </w:p>
    <w:p>
      <w:pPr>
        <w:pStyle w:val="Heading3"/>
      </w:pPr>
      <w:r>
        <w:t xml:space="preserve">2.5 International Transfers</w:t>
      </w:r>
    </w:p>
    <w:p>
      <w:pPr>
        <w:pStyle w:val="ListParagraph"/>
        <w:numPr>
          <w:ilvl w:val="0"/>
          <w:numId w:val="2"/>
        </w:numPr>
      </w:pPr>
      <w:r>
        <w:t xml:space="preserve">Specifies the transfer mechanism (Standard Contractual Clauses, adequacy decision, etc.) if personal data will be transferred internationally</w:t>
      </w:r>
    </w:p>
    <w:p>
      <w:pPr>
        <w:pStyle w:val="Heading3"/>
      </w:pPr>
      <w:r>
        <w:t xml:space="preserve">2.6 Security Measures</w:t>
      </w:r>
    </w:p>
    <w:p>
      <w:pPr>
        <w:pStyle w:val="ListParagraph"/>
        <w:numPr>
          <w:ilvl w:val="0"/>
          <w:numId w:val="2"/>
        </w:numPr>
      </w:pPr>
      <w:r>
        <w:t xml:space="preserve">References or incorporates the vendor's security commitments, ideally validated through the Vendor Due Diligence Checklist</w:t>
      </w:r>
    </w:p>
    <w:p>
      <w:pPr>
        <w:pStyle w:val="ListParagraph"/>
        <w:numPr>
          <w:ilvl w:val="0"/>
          <w:numId w:val="2"/>
        </w:numPr>
      </w:pPr>
      <w:r>
        <w:t xml:space="preserve">Specifies audit rights and breach notification timelines (recommend: notify Controller within 24-72 hours of becoming aware of a breach)</w:t>
      </w:r>
    </w:p>
    <w:p>
      <w:pPr>
        <w:pStyle w:val="Heading3"/>
      </w:pPr>
      <w:r>
        <w:t xml:space="preserve">2.7 Liability and Indemnification</w:t>
      </w:r>
    </w:p>
    <w:p>
      <w:pPr>
        <w:pStyle w:val="ListParagraph"/>
        <w:numPr>
          <w:ilvl w:val="0"/>
          <w:numId w:val="2"/>
        </w:numPr>
      </w:pPr>
      <w:r>
        <w:t xml:space="preserve">Allocates liability for non-compliance, typically drafted by Legal Counsel based on deal-specific risk</w:t>
      </w:r>
    </w:p>
    <w:p>
      <w:pPr>
        <w:pStyle w:val="Heading3"/>
      </w:pPr>
      <w:r>
        <w:t xml:space="preserve">2.8 Term and Termination</w:t>
      </w:r>
    </w:p>
    <w:p>
      <w:pPr>
        <w:pStyle w:val="ListParagraph"/>
        <w:numPr>
          <w:ilvl w:val="0"/>
          <w:numId w:val="2"/>
        </w:numPr>
      </w:pPr>
      <w:r>
        <w:t xml:space="preserve">Defines DPA duration (typically coterminous with the underlying commercial agreement)</w:t>
      </w:r>
    </w:p>
    <w:p>
      <w:pPr>
        <w:pStyle w:val="ListParagraph"/>
        <w:numPr>
          <w:ilvl w:val="0"/>
          <w:numId w:val="2"/>
        </w:numPr>
      </w:pPr>
      <w:r>
        <w:t xml:space="preserve">Defines data return/deletion obligations upon termination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DPA Intake Checklist</w:t>
      </w:r>
    </w:p>
    <w:p>
      <w:pPr>
        <w:spacing w:after="160"/>
      </w:pPr>
      <w:r>
        <w:t xml:space="preserve">Before routing a vendor agreement to Legal for DPA execution, confirm:</w:t>
      </w:r>
    </w:p>
    <w:p>
      <w:pPr>
        <w:pStyle w:val="ListParagraph"/>
        <w:numPr>
          <w:ilvl w:val="0"/>
          <w:numId w:val="2"/>
        </w:numPr>
      </w:pPr>
      <w:r>
        <w:t xml:space="preserve">[ ] Vendor due diligence completed (see Vendor Due Diligence Checklist)</w:t>
      </w:r>
    </w:p>
    <w:p>
      <w:pPr>
        <w:pStyle w:val="ListParagraph"/>
        <w:numPr>
          <w:ilvl w:val="0"/>
          <w:numId w:val="2"/>
        </w:numPr>
      </w:pPr>
      <w:r>
        <w:t xml:space="preserve">[ ] Categories of personal data to be processed identified</w:t>
      </w:r>
    </w:p>
    <w:p>
      <w:pPr>
        <w:pStyle w:val="ListParagraph"/>
        <w:numPr>
          <w:ilvl w:val="0"/>
          <w:numId w:val="2"/>
        </w:numPr>
      </w:pPr>
      <w:r>
        <w:t xml:space="preserve">[ ] Purpose and duration of processing documented</w:t>
      </w:r>
    </w:p>
    <w:p>
      <w:pPr>
        <w:pStyle w:val="ListParagraph"/>
        <w:numPr>
          <w:ilvl w:val="0"/>
          <w:numId w:val="2"/>
        </w:numPr>
      </w:pPr>
      <w:r>
        <w:t xml:space="preserve">[ ] Whether the vendor will use sub-processors, and which ones</w:t>
      </w:r>
    </w:p>
    <w:p>
      <w:pPr>
        <w:pStyle w:val="ListParagraph"/>
        <w:numPr>
          <w:ilvl w:val="0"/>
          <w:numId w:val="2"/>
        </w:numPr>
      </w:pPr>
      <w:r>
        <w:t xml:space="preserve">[ ] Whether personal data will be transferred internationally</w:t>
      </w:r>
    </w:p>
    <w:p>
      <w:pPr>
        <w:pStyle w:val="ListParagraph"/>
        <w:numPr>
          <w:ilvl w:val="0"/>
          <w:numId w:val="2"/>
        </w:numPr>
      </w:pPr>
      <w:r>
        <w:t xml:space="preserve">[ ] Data classification level confirmed (per Data Classification Scheme)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Template Structure (For Legal Drafting Reference)</w:t>
      </w:r>
    </w:p>
    <w:p>
      <w:pPr>
        <w:pStyle w:val="ListParagraph"/>
        <w:numPr>
          <w:ilvl w:val="0"/>
          <w:numId w:val="3"/>
        </w:numPr>
      </w:pPr>
      <w:r>
        <w:t xml:space="preserve">Recitals and Definitions</w:t>
      </w:r>
    </w:p>
    <w:p>
      <w:pPr>
        <w:pStyle w:val="ListParagraph"/>
        <w:numPr>
          <w:ilvl w:val="0"/>
          <w:numId w:val="3"/>
        </w:numPr>
      </w:pPr>
      <w:r>
        <w:t xml:space="preserve">Scope and Purpose of Processing</w:t>
      </w:r>
    </w:p>
    <w:p>
      <w:pPr>
        <w:pStyle w:val="ListParagraph"/>
        <w:numPr>
          <w:ilvl w:val="0"/>
          <w:numId w:val="3"/>
        </w:numPr>
      </w:pPr>
      <w:r>
        <w:t xml:space="preserve">Processor Obligations</w:t>
      </w:r>
    </w:p>
    <w:p>
      <w:pPr>
        <w:pStyle w:val="ListParagraph"/>
        <w:numPr>
          <w:ilvl w:val="0"/>
          <w:numId w:val="3"/>
        </w:numPr>
      </w:pPr>
      <w:r>
        <w:t xml:space="preserve">Sub-processing</w:t>
      </w:r>
    </w:p>
    <w:p>
      <w:pPr>
        <w:pStyle w:val="ListParagraph"/>
        <w:numPr>
          <w:ilvl w:val="0"/>
          <w:numId w:val="3"/>
        </w:numPr>
      </w:pPr>
      <w:r>
        <w:t xml:space="preserve">Data Subject Rights Assistance</w:t>
      </w:r>
    </w:p>
    <w:p>
      <w:pPr>
        <w:pStyle w:val="ListParagraph"/>
        <w:numPr>
          <w:ilvl w:val="0"/>
          <w:numId w:val="3"/>
        </w:numPr>
      </w:pPr>
      <w:r>
        <w:t xml:space="preserve">Security Measures</w:t>
      </w:r>
    </w:p>
    <w:p>
      <w:pPr>
        <w:pStyle w:val="ListParagraph"/>
        <w:numPr>
          <w:ilvl w:val="0"/>
          <w:numId w:val="3"/>
        </w:numPr>
      </w:pPr>
      <w:r>
        <w:t xml:space="preserve">International Transfers</w:t>
      </w:r>
    </w:p>
    <w:p>
      <w:pPr>
        <w:pStyle w:val="ListParagraph"/>
        <w:numPr>
          <w:ilvl w:val="0"/>
          <w:numId w:val="3"/>
        </w:numPr>
      </w:pPr>
      <w:r>
        <w:t xml:space="preserve">Audit Rights</w:t>
      </w:r>
    </w:p>
    <w:p>
      <w:pPr>
        <w:pStyle w:val="ListParagraph"/>
        <w:numPr>
          <w:ilvl w:val="0"/>
          <w:numId w:val="3"/>
        </w:numPr>
      </w:pPr>
      <w:r>
        <w:t xml:space="preserve">Breach Notification</w:t>
      </w:r>
    </w:p>
    <w:p>
      <w:pPr>
        <w:pStyle w:val="ListParagraph"/>
        <w:numPr>
          <w:ilvl w:val="0"/>
          <w:numId w:val="3"/>
        </w:numPr>
      </w:pPr>
      <w:r>
        <w:t xml:space="preserve">Term, Termination, and Data Return/Deletion</w:t>
      </w:r>
    </w:p>
    <w:p>
      <w:pPr>
        <w:pStyle w:val="ListParagraph"/>
        <w:numPr>
          <w:ilvl w:val="0"/>
          <w:numId w:val="3"/>
        </w:numPr>
      </w:pPr>
      <w:r>
        <w:t xml:space="preserve">Liability</w:t>
      </w:r>
    </w:p>
    <w:p>
      <w:pPr>
        <w:pStyle w:val="ListParagraph"/>
        <w:numPr>
          <w:ilvl w:val="0"/>
          <w:numId w:val="3"/>
        </w:numPr>
      </w:pPr>
      <w:r>
        <w:t xml:space="preserve">Signatures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Roles and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Counsel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Drafts, negotiates, and finalizes the DPA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Privacy Officer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Confirms data categories, processing purpose, and risk level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Procurement / Vendor 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Initiates DPA process during vendor onboarding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Governance Office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Maintains the register of executed DPAs linked to the vendor inventory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DPA Register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Vendor Name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DPA Executed (Y/N)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Renewal/Review Date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Categories Covered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Sub-processors Disclosed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[Vendor 1]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[Y/N]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[Categories]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[Y/N + list]</w:t>
            </w:r>
          </w:p>
        </w:tc>
      </w:tr>
      <w:tr>
        <w:trPr>
          <w:tblHeader w:val="false"/>
        </w:trPr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[Vendor 2]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[Y/N]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[Date]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[Categories]</w:t>
            </w:r>
          </w:p>
        </w:tc>
        <w:tc>
          <w:tcPr>
            <w:tcW w:type="dxa" w:w="16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[Y/N + list]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and legal review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Not a substitute for legal advice — final DPAs must be drafted/reviewed by qualified counsel</w:t>
      </w:r>
    </w:p>
    <w:p>
      <w:pPr>
        <w:pStyle w:val="ListParagraph"/>
        <w:numPr>
          <w:ilvl w:val="0"/>
          <w:numId w:val="2"/>
        </w:numPr>
      </w:pPr>
      <w:r>
        <w:t xml:space="preserve">Regular updates required to maintain currency and effectiveness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Data Processing Agreements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2026-06-30T20:53:33.905Z</dcterms:created>
  <dcterms:modified xsi:type="dcterms:W3CDTF">2026-06-30T20:53:33.905Z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