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Subject Request Procedures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Data Subject Request (DSR) Procedures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Privacy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[Legal Counsel]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left w:val="single" w:color="BFBFBF" w:sz="12" w:space="8"/>
        </w:pBdr>
        <w:spacing w:after="160"/>
        <w:ind w:left="360"/>
      </w:pPr>
      <w:r>
        <w:rPr>
          <w:b/>
          <w:bCs/>
        </w:rPr>
        <w:t xml:space="preserve">Important:</w:t>
      </w:r>
      <w:r>
        <w:t xml:space="preserve"> This document provides operational guidance only. Consult qualified legal counsel to confirm statutory timelines and requirements applicable to your organization and jurisdictions.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Purpose</w:t>
      </w:r>
    </w:p>
    <w:p>
      <w:pPr>
        <w:spacing w:after="160"/>
      </w:pPr>
      <w:r>
        <w:t xml:space="preserve">This document defines the standard operating procedure for receiving, verifying, fulfilling, and documenting data subject/consumer rights requests under applicable privacy laws (e.g., GDPR, CCPA/CPRA, and similar regulations).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Types of Requests Covered</w:t>
      </w:r>
    </w:p>
    <w:p>
      <w:pPr>
        <w:pStyle w:val="ListParagraph"/>
        <w:numPr>
          <w:ilvl w:val="0"/>
          <w:numId w:val="2"/>
        </w:numPr>
      </w:pPr>
      <w:r>
        <w:t xml:space="preserve">Access / Right to Know</w:t>
      </w:r>
    </w:p>
    <w:p>
      <w:pPr>
        <w:pStyle w:val="ListParagraph"/>
        <w:numPr>
          <w:ilvl w:val="0"/>
          <w:numId w:val="2"/>
        </w:numPr>
      </w:pPr>
      <w:r>
        <w:t xml:space="preserve">Rectification / Correction</w:t>
      </w:r>
    </w:p>
    <w:p>
      <w:pPr>
        <w:pStyle w:val="ListParagraph"/>
        <w:numPr>
          <w:ilvl w:val="0"/>
          <w:numId w:val="2"/>
        </w:numPr>
      </w:pPr>
      <w:r>
        <w:t xml:space="preserve">Erasure / Deletion / "Right to be Forgotten"</w:t>
      </w:r>
    </w:p>
    <w:p>
      <w:pPr>
        <w:pStyle w:val="ListParagraph"/>
        <w:numPr>
          <w:ilvl w:val="0"/>
          <w:numId w:val="2"/>
        </w:numPr>
      </w:pPr>
      <w:r>
        <w:t xml:space="preserve">Restriction of Processing</w:t>
      </w:r>
    </w:p>
    <w:p>
      <w:pPr>
        <w:pStyle w:val="ListParagraph"/>
        <w:numPr>
          <w:ilvl w:val="0"/>
          <w:numId w:val="2"/>
        </w:numPr>
      </w:pPr>
      <w:r>
        <w:t xml:space="preserve">Data Portability</w:t>
      </w:r>
    </w:p>
    <w:p>
      <w:pPr>
        <w:pStyle w:val="ListParagraph"/>
        <w:numPr>
          <w:ilvl w:val="0"/>
          <w:numId w:val="2"/>
        </w:numPr>
      </w:pPr>
      <w:r>
        <w:t xml:space="preserve">Objection to Processing / Opt-Out of Sale or Sharing</w:t>
      </w:r>
    </w:p>
    <w:p>
      <w:pPr>
        <w:pStyle w:val="ListParagraph"/>
        <w:numPr>
          <w:ilvl w:val="0"/>
          <w:numId w:val="2"/>
        </w:numPr>
      </w:pPr>
      <w:r>
        <w:t xml:space="preserve">Withdrawal of Consent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Intake Channels</w:t>
      </w:r>
    </w:p>
    <w:p>
      <w:pPr>
        <w:pStyle w:val="ListParagraph"/>
        <w:numPr>
          <w:ilvl w:val="0"/>
          <w:numId w:val="2"/>
        </w:numPr>
      </w:pPr>
      <w:r>
        <w:t xml:space="preserve">[ ] Dedicated web form linked from the Privacy Policy</w:t>
      </w:r>
    </w:p>
    <w:p>
      <w:pPr>
        <w:pStyle w:val="ListParagraph"/>
        <w:numPr>
          <w:ilvl w:val="0"/>
          <w:numId w:val="2"/>
        </w:numPr>
      </w:pPr>
      <w:r>
        <w:t xml:space="preserve">[ ] Designated email address (e.g., privacy@[organization].com)</w:t>
      </w:r>
    </w:p>
    <w:p>
      <w:pPr>
        <w:pStyle w:val="ListParagraph"/>
        <w:numPr>
          <w:ilvl w:val="0"/>
          <w:numId w:val="2"/>
        </w:numPr>
      </w:pPr>
      <w:r>
        <w:t xml:space="preserve">[ ] Toll-free phone number (required in some jurisdictions, e.g., CCPA)</w:t>
      </w:r>
    </w:p>
    <w:p>
      <w:pPr>
        <w:pStyle w:val="ListParagraph"/>
        <w:numPr>
          <w:ilvl w:val="0"/>
          <w:numId w:val="2"/>
        </w:numPr>
      </w:pPr>
      <w:r>
        <w:t xml:space="preserve">[ ] Internal escalation path for requests received by customer service or other teams</w:t>
      </w:r>
    </w:p>
    <w:p>
      <w:pPr>
        <w:spacing w:after="160"/>
      </w:pPr>
      <w:r>
        <w:t xml:space="preserve">All intake channels route requests into a single tracking system to ensure consistent handling and SLA monitoring.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Process Workflow</w:t>
      </w:r>
    </w:p>
    <w:p>
      <w:pPr>
        <w:pStyle w:val="Heading3"/>
      </w:pPr>
      <w:r>
        <w:t xml:space="preserve">Step 1: Receipt and Logging</w:t>
      </w:r>
    </w:p>
    <w:p>
      <w:pPr>
        <w:spacing w:after="160"/>
      </w:pPr>
      <w:r>
        <w:t xml:space="preserve">Every request is logged with: date received, channel, requestor name/contact, request type, and applicable jurisdiction/regulation.</w:t>
      </w:r>
    </w:p>
    <w:p>
      <w:pPr>
        <w:pStyle w:val="Heading3"/>
      </w:pPr>
      <w:r>
        <w:t xml:space="preserve">Step 2: Identity Verification</w:t>
      </w:r>
    </w:p>
    <w:p>
      <w:pPr>
        <w:spacing w:after="160"/>
      </w:pPr>
      <w:r>
        <w:t xml:space="preserve">Verify the requestor's identity using a risk-appropriate method: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 verification:</w:t>
      </w:r>
      <w:r>
        <w:t xml:space="preserve"> Match to existing account credentials (e.g., logged-in session)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Enhanced verification:</w:t>
      </w:r>
      <w:r>
        <w:t xml:space="preserve"> For sensitive data or higher-risk requests, require two or more matching identifiers (e.g., name + email + account number)</w:t>
      </w:r>
    </w:p>
    <w:p>
      <w:pPr>
        <w:pStyle w:val="ListParagraph"/>
        <w:numPr>
          <w:ilvl w:val="0"/>
          <w:numId w:val="2"/>
        </w:numPr>
      </w:pPr>
      <w:r>
        <w:t xml:space="preserve">Reject or request additional information if verification fails; document the reason</w:t>
      </w:r>
    </w:p>
    <w:p>
      <w:pPr>
        <w:pStyle w:val="Heading3"/>
      </w:pPr>
      <w:r>
        <w:t xml:space="preserve">Step 3: Scope Determination</w:t>
      </w:r>
    </w:p>
    <w:p>
      <w:pPr>
        <w:pStyle w:val="ListParagraph"/>
        <w:numPr>
          <w:ilvl w:val="0"/>
          <w:numId w:val="2"/>
        </w:numPr>
      </w:pPr>
      <w:r>
        <w:t xml:space="preserve">Identify which systems and data assets contain the requestor's personal data, using the data catalog and `vw_sensitive_data_inventory` view</w:t>
      </w:r>
    </w:p>
    <w:p>
      <w:pPr>
        <w:pStyle w:val="ListParagraph"/>
        <w:numPr>
          <w:ilvl w:val="0"/>
          <w:numId w:val="2"/>
        </w:numPr>
      </w:pPr>
      <w:r>
        <w:t xml:space="preserve">Determine if any exemptions apply (e.g., legal obligation to retain certain records, fraud prevention)</w:t>
      </w:r>
    </w:p>
    <w:p>
      <w:pPr>
        <w:pStyle w:val="Heading3"/>
      </w:pPr>
      <w:r>
        <w:t xml:space="preserve">Step 4: Fulfillment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 requests:</w:t>
      </w:r>
      <w:r>
        <w:t xml:space="preserve"> Compile and provide the requested data in a readable, organized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Correction requests:</w:t>
      </w:r>
      <w:r>
        <w:t xml:space="preserve"> Update the data at the source system(s); verify propagation through downstream lineage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Deletion requests:</w:t>
      </w:r>
      <w:r>
        <w:t xml:space="preserve"> Delete or anonymize data across all identified systems, respecting any legal retention exemptions; document what was retained and why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Portability requests:</w:t>
      </w:r>
      <w:r>
        <w:t xml:space="preserve"> Provide data in a structured, commonly used, machine-readable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Opt-out requests:</w:t>
      </w:r>
      <w:r>
        <w:t xml:space="preserve"> Update consent/preference records and confirm downstream systems (e.g., marketing platforms) respect the opt-out</w:t>
      </w:r>
    </w:p>
    <w:p>
      <w:pPr>
        <w:pStyle w:val="Heading3"/>
      </w:pPr>
      <w:r>
        <w:t xml:space="preserve">Step 5: Quality Review</w:t>
      </w:r>
    </w:p>
    <w:p>
      <w:pPr>
        <w:spacing w:after="160"/>
      </w:pPr>
      <w:r>
        <w:t xml:space="preserve">A second reviewer (not the original handler) confirms the fulfillment is complete and accurate before closure, for all but the lowest-risk request types.</w:t>
      </w:r>
    </w:p>
    <w:p>
      <w:pPr>
        <w:pStyle w:val="Heading3"/>
      </w:pPr>
      <w:r>
        <w:t xml:space="preserve">Step 6: Response and Closure</w:t>
      </w:r>
    </w:p>
    <w:p>
      <w:pPr>
        <w:pStyle w:val="ListParagraph"/>
        <w:numPr>
          <w:ilvl w:val="0"/>
          <w:numId w:val="2"/>
        </w:numPr>
      </w:pPr>
      <w:r>
        <w:t xml:space="preserve">Respond to the requestor within the statutory timeline (see Section 4)</w:t>
      </w:r>
    </w:p>
    <w:p>
      <w:pPr>
        <w:pStyle w:val="ListParagraph"/>
        <w:numPr>
          <w:ilvl w:val="0"/>
          <w:numId w:val="2"/>
        </w:numPr>
      </w:pPr>
      <w:r>
        <w:t xml:space="preserve">Log the response date and method</w:t>
      </w:r>
    </w:p>
    <w:p>
      <w:pPr>
        <w:pStyle w:val="ListParagraph"/>
        <w:numPr>
          <w:ilvl w:val="0"/>
          <w:numId w:val="2"/>
        </w:numPr>
      </w:pPr>
      <w:r>
        <w:t xml:space="preserve">Close the request in the tracking system with full documentation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Statutory Timelines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Timeline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Extension Allowed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GDPR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month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+2 months for complex requests, with notice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CCPA/CPRA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calendar days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+45 days, with notice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[Other applicable law]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[Timeline]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[Extension terms]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</w:rPr>
        <w:t xml:space="preserve">Internal target:</w:t>
      </w:r>
      <w:r>
        <w:t xml:space="preserve"> Acknowledge receipt within 3 business days; fulfill within 75% of the statutory window to allow buffer for quality review and edge cases.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Roles and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Privacy Officer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Owns the DSR process, handles complex/escalated requests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Handler(s)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identity, coordinate fulfillment across systems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Business/Technical Data Stewards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 data retrieval, correction, or deletion within their domain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Counsel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Advises on exemptions, complex requests, and disputed requests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Handling Exemptions and Denials</w:t>
      </w:r>
    </w:p>
    <w:p>
      <w:pPr>
        <w:pStyle w:val="ListParagraph"/>
        <w:numPr>
          <w:ilvl w:val="0"/>
          <w:numId w:val="2"/>
        </w:numPr>
      </w:pPr>
      <w:r>
        <w:t xml:space="preserve">Document the specific legal basis for any exemption or denial</w:t>
      </w:r>
    </w:p>
    <w:p>
      <w:pPr>
        <w:pStyle w:val="ListParagraph"/>
        <w:numPr>
          <w:ilvl w:val="0"/>
          <w:numId w:val="2"/>
        </w:numPr>
      </w:pPr>
      <w:r>
        <w:t xml:space="preserve">Provide the requestor with the reason for denial and any applicable appeal/complaint process, where required by law</w:t>
      </w:r>
    </w:p>
    <w:p>
      <w:pPr>
        <w:pStyle w:val="ListParagraph"/>
        <w:numPr>
          <w:ilvl w:val="0"/>
          <w:numId w:val="2"/>
        </w:numPr>
      </w:pPr>
      <w:r>
        <w:t xml:space="preserve">Log all denials for compliance reporting and audit purposes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7. Metrics and Reporting</w:t>
      </w:r>
    </w:p>
    <w:p>
      <w:pPr>
        <w:pStyle w:val="ListParagraph"/>
        <w:numPr>
          <w:ilvl w:val="0"/>
          <w:numId w:val="2"/>
        </w:numPr>
      </w:pPr>
      <w:r>
        <w:t xml:space="preserve">Request volume by type and jurisdiction</w:t>
      </w:r>
    </w:p>
    <w:p>
      <w:pPr>
        <w:pStyle w:val="ListParagraph"/>
        <w:numPr>
          <w:ilvl w:val="0"/>
          <w:numId w:val="2"/>
        </w:numPr>
      </w:pPr>
      <w:r>
        <w:t xml:space="preserve">Average time to fulfillment vs. statutory deadline</w:t>
      </w:r>
    </w:p>
    <w:p>
      <w:pPr>
        <w:pStyle w:val="ListParagraph"/>
        <w:numPr>
          <w:ilvl w:val="0"/>
          <w:numId w:val="2"/>
        </w:numPr>
      </w:pPr>
      <w:r>
        <w:t xml:space="preserve">Percentage of requests requiring escalation or extension</w:t>
      </w:r>
    </w:p>
    <w:p>
      <w:pPr>
        <w:pStyle w:val="ListParagraph"/>
        <w:numPr>
          <w:ilvl w:val="0"/>
          <w:numId w:val="2"/>
        </w:numPr>
      </w:pPr>
      <w:r>
        <w:t xml:space="preserve">Denial rate and reasons</w:t>
      </w:r>
    </w:p>
    <w:p>
      <w:pPr>
        <w:spacing w:after="160"/>
      </w:pPr>
      <w:r>
        <w:t xml:space="preserve">Reported to the Data Governance Council quarterly and included in the Compliance Status Reports.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8. Request Tracking Log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ID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Received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Jurisdiction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Verified (Y/N)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Due Date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Closed Date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[ID]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[Type]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[Jurisdiction]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[Y/N]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and legal review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Not a substitute for legal advice — confirm statutory timelines with qualified counsel</w:t>
      </w:r>
    </w:p>
    <w:p>
      <w:pPr>
        <w:pStyle w:val="ListParagraph"/>
        <w:numPr>
          <w:ilvl w:val="0"/>
          <w:numId w:val="2"/>
        </w:numPr>
      </w:pPr>
      <w:r>
        <w:t xml:space="preserve">Regular updates required to maintain currency and effectiveness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Data Subject Request Procedures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2026-06-30T20:53:35.072Z</dcterms:created>
  <dcterms:modified xsi:type="dcterms:W3CDTF">2026-06-30T20:53:35.072Z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