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GDPR Compliance Checklist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GDPR Compliance Checklist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Privacy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 / 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160"/>
        <w:ind w:left="360"/>
      </w:pPr>
      <w:r>
        <w:rPr>
          <w:b/>
          <w:bCs/>
        </w:rPr>
        <w:t xml:space="preserve">Important:</w:t>
      </w:r>
      <w:r>
        <w:t xml:space="preserve"> This checklist is a governance planning aid, not legal advice. Consult qualified legal counsel to confirm GDPR obligations applicable to your organization.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checklist supports [Organization Name]'s General Data Protection Regulation (GDPR) compliance program by translating core GDPR requirements into actionable governance checkpoints, aligned with the Data Governance Charter and Data Privacy &amp; Security Policy.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Applicability Assessment</w:t>
      </w:r>
    </w:p>
    <w:p>
      <w:pPr>
        <w:pStyle w:val="ListParagraph"/>
        <w:numPr>
          <w:ilvl w:val="0"/>
          <w:numId w:val="2"/>
        </w:numPr>
      </w:pPr>
      <w:r>
        <w:t xml:space="preserve">[ ] Confirmed whether [Organization Name] processes personal data of EU/EEA residents</w:t>
      </w:r>
    </w:p>
    <w:p>
      <w:pPr>
        <w:pStyle w:val="ListParagraph"/>
        <w:numPr>
          <w:ilvl w:val="0"/>
          <w:numId w:val="2"/>
        </w:numPr>
      </w:pPr>
      <w:r>
        <w:t xml:space="preserve">[ ] Determined whether the organization acts as Controller, Processor, or both for relevant processing activities</w:t>
      </w:r>
    </w:p>
    <w:p>
      <w:pPr>
        <w:pStyle w:val="ListParagraph"/>
        <w:numPr>
          <w:ilvl w:val="0"/>
          <w:numId w:val="2"/>
        </w:numPr>
      </w:pPr>
      <w:r>
        <w:t xml:space="preserve">[ ] Identified whether a EU/UK representative is required (Article 27)</w:t>
      </w:r>
    </w:p>
    <w:p>
      <w:pPr>
        <w:pStyle w:val="ListParagraph"/>
        <w:numPr>
          <w:ilvl w:val="0"/>
          <w:numId w:val="2"/>
        </w:numPr>
      </w:pPr>
      <w:r>
        <w:t xml:space="preserve">[ ] Identified whether a Data Protection Officer (DPO) is required (Article 37)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Lawful Basis and Processing Principles</w:t>
      </w:r>
    </w:p>
    <w:p>
      <w:pPr>
        <w:pStyle w:val="ListParagraph"/>
        <w:numPr>
          <w:ilvl w:val="0"/>
          <w:numId w:val="2"/>
        </w:numPr>
      </w:pPr>
      <w:r>
        <w:t xml:space="preserve">[ ] Documented lawful basis (consent, contract, legal obligation, vital interests, public task, legitimate interests) for each processing activity</w:t>
      </w:r>
    </w:p>
    <w:p>
      <w:pPr>
        <w:pStyle w:val="ListParagraph"/>
        <w:numPr>
          <w:ilvl w:val="0"/>
          <w:numId w:val="2"/>
        </w:numPr>
      </w:pPr>
      <w:r>
        <w:t xml:space="preserve">[ ] Confirmed processing is limited to what is necessary (data minimization)</w:t>
      </w:r>
    </w:p>
    <w:p>
      <w:pPr>
        <w:pStyle w:val="ListParagraph"/>
        <w:numPr>
          <w:ilvl w:val="0"/>
          <w:numId w:val="2"/>
        </w:numPr>
      </w:pPr>
      <w:r>
        <w:t xml:space="preserve">[ ] Confirmed personal data is accurate and kept up to date</w:t>
      </w:r>
    </w:p>
    <w:p>
      <w:pPr>
        <w:pStyle w:val="ListParagraph"/>
        <w:numPr>
          <w:ilvl w:val="0"/>
          <w:numId w:val="2"/>
        </w:numPr>
      </w:pPr>
      <w:r>
        <w:t xml:space="preserve">[ ] Confirmed retention periods are defined and enforced (see Data Retention Policy)</w:t>
      </w:r>
    </w:p>
    <w:p>
      <w:pPr>
        <w:pStyle w:val="ListParagraph"/>
        <w:numPr>
          <w:ilvl w:val="0"/>
          <w:numId w:val="2"/>
        </w:numPr>
      </w:pPr>
      <w:r>
        <w:t xml:space="preserve">[ ] Confirmed appropriate security measures are applied (see Data Privacy &amp; Security Policy)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Records of Processing Activities (ROPA)</w:t>
      </w:r>
    </w:p>
    <w:p>
      <w:pPr>
        <w:pStyle w:val="ListParagraph"/>
        <w:numPr>
          <w:ilvl w:val="0"/>
          <w:numId w:val="2"/>
        </w:numPr>
      </w:pPr>
      <w:r>
        <w:t xml:space="preserve">[ ] Maintained a Record of Processing Activities covering purpose, categories of data, recipients, retention, and security measures</w:t>
      </w:r>
    </w:p>
    <w:p>
      <w:pPr>
        <w:pStyle w:val="ListParagraph"/>
        <w:numPr>
          <w:ilvl w:val="0"/>
          <w:numId w:val="2"/>
        </w:numPr>
      </w:pPr>
      <w:r>
        <w:t xml:space="preserve">[ ] Linked ROPA entries to corresponding assets in the data catalog (see `vw_sensitive_data_inventory` in Compliance Reporting Scripts)</w:t>
      </w:r>
    </w:p>
    <w:p>
      <w:pPr>
        <w:pStyle w:val="ListParagraph"/>
        <w:numPr>
          <w:ilvl w:val="0"/>
          <w:numId w:val="2"/>
        </w:numPr>
      </w:pPr>
      <w:r>
        <w:t xml:space="preserve">[ ] Reviewed and updated ROPA at least annually or upon material process change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Data Subject Rights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Access requests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Rectification requests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Erasure ("right to be forgotten") requests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Restrict Processing requests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Data Portability requests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 to Object (including direct marketing opt-outs)</w:t>
      </w:r>
    </w:p>
    <w:p>
      <w:pPr>
        <w:pStyle w:val="ListParagraph"/>
        <w:numPr>
          <w:ilvl w:val="0"/>
          <w:numId w:val="2"/>
        </w:numPr>
      </w:pPr>
      <w:r>
        <w:t xml:space="preserve">[ ] Process defined for rights related to automated decision-making/profiling</w:t>
      </w:r>
    </w:p>
    <w:p>
      <w:pPr>
        <w:pStyle w:val="ListParagraph"/>
        <w:numPr>
          <w:ilvl w:val="0"/>
          <w:numId w:val="2"/>
        </w:numPr>
      </w:pPr>
      <w:r>
        <w:t xml:space="preserve">[ ] All rights requests handled within the statutory one-month window (extendable per Article 12(3))</w:t>
      </w:r>
    </w:p>
    <w:p>
      <w:pPr>
        <w:spacing w:after="160"/>
      </w:pPr>
      <w:r>
        <w:t xml:space="preserve">See Data Subject Request Procedures for the detailed operational process.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Consent Management</w:t>
      </w:r>
    </w:p>
    <w:p>
      <w:pPr>
        <w:pStyle w:val="ListParagraph"/>
        <w:numPr>
          <w:ilvl w:val="0"/>
          <w:numId w:val="2"/>
        </w:numPr>
      </w:pPr>
      <w:r>
        <w:t xml:space="preserve">[ ] Consent (where used as lawful basis) is freely given, specific, informed, and unambiguous</w:t>
      </w:r>
    </w:p>
    <w:p>
      <w:pPr>
        <w:pStyle w:val="ListParagraph"/>
        <w:numPr>
          <w:ilvl w:val="0"/>
          <w:numId w:val="2"/>
        </w:numPr>
      </w:pPr>
      <w:r>
        <w:t xml:space="preserve">[ ] Consent records are retained as evidence</w:t>
      </w:r>
    </w:p>
    <w:p>
      <w:pPr>
        <w:pStyle w:val="ListParagraph"/>
        <w:numPr>
          <w:ilvl w:val="0"/>
          <w:numId w:val="2"/>
        </w:numPr>
      </w:pPr>
      <w:r>
        <w:t xml:space="preserve">[ ] Mechanism exists for individuals to withdraw consent as easily as it was given</w:t>
      </w:r>
    </w:p>
    <w:p>
      <w:pPr>
        <w:pStyle w:val="ListParagraph"/>
        <w:numPr>
          <w:ilvl w:val="0"/>
          <w:numId w:val="2"/>
        </w:numPr>
      </w:pPr>
      <w:r>
        <w:t xml:space="preserve">[ ] Children's data processing (if applicable) meets enhanced consent requirements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International Data Transfers</w:t>
      </w:r>
    </w:p>
    <w:p>
      <w:pPr>
        <w:pStyle w:val="ListParagraph"/>
        <w:numPr>
          <w:ilvl w:val="0"/>
          <w:numId w:val="2"/>
        </w:numPr>
      </w:pPr>
      <w:r>
        <w:t xml:space="preserve">[ ] Identified all transfers of personal data outside the EU/EEA</w:t>
      </w:r>
    </w:p>
    <w:p>
      <w:pPr>
        <w:pStyle w:val="ListParagraph"/>
        <w:numPr>
          <w:ilvl w:val="0"/>
          <w:numId w:val="2"/>
        </w:numPr>
      </w:pPr>
      <w:r>
        <w:t xml:space="preserve">[ ] Appropriate transfer mechanism documented for each transfer (adequacy decision, Standard Contractual Clauses, Binding Corporate Rules, or derogation)</w:t>
      </w:r>
    </w:p>
    <w:p>
      <w:pPr>
        <w:pStyle w:val="ListParagraph"/>
        <w:numPr>
          <w:ilvl w:val="0"/>
          <w:numId w:val="2"/>
        </w:numPr>
      </w:pPr>
      <w:r>
        <w:t xml:space="preserve">[ ] Transfer impact assessments completed where required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Vendor and Processor Management</w:t>
      </w:r>
    </w:p>
    <w:p>
      <w:pPr>
        <w:pStyle w:val="ListParagraph"/>
        <w:numPr>
          <w:ilvl w:val="0"/>
          <w:numId w:val="2"/>
        </w:numPr>
      </w:pPr>
      <w:r>
        <w:t xml:space="preserve">[ ] Data Processing Agreements (DPAs) in place with all processors handling personal data (see Data Processing Agreements template)</w:t>
      </w:r>
    </w:p>
    <w:p>
      <w:pPr>
        <w:pStyle w:val="ListParagraph"/>
        <w:numPr>
          <w:ilvl w:val="0"/>
          <w:numId w:val="2"/>
        </w:numPr>
      </w:pPr>
      <w:r>
        <w:t xml:space="preserve">[ ] Processor security and compliance posture assessed before onboarding (see Vendor Due Diligence Checklist)</w:t>
      </w:r>
    </w:p>
    <w:p>
      <w:pPr>
        <w:pStyle w:val="ListParagraph"/>
        <w:numPr>
          <w:ilvl w:val="0"/>
          <w:numId w:val="2"/>
        </w:numPr>
      </w:pPr>
      <w:r>
        <w:t xml:space="preserve">[ ] Sub-processor notification and approval process defined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Privacy by Design and Default</w:t>
      </w:r>
    </w:p>
    <w:p>
      <w:pPr>
        <w:pStyle w:val="ListParagraph"/>
        <w:numPr>
          <w:ilvl w:val="0"/>
          <w:numId w:val="2"/>
        </w:numPr>
      </w:pPr>
      <w:r>
        <w:t xml:space="preserve">[ ] Data Protection Impact Assessments (DPIAs) conducted for high-risk processing activities</w:t>
      </w:r>
    </w:p>
    <w:p>
      <w:pPr>
        <w:pStyle w:val="ListParagraph"/>
        <w:numPr>
          <w:ilvl w:val="0"/>
          <w:numId w:val="2"/>
        </w:numPr>
      </w:pPr>
      <w:r>
        <w:t xml:space="preserve">[ ] Privacy considerations embedded into new system/project intake (linked to Project Charter Template)</w:t>
      </w:r>
    </w:p>
    <w:p>
      <w:pPr>
        <w:pStyle w:val="ListParagraph"/>
        <w:numPr>
          <w:ilvl w:val="0"/>
          <w:numId w:val="2"/>
        </w:numPr>
      </w:pPr>
      <w:r>
        <w:t xml:space="preserve">[ ] Default settings minimize personal data collection and retention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9. Breach Management</w:t>
      </w:r>
    </w:p>
    <w:p>
      <w:pPr>
        <w:pStyle w:val="ListParagraph"/>
        <w:numPr>
          <w:ilvl w:val="0"/>
          <w:numId w:val="2"/>
        </w:numPr>
      </w:pPr>
      <w:r>
        <w:t xml:space="preserve">[ ] Breach detection and internal escalation process defined (see Data Quality Incident Response and Breach Notification Templates)</w:t>
      </w:r>
    </w:p>
    <w:p>
      <w:pPr>
        <w:pStyle w:val="ListParagraph"/>
        <w:numPr>
          <w:ilvl w:val="0"/>
          <w:numId w:val="2"/>
        </w:numPr>
      </w:pPr>
      <w:r>
        <w:t xml:space="preserve">[ ] 72-hour supervisory authority notification process defined and tested</w:t>
      </w:r>
    </w:p>
    <w:p>
      <w:pPr>
        <w:pStyle w:val="ListParagraph"/>
        <w:numPr>
          <w:ilvl w:val="0"/>
          <w:numId w:val="2"/>
        </w:numPr>
      </w:pPr>
      <w:r>
        <w:t xml:space="preserve">[ ] Data subject notification process defined for high-risk breaches</w:t>
      </w:r>
    </w:p>
    <w:p>
      <w:pPr>
        <w:pStyle w:val="ListParagraph"/>
        <w:numPr>
          <w:ilvl w:val="0"/>
          <w:numId w:val="2"/>
        </w:numPr>
      </w:pPr>
      <w:r>
        <w:t xml:space="preserve">[ ] Breach register maintained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10. Governance and Accountability</w:t>
      </w:r>
    </w:p>
    <w:p>
      <w:pPr>
        <w:pStyle w:val="ListParagraph"/>
        <w:numPr>
          <w:ilvl w:val="0"/>
          <w:numId w:val="2"/>
        </w:numPr>
      </w:pPr>
      <w:r>
        <w:t xml:space="preserve">[ ] DPO (or equivalent) formally appointed and resourced, if required</w:t>
      </w:r>
    </w:p>
    <w:p>
      <w:pPr>
        <w:pStyle w:val="ListParagraph"/>
        <w:numPr>
          <w:ilvl w:val="0"/>
          <w:numId w:val="2"/>
        </w:numPr>
      </w:pPr>
      <w:r>
        <w:t xml:space="preserve">[ ] Staff training on GDPR obligations included in onboarding and refreshed annually</w:t>
      </w:r>
    </w:p>
    <w:p>
      <w:pPr>
        <w:pStyle w:val="ListParagraph"/>
        <w:numPr>
          <w:ilvl w:val="0"/>
          <w:numId w:val="2"/>
        </w:numPr>
      </w:pPr>
      <w:r>
        <w:t xml:space="preserve">[ ] GDPR compliance status reported to the Data Governance Council at least quarterly</w:t>
      </w:r>
    </w:p>
    <w:p>
      <w:pPr>
        <w:pStyle w:val="ListParagraph"/>
        <w:numPr>
          <w:ilvl w:val="0"/>
          <w:numId w:val="2"/>
        </w:numPr>
      </w:pPr>
      <w:r>
        <w:t xml:space="preserve">[ ] Internal audit/compliance review conducted at least annually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11. Compliance Status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(Compliant / Partial / Gap)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Date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Lawful Basis &amp; Principles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of Processing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Subject Rights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Management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International Transfers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Management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by Design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Breach Management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and legal review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Not a substitute for legal advice — engage qualified counsel for binding compliance determinations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GDPR Compliance Checklist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2026-06-30T20:53:30.355Z</dcterms:created>
  <dcterms:modified xsi:type="dcterms:W3CDTF">2026-06-30T20:53:30.355Z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