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HIPAA Data Handling</w:t>
      </w:r>
    </w:p>
    <w:p>
      <w:pPr>
        <w:pStyle w:val="Heading2"/>
      </w:pPr>
      <w:r>
        <w:t xml:space="preserve">Document Information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Field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Value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Title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[Organization Name] HIPAA Data Handling Guidelines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Effective Date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[Insert Date]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 Date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[Insert Date - Recommend Annual]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Owner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[Privacy/Security Officer]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Approved By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[Legal Counsel / Chief Data Officer]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Classification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 Use</w:t>
            </w:r>
          </w:p>
        </w:tc>
      </w:tr>
    </w:tbl>
    <w:p>
      <w:pPr>
        <w:spacing w:after="120"/>
      </w:pPr>
    </w:p>
    <w:p>
      <w:pPr>
        <w:pBdr>
          <w:left w:val="single" w:color="BFBFBF" w:sz="12" w:space="8"/>
        </w:pBdr>
        <w:spacing w:after="160"/>
        <w:ind w:left="360"/>
      </w:pPr>
      <w:r>
        <w:rPr>
          <w:b/>
          <w:bCs/>
        </w:rPr>
        <w:t xml:space="preserve">Important:</w:t>
      </w:r>
      <w:r>
        <w:t xml:space="preserve"> This guide is a governance planning aid, not legal advice. Consult qualified legal counsel and your designated HIPAA Privacy/Security Officer to confirm obligations applicable to your organization.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Executive Summary</w:t>
      </w:r>
    </w:p>
    <w:p>
      <w:pPr>
        <w:spacing w:after="160"/>
      </w:pPr>
      <w:r>
        <w:t xml:space="preserve">This document defines how [Organization Name] handles Protected Health Information (PHI) in alignment with the HIPAA Privacy Rule, Security Rule, and Breach Notification Rule, integrated with the broader data governance program.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1. Scope and Applicability</w:t>
      </w:r>
    </w:p>
    <w:p>
      <w:pPr>
        <w:pStyle w:val="ListParagraph"/>
        <w:numPr>
          <w:ilvl w:val="0"/>
          <w:numId w:val="2"/>
        </w:numPr>
      </w:pPr>
      <w:r>
        <w:t xml:space="preserve">[ ] Confirmed whether [Organization Name] is a Covered Entity, Business Associate, or both under HIPAA</w:t>
      </w:r>
    </w:p>
    <w:p>
      <w:pPr>
        <w:pStyle w:val="ListParagraph"/>
        <w:numPr>
          <w:ilvl w:val="0"/>
          <w:numId w:val="2"/>
        </w:numPr>
      </w:pPr>
      <w:r>
        <w:t xml:space="preserve">[ ] Identified all systems, applications, and data flows that create, receive, maintain, or transmit PHI</w:t>
      </w:r>
    </w:p>
    <w:p>
      <w:pPr>
        <w:pStyle w:val="ListParagraph"/>
        <w:numPr>
          <w:ilvl w:val="0"/>
          <w:numId w:val="2"/>
        </w:numPr>
      </w:pPr>
      <w:r>
        <w:t xml:space="preserve">[ ] Mapped PHI systems and elements into the data catalog (see Healthcare Data Governance case study for a reference pattern)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2. PHI Classification</w:t>
      </w:r>
    </w:p>
    <w:p>
      <w:pPr>
        <w:spacing w:after="160"/>
      </w:pPr>
      <w:r>
        <w:t xml:space="preserve">PHI is classified as </w:t>
      </w:r>
      <w:r>
        <w:rPr>
          <w:b/>
          <w:bCs/>
        </w:rPr>
        <w:t xml:space="preserve">Restricted</w:t>
      </w:r>
      <w:r>
        <w:t xml:space="preserve"> under the Data Classification Scheme by default. Use the table below to identify common PHI categories requiring this classification: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PHI Category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Examples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Identifiers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Name, address, dates (birth, admission, discharge), SSN, MRN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Clinical Data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Diagnoses, treatment notes, lab results, medication records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Billing/Insurance Data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Claims data, insurance ID, billing codes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Biometric/Genetic Data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Fingerprints, genetic test results, images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Derived/De-identified Data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Confirm de-identification meets Safe Harbor or Expert Determination standard before reclassifying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3. Minimum Necessary Standard</w:t>
      </w:r>
    </w:p>
    <w:p>
      <w:pPr>
        <w:pStyle w:val="ListParagraph"/>
        <w:numPr>
          <w:ilvl w:val="0"/>
          <w:numId w:val="2"/>
        </w:numPr>
      </w:pPr>
      <w:r>
        <w:t xml:space="preserve">[ ] Access to PHI is limited to the minimum necessary for the workforce member's role (role-based access control)</w:t>
      </w:r>
    </w:p>
    <w:p>
      <w:pPr>
        <w:pStyle w:val="ListParagraph"/>
        <w:numPr>
          <w:ilvl w:val="0"/>
          <w:numId w:val="2"/>
        </w:numPr>
      </w:pPr>
      <w:r>
        <w:t xml:space="preserve">[ ] Data Stewards review PHI access assignments at least annually</w:t>
      </w:r>
    </w:p>
    <w:p>
      <w:pPr>
        <w:pStyle w:val="ListParagraph"/>
        <w:numPr>
          <w:ilvl w:val="0"/>
          <w:numId w:val="2"/>
        </w:numPr>
      </w:pPr>
      <w:r>
        <w:t xml:space="preserve">[ ] Reports and datasets containing PHI are limited to required fields rather than full record exports by default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4. Administrative Safeguards</w:t>
      </w:r>
    </w:p>
    <w:p>
      <w:pPr>
        <w:pStyle w:val="ListParagraph"/>
        <w:numPr>
          <w:ilvl w:val="0"/>
          <w:numId w:val="2"/>
        </w:numPr>
      </w:pPr>
      <w:r>
        <w:t xml:space="preserve">[ ] Designated Privacy Officer and Security Officer roles formally assigned</w:t>
      </w:r>
    </w:p>
    <w:p>
      <w:pPr>
        <w:pStyle w:val="ListParagraph"/>
        <w:numPr>
          <w:ilvl w:val="0"/>
          <w:numId w:val="2"/>
        </w:numPr>
      </w:pPr>
      <w:r>
        <w:t xml:space="preserve">[ ] Workforce training on PHI handling completed at onboarding and annually thereafter</w:t>
      </w:r>
    </w:p>
    <w:p>
      <w:pPr>
        <w:pStyle w:val="ListParagraph"/>
        <w:numPr>
          <w:ilvl w:val="0"/>
          <w:numId w:val="2"/>
        </w:numPr>
      </w:pPr>
      <w:r>
        <w:t xml:space="preserve">[ ] Sanctions policy in place for workforce members who violate PHI handling policies</w:t>
      </w:r>
    </w:p>
    <w:p>
      <w:pPr>
        <w:pStyle w:val="ListParagraph"/>
        <w:numPr>
          <w:ilvl w:val="0"/>
          <w:numId w:val="2"/>
        </w:numPr>
      </w:pPr>
      <w:r>
        <w:t xml:space="preserve">[ ] Business Associate Agreements (BAAs) executed with all vendors handling PHI on the organization's behalf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5. Technical Safeguards</w:t>
      </w:r>
    </w:p>
    <w:p>
      <w:pPr>
        <w:pStyle w:val="ListParagraph"/>
        <w:numPr>
          <w:ilvl w:val="0"/>
          <w:numId w:val="2"/>
        </w:numPr>
      </w:pPr>
      <w:r>
        <w:t xml:space="preserve">[ ] Access controls (unique user IDs, role-based permissions) implemented for all systems storing PHI</w:t>
      </w:r>
    </w:p>
    <w:p>
      <w:pPr>
        <w:pStyle w:val="ListParagraph"/>
        <w:numPr>
          <w:ilvl w:val="0"/>
          <w:numId w:val="2"/>
        </w:numPr>
      </w:pPr>
      <w:r>
        <w:t xml:space="preserve">[ ] Audit logging enabled for access to PHI systems and reviewed periodically</w:t>
      </w:r>
    </w:p>
    <w:p>
      <w:pPr>
        <w:pStyle w:val="ListParagraph"/>
        <w:numPr>
          <w:ilvl w:val="0"/>
          <w:numId w:val="2"/>
        </w:numPr>
      </w:pPr>
      <w:r>
        <w:t xml:space="preserve">[ ] Encryption applied to PHI at rest and in transit</w:t>
      </w:r>
    </w:p>
    <w:p>
      <w:pPr>
        <w:pStyle w:val="ListParagraph"/>
        <w:numPr>
          <w:ilvl w:val="0"/>
          <w:numId w:val="2"/>
        </w:numPr>
      </w:pPr>
      <w:r>
        <w:t xml:space="preserve">[ ] Automatic session timeout configured for systems displaying PHI</w:t>
      </w:r>
    </w:p>
    <w:p>
      <w:pPr>
        <w:pStyle w:val="ListParagraph"/>
        <w:numPr>
          <w:ilvl w:val="0"/>
          <w:numId w:val="2"/>
        </w:numPr>
      </w:pPr>
      <w:r>
        <w:t xml:space="preserve">[ ] Data quality rules flag unexpected PHI exposure (e.g., PHI fields appearing in non-restricted datasets) — see Data Quality Rules Library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6. Physical Safeguards</w:t>
      </w:r>
    </w:p>
    <w:p>
      <w:pPr>
        <w:pStyle w:val="ListParagraph"/>
        <w:numPr>
          <w:ilvl w:val="0"/>
          <w:numId w:val="2"/>
        </w:numPr>
      </w:pPr>
      <w:r>
        <w:t xml:space="preserve">[ ] Facility access controls limit physical access to systems/media containing PHI</w:t>
      </w:r>
    </w:p>
    <w:p>
      <w:pPr>
        <w:pStyle w:val="ListParagraph"/>
        <w:numPr>
          <w:ilvl w:val="0"/>
          <w:numId w:val="2"/>
        </w:numPr>
      </w:pPr>
      <w:r>
        <w:t xml:space="preserve">[ ] Workstation use policies define acceptable handling of PHI on workstations and mobile devices</w:t>
      </w:r>
    </w:p>
    <w:p>
      <w:pPr>
        <w:pStyle w:val="ListParagraph"/>
        <w:numPr>
          <w:ilvl w:val="0"/>
          <w:numId w:val="2"/>
        </w:numPr>
      </w:pPr>
      <w:r>
        <w:t xml:space="preserve">[ ] Device and media disposal procedures ensure PHI is unrecoverable (aligned with Data Retention Policy disposal standards)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7. PHI in Analytics and Research</w:t>
      </w:r>
    </w:p>
    <w:p>
      <w:pPr>
        <w:pStyle w:val="ListParagraph"/>
        <w:numPr>
          <w:ilvl w:val="0"/>
          <w:numId w:val="2"/>
        </w:numPr>
      </w:pPr>
      <w:r>
        <w:t xml:space="preserve">[ ] De-identification method (Safe Harbor or Expert Determination) documented for any dataset used outside direct treatment/operations purposes</w:t>
      </w:r>
    </w:p>
    <w:p>
      <w:pPr>
        <w:pStyle w:val="ListParagraph"/>
        <w:numPr>
          <w:ilvl w:val="0"/>
          <w:numId w:val="2"/>
        </w:numPr>
      </w:pPr>
      <w:r>
        <w:t xml:space="preserve">[ ] Limited Data Sets used with a Data Use Agreement where full de-identification is not feasible</w:t>
      </w:r>
    </w:p>
    <w:p>
      <w:pPr>
        <w:pStyle w:val="ListParagraph"/>
        <w:numPr>
          <w:ilvl w:val="0"/>
          <w:numId w:val="2"/>
        </w:numPr>
      </w:pPr>
      <w:r>
        <w:t xml:space="preserve">[ ] IRB or equivalent review completed for research uses of PHI, where applicable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8. Breach Response</w:t>
      </w:r>
    </w:p>
    <w:p>
      <w:pPr>
        <w:pStyle w:val="ListParagraph"/>
        <w:numPr>
          <w:ilvl w:val="0"/>
          <w:numId w:val="2"/>
        </w:numPr>
      </w:pPr>
      <w:r>
        <w:t xml:space="preserve">[ ] PHI-related incidents follow the Data Quality Incident Response process, with mandatory engagement of the Privacy/Security Officer</w:t>
      </w:r>
    </w:p>
    <w:p>
      <w:pPr>
        <w:pStyle w:val="ListParagraph"/>
        <w:numPr>
          <w:ilvl w:val="0"/>
          <w:numId w:val="2"/>
        </w:numPr>
      </w:pPr>
      <w:r>
        <w:t xml:space="preserve">[ ] Breach risk assessment performed per the HIPAA Breach Notification Rule four-factor test</w:t>
      </w:r>
    </w:p>
    <w:p>
      <w:pPr>
        <w:pStyle w:val="ListParagraph"/>
        <w:numPr>
          <w:ilvl w:val="0"/>
          <w:numId w:val="2"/>
        </w:numPr>
      </w:pPr>
      <w:r>
        <w:t xml:space="preserve">[ ] Notification timelines met: individuals (60 days), HHS (60 days for breaches ≥500 individuals, annually for smaller breaches), media (if applicable)</w:t>
      </w:r>
    </w:p>
    <w:p>
      <w:pPr>
        <w:pStyle w:val="ListParagraph"/>
        <w:numPr>
          <w:ilvl w:val="0"/>
          <w:numId w:val="2"/>
        </w:numPr>
      </w:pPr>
      <w:r>
        <w:t xml:space="preserve">[ ] Breach Notification Templates used for required notifications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9. Roles and Responsibilities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Responsibility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Privacy Officer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Owns HIPAA Privacy Rule compliance, training, and patient rights processes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 Officer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Owns HIPAA Security Rule technical and physical safeguards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Business/Technical Data Stewards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Apply PHI classification and access controls within their domain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Governance Council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Reviews HIPAA compliance status and significant incidents quarterly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10. Compliance Status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Area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 (Compliant / Partial / Gap)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Owner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Target Date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PHI Classification &amp; Mapping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[Status]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[Owner]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[Date]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Administrative Safeguards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[Status]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[Owner]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[Date]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Technical Safeguards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[Status]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[Owner]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[Date]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Physical Safeguards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[Status]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[Owner]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[Date]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Analytics/Research Use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[Status]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[Owner]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[Date]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Breach Response Readiness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[Status]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[Owner]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[Date]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4"/>
        </w:pBdr>
        <w:spacing w:after="200"/>
      </w:pPr>
    </w:p>
    <w:p>
      <w:pPr>
        <w:spacing w:after="160"/>
      </w:pPr>
      <w:r>
        <w:rPr>
          <w:b/>
          <w:bCs/>
        </w:rPr>
        <w:t xml:space="preserve">Document Control:</w:t>
      </w:r>
    </w:p>
    <w:p>
      <w:pPr>
        <w:pStyle w:val="ListParagraph"/>
        <w:numPr>
          <w:ilvl w:val="0"/>
          <w:numId w:val="2"/>
        </w:numPr>
      </w:pPr>
      <w:r>
        <w:t xml:space="preserve">This is a template document requiring customization and legal review for specific organizational needs</w:t>
      </w:r>
    </w:p>
    <w:p>
      <w:pPr>
        <w:pStyle w:val="ListParagraph"/>
        <w:numPr>
          <w:ilvl w:val="0"/>
          <w:numId w:val="2"/>
        </w:numPr>
      </w:pPr>
      <w:r>
        <w:t xml:space="preserve">Sections in [brackets] require organization-specific information</w:t>
      </w:r>
    </w:p>
    <w:p>
      <w:pPr>
        <w:pStyle w:val="ListParagraph"/>
        <w:numPr>
          <w:ilvl w:val="0"/>
          <w:numId w:val="2"/>
        </w:numPr>
      </w:pPr>
      <w:r>
        <w:t xml:space="preserve">Not a substitute for legal advice — engage qualified counsel for binding compliance determinations</w:t>
      </w:r>
    </w:p>
    <w:p>
      <w:pPr>
        <w:pStyle w:val="ListParagraph"/>
        <w:numPr>
          <w:ilvl w:val="0"/>
          <w:numId w:val="2"/>
        </w:numPr>
      </w:pPr>
      <w:r>
        <w:t xml:space="preserve">Regular updates required to maintain currency and effectiveness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08080"/>
        <w:sz w:val="16"/>
        <w:szCs w:val="16"/>
      </w:rPr>
      <w:t xml:space="preserve">HIPAA Data Handling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Data Governance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00000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100" w:before="160"/>
      <w:outlineLvl w:val="3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2026-06-30T20:53:32.735Z</dcterms:created>
  <dcterms:modified xsi:type="dcterms:W3CDTF">2026-06-30T20:53:32.735Z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