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IT Leader Implementation Guide</w:t>
      </w:r>
    </w:p>
    <w:p>
      <w:pPr>
        <w:pStyle w:val="Heading2"/>
      </w:pPr>
      <w:r>
        <w:t xml:space="preserve">Document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Field</w:t>
            </w:r>
          </w:p>
        </w:tc>
        <w:tc>
          <w:tcPr>
            <w:tcW w:type="dxa" w:w="50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Value</w:t>
            </w:r>
          </w:p>
        </w:tc>
      </w:tr>
      <w:tr>
        <w:trPr>
          <w:tblHeader w:val="false"/>
        </w:trPr>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Document Title</w:t>
            </w:r>
          </w:p>
        </w:tc>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[Organization Name] IT Leader Implementation Guide</w:t>
            </w:r>
          </w:p>
        </w:tc>
      </w:tr>
      <w:tr>
        <w:trPr>
          <w:tblHeader w:val="false"/>
        </w:trPr>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Version</w:t>
            </w:r>
          </w:p>
        </w:tc>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1.0</w:t>
            </w:r>
          </w:p>
        </w:tc>
      </w:tr>
      <w:tr>
        <w:trPr>
          <w:tblHeader w:val="false"/>
        </w:trPr>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Effective Date</w:t>
            </w:r>
          </w:p>
        </w:tc>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[Insert Date]</w:t>
            </w:r>
          </w:p>
        </w:tc>
      </w:tr>
      <w:tr>
        <w:trPr>
          <w:tblHeader w:val="false"/>
        </w:trPr>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Review Date</w:t>
            </w:r>
          </w:p>
        </w:tc>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[Insert Date - Recommend Annual]</w:t>
            </w:r>
          </w:p>
        </w:tc>
      </w:tr>
      <w:tr>
        <w:trPr>
          <w:tblHeader w:val="false"/>
        </w:trPr>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Owner</w:t>
            </w:r>
          </w:p>
        </w:tc>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[Chief Information Officer / IT Leadership]</w:t>
            </w:r>
          </w:p>
        </w:tc>
      </w:tr>
      <w:tr>
        <w:trPr>
          <w:tblHeader w:val="false"/>
        </w:trPr>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Approved By</w:t>
            </w:r>
          </w:p>
        </w:tc>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[Chief Data Officer]</w:t>
            </w:r>
          </w:p>
        </w:tc>
      </w:tr>
      <w:tr>
        <w:trPr>
          <w:tblHeader w:val="false"/>
        </w:trPr>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Classification</w:t>
            </w:r>
          </w:p>
        </w:tc>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Internal Use</w:t>
            </w:r>
          </w:p>
        </w:tc>
      </w:tr>
    </w:tbl>
    <w:p>
      <w:pPr>
        <w:spacing w:after="120"/>
      </w:pPr>
    </w:p>
    <w:p>
      <w:pPr>
        <w:pBdr>
          <w:bottom w:val="single" w:color="2E75B6" w:sz="6" w:space="4"/>
        </w:pBdr>
        <w:spacing w:after="200"/>
      </w:pPr>
    </w:p>
    <w:p>
      <w:pPr>
        <w:pStyle w:val="Heading2"/>
      </w:pPr>
      <w:r>
        <w:t xml:space="preserve">Purpose</w:t>
      </w:r>
    </w:p>
    <w:p>
      <w:pPr>
        <w:spacing w:after="160"/>
      </w:pPr>
      <w:r>
        <w:t xml:space="preserve">This guide orients IT leadership to their role in the data governance program — what's being asked of your teams, what tooling and architecture decisions are involved, and how to sequence technical work alongside the broader governance rollout.</w:t>
      </w:r>
    </w:p>
    <w:p>
      <w:pPr>
        <w:pBdr>
          <w:bottom w:val="single" w:color="2E75B6" w:sz="6" w:space="4"/>
        </w:pBdr>
        <w:spacing w:after="200"/>
      </w:pPr>
    </w:p>
    <w:p>
      <w:pPr>
        <w:pStyle w:val="Heading2"/>
      </w:pPr>
      <w:r>
        <w:t xml:space="preserve">1. Why IT Leadership Involvement Matters</w:t>
      </w:r>
    </w:p>
    <w:p>
      <w:pPr>
        <w:spacing w:after="160"/>
      </w:pPr>
      <w:r>
        <w:t xml:space="preserve">Data governance succeeds or fails on technical execution as much as policy. IT leadership decisions on architecture, tooling, and resourcing directly determine whether the catalog, quality rules, and lineage tracking described in this repository are achievable on the proposed timeline.</w:t>
      </w:r>
    </w:p>
    <w:p>
      <w:pPr>
        <w:pBdr>
          <w:bottom w:val="single" w:color="2E75B6" w:sz="6" w:space="4"/>
        </w:pBdr>
        <w:spacing w:after="200"/>
      </w:pPr>
    </w:p>
    <w:p>
      <w:pPr>
        <w:pStyle w:val="Heading2"/>
      </w:pPr>
      <w:r>
        <w:t xml:space="preserve">2. What's Being Asked of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Area</w:t>
            </w:r>
          </w:p>
        </w:tc>
        <w:tc>
          <w:tcPr>
            <w:tcW w:type="dxa" w:w="50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What's Needed</w:t>
            </w:r>
          </w:p>
        </w:tc>
      </w:tr>
      <w:tr>
        <w:trPr>
          <w:tblHeader w:val="false"/>
        </w:trPr>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Source system access</w:t>
            </w:r>
          </w:p>
        </w:tc>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Read access for scanning/profiling tools to systems in the pilot domain</w:t>
            </w:r>
          </w:p>
        </w:tc>
      </w:tr>
      <w:tr>
        <w:trPr>
          <w:tblHeader w:val="false"/>
        </w:trPr>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Catalog/tooling infrastructure</w:t>
            </w:r>
          </w:p>
        </w:tc>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Hosting environment for the data catalog (see Data_Catalog_Setup_Scripts.sql and Section 08 platform guides)</w:t>
            </w:r>
          </w:p>
        </w:tc>
      </w:tr>
      <w:tr>
        <w:trPr>
          <w:tblHeader w:val="false"/>
        </w:trPr>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Integration development</w:t>
            </w:r>
          </w:p>
        </w:tc>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ETL/ELT support for lineage capture and automated quality rule execution</w:t>
            </w:r>
          </w:p>
        </w:tc>
      </w:tr>
      <w:tr>
        <w:trPr>
          <w:tblHeader w:val="false"/>
        </w:trPr>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Security alignment</w:t>
            </w:r>
          </w:p>
        </w:tc>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Ensure governance tooling complies with the Data Privacy &amp; Security Policy</w:t>
            </w:r>
          </w:p>
        </w:tc>
      </w:tr>
      <w:tr>
        <w:trPr>
          <w:tblHeader w:val="false"/>
        </w:trPr>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Staffing</w:t>
            </w:r>
          </w:p>
        </w:tc>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Technical Data Steward time allocation from your team</w:t>
            </w:r>
          </w:p>
        </w:tc>
      </w:tr>
    </w:tbl>
    <w:p>
      <w:pPr>
        <w:spacing w:after="120"/>
      </w:pPr>
    </w:p>
    <w:p>
      <w:pPr>
        <w:pBdr>
          <w:bottom w:val="single" w:color="2E75B6" w:sz="6" w:space="4"/>
        </w:pBdr>
        <w:spacing w:after="200"/>
      </w:pPr>
    </w:p>
    <w:p>
      <w:pPr>
        <w:pStyle w:val="Heading2"/>
      </w:pPr>
      <w:r>
        <w:t xml:space="preserve">3. Technical Architecture Overview</w:t>
      </w:r>
    </w:p>
    <w:p>
      <w:pPr>
        <w:spacing w:after="160"/>
      </w:pPr>
      <w:r>
        <w:t xml:space="preserve">The reference architecture (see Integration_Architecture_Diagram.svg in Section 03) spans:</w:t>
      </w:r>
    </w:p>
    <w:p>
      <w:pPr>
        <w:pStyle w:val="ListParagraph"/>
        <w:numPr>
          <w:ilvl w:val="0"/>
          <w:numId w:val="2"/>
        </w:numPr>
      </w:pPr>
      <w:r>
        <w:rPr>
          <w:b/>
          <w:bCs/>
        </w:rPr>
        <w:t xml:space="preserve">Source Systems</w:t>
      </w:r>
      <w:r>
        <w:t xml:space="preserve"> — operational databases, SaaS platforms, files</w:t>
      </w:r>
    </w:p>
    <w:p>
      <w:pPr>
        <w:pStyle w:val="ListParagraph"/>
        <w:numPr>
          <w:ilvl w:val="0"/>
          <w:numId w:val="2"/>
        </w:numPr>
      </w:pPr>
      <w:r>
        <w:rPr>
          <w:b/>
          <w:bCs/>
        </w:rPr>
        <w:t xml:space="preserve">Ingestion &amp; Integration</w:t>
      </w:r>
      <w:r>
        <w:t xml:space="preserve"> — ETL/ELT orchestration (Talend, Informatica, or custom)</w:t>
      </w:r>
    </w:p>
    <w:p>
      <w:pPr>
        <w:pStyle w:val="ListParagraph"/>
        <w:numPr>
          <w:ilvl w:val="0"/>
          <w:numId w:val="2"/>
        </w:numPr>
      </w:pPr>
      <w:r>
        <w:rPr>
          <w:b/>
          <w:bCs/>
        </w:rPr>
        <w:t xml:space="preserve">Storage</w:t>
      </w:r>
      <w:r>
        <w:t xml:space="preserve"> — data warehouse and/or data lake</w:t>
      </w:r>
    </w:p>
    <w:p>
      <w:pPr>
        <w:pStyle w:val="ListParagraph"/>
        <w:numPr>
          <w:ilvl w:val="0"/>
          <w:numId w:val="2"/>
        </w:numPr>
      </w:pPr>
      <w:r>
        <w:rPr>
          <w:b/>
          <w:bCs/>
        </w:rPr>
        <w:t xml:space="preserve">Governance &amp; Quality Layer</w:t>
      </w:r>
      <w:r>
        <w:t xml:space="preserve"> — catalog, quality engine, lineage tracking</w:t>
      </w:r>
    </w:p>
    <w:p>
      <w:pPr>
        <w:pStyle w:val="ListParagraph"/>
        <w:numPr>
          <w:ilvl w:val="0"/>
          <w:numId w:val="2"/>
        </w:numPr>
      </w:pPr>
      <w:r>
        <w:rPr>
          <w:b/>
          <w:bCs/>
        </w:rPr>
        <w:t xml:space="preserve">Consumption</w:t>
      </w:r>
      <w:r>
        <w:t xml:space="preserve"> — BI dashboards, self-service analytics, ML/data science</w:t>
      </w:r>
    </w:p>
    <w:p>
      <w:pPr>
        <w:spacing w:after="160"/>
      </w:pPr>
      <w:r>
        <w:t xml:space="preserve">Review the platform-specific configuration guides in 08_Technology_Integration_Guides for your chosen toolchain (Collibra, Informatica, Talend, Power BI).</w:t>
      </w:r>
    </w:p>
    <w:p>
      <w:pPr>
        <w:pBdr>
          <w:bottom w:val="single" w:color="2E75B6" w:sz="6" w:space="4"/>
        </w:pBdr>
        <w:spacing w:after="200"/>
      </w:pPr>
    </w:p>
    <w:p>
      <w:pPr>
        <w:pStyle w:val="Heading2"/>
      </w:pPr>
      <w:r>
        <w:t xml:space="preserve">4. Recommended Technical Sequencing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Phase</w:t>
            </w:r>
          </w:p>
        </w:tc>
        <w:tc>
          <w:tcPr>
            <w:tcW w:type="dxa" w:w="50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Technical Focus</w:t>
            </w:r>
          </w:p>
        </w:tc>
      </w:tr>
      <w:tr>
        <w:trPr>
          <w:tblHeader w:val="false"/>
        </w:trPr>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Days 1-30</w:t>
            </w:r>
          </w:p>
        </w:tc>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Provision catalog environment; confirm pilot domain system access</w:t>
            </w:r>
          </w:p>
        </w:tc>
      </w:tr>
      <w:tr>
        <w:trPr>
          <w:tblHeader w:val="false"/>
        </w:trPr>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Days 31-60</w:t>
            </w:r>
          </w:p>
        </w:tc>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Register pilot domain assets; implement initial quality rules and lineage capture</w:t>
            </w:r>
          </w:p>
        </w:tc>
      </w:tr>
      <w:tr>
        <w:trPr>
          <w:tblHeader w:val="false"/>
        </w:trPr>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Days 61-90</w:t>
            </w:r>
          </w:p>
        </w:tc>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Automate metadata extraction and lineage discovery; integrate quality results into reporting</w:t>
            </w:r>
          </w:p>
        </w:tc>
      </w:tr>
      <w:tr>
        <w:trPr>
          <w:tblHeader w:val="false"/>
        </w:trPr>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Beyond 90 days</w:t>
            </w:r>
          </w:p>
        </w:tc>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Scale integration patterns to additional domains; formalize change management for schema changes</w:t>
            </w:r>
          </w:p>
        </w:tc>
      </w:tr>
    </w:tbl>
    <w:p>
      <w:pPr>
        <w:spacing w:after="120"/>
      </w:pPr>
    </w:p>
    <w:p>
      <w:pPr>
        <w:pBdr>
          <w:bottom w:val="single" w:color="2E75B6" w:sz="6" w:space="4"/>
        </w:pBdr>
        <w:spacing w:after="200"/>
      </w:pPr>
    </w:p>
    <w:p>
      <w:pPr>
        <w:pStyle w:val="Heading2"/>
      </w:pPr>
      <w:r>
        <w:t xml:space="preserve">5. Key Technical Assets in This Repository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Asset</w:t>
            </w:r>
          </w:p>
        </w:tc>
        <w:tc>
          <w:tcPr>
            <w:tcW w:type="dxa" w:w="50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Purpose</w:t>
            </w:r>
          </w:p>
        </w:tc>
      </w:tr>
      <w:tr>
        <w:trPr>
          <w:tblHeader w:val="false"/>
        </w:trPr>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Data_Catalog_Setup_Scripts.sql</w:t>
            </w:r>
          </w:p>
        </w:tc>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Foundational catalog schema</w:t>
            </w:r>
          </w:p>
        </w:tc>
      </w:tr>
      <w:tr>
        <w:trPr>
          <w:tblHeader w:val="false"/>
        </w:trPr>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Data_Profiling_Scripts.py</w:t>
            </w:r>
          </w:p>
        </w:tc>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Automated statistical profiling of new sources</w:t>
            </w:r>
          </w:p>
        </w:tc>
      </w:tr>
      <w:tr>
        <w:trPr>
          <w:tblHeader w:val="false"/>
        </w:trPr>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Metadata_Extraction_Tools.py</w:t>
            </w:r>
          </w:p>
        </w:tc>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Automated technical metadata capture</w:t>
            </w:r>
          </w:p>
        </w:tc>
      </w:tr>
      <w:tr>
        <w:trPr>
          <w:tblHeader w:val="false"/>
        </w:trPr>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Data_Lineage_Discovery_Tools.py</w:t>
            </w:r>
          </w:p>
        </w:tc>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Automated lineage discovery from SQL/ETL code</w:t>
            </w:r>
          </w:p>
        </w:tc>
      </w:tr>
      <w:tr>
        <w:trPr>
          <w:tblHeader w:val="false"/>
        </w:trPr>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Data_Quality_Rules_Library.py</w:t>
            </w:r>
          </w:p>
        </w:tc>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Reusable data quality rule engine</w:t>
            </w:r>
          </w:p>
        </w:tc>
      </w:tr>
      <w:tr>
        <w:trPr>
          <w:tblHeader w:val="false"/>
        </w:trPr>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Compliance_Reporting_Scripts.sql</w:t>
            </w:r>
          </w:p>
        </w:tc>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Compliance and SLA reporting views</w:t>
            </w:r>
          </w:p>
        </w:tc>
      </w:tr>
      <w:tr>
        <w:trPr>
          <w:tblHeader w:val="false"/>
        </w:trPr>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Governance/Metadata/Quality/Lineage API examples</w:t>
            </w:r>
          </w:p>
        </w:tc>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Integration patterns for connecting governance tooling to other systems</w:t>
            </w:r>
          </w:p>
        </w:tc>
      </w:tr>
    </w:tbl>
    <w:p>
      <w:pPr>
        <w:spacing w:after="120"/>
      </w:pPr>
    </w:p>
    <w:p>
      <w:pPr>
        <w:pBdr>
          <w:bottom w:val="single" w:color="2E75B6" w:sz="6" w:space="4"/>
        </w:pBdr>
        <w:spacing w:after="200"/>
      </w:pPr>
    </w:p>
    <w:p>
      <w:pPr>
        <w:pStyle w:val="Heading2"/>
      </w:pPr>
      <w:r>
        <w:t xml:space="preserve">6. Governance Considerations for Technical Decisions</w:t>
      </w:r>
    </w:p>
    <w:p>
      <w:pPr>
        <w:pStyle w:val="ListParagraph"/>
        <w:numPr>
          <w:ilvl w:val="0"/>
          <w:numId w:val="3"/>
        </w:numPr>
      </w:pPr>
      <w:r>
        <w:t xml:space="preserve">Any schema or pipeline change affecting a Critical Data Element should go through the change management process described in Metadata_Management_Procedures.md</w:t>
      </w:r>
    </w:p>
    <w:p>
      <w:pPr>
        <w:pStyle w:val="ListParagraph"/>
        <w:numPr>
          <w:ilvl w:val="0"/>
          <w:numId w:val="3"/>
        </w:numPr>
      </w:pPr>
      <w:r>
        <w:t xml:space="preserve">New systems/data sources should be registered in the catalog as part of standard system onboarding, not as an afterthought</w:t>
      </w:r>
    </w:p>
    <w:p>
      <w:pPr>
        <w:pStyle w:val="ListParagraph"/>
        <w:numPr>
          <w:ilvl w:val="0"/>
          <w:numId w:val="3"/>
        </w:numPr>
      </w:pPr>
      <w:r>
        <w:t xml:space="preserve">Production access to governed systems should follow the Data Request Workflow, not be granted ad hoc</w:t>
      </w:r>
    </w:p>
    <w:p>
      <w:pPr>
        <w:pBdr>
          <w:bottom w:val="single" w:color="2E75B6" w:sz="6" w:space="4"/>
        </w:pBdr>
        <w:spacing w:after="200"/>
      </w:pPr>
    </w:p>
    <w:p>
      <w:pPr>
        <w:pStyle w:val="Heading2"/>
      </w:pPr>
      <w:r>
        <w:t xml:space="preserve">7. Staffing and Resourcing Guidance</w:t>
      </w:r>
    </w:p>
    <w:p>
      <w:pPr>
        <w:pStyle w:val="ListParagraph"/>
        <w:numPr>
          <w:ilvl w:val="0"/>
          <w:numId w:val="3"/>
        </w:numPr>
      </w:pPr>
      <w:r>
        <w:t xml:space="preserve">Technical Data Stewards typically need 20-40% time allocation during active domain onboarding, dropping to 10-15% in steady state</w:t>
      </w:r>
    </w:p>
    <w:p>
      <w:pPr>
        <w:pStyle w:val="ListParagraph"/>
        <w:numPr>
          <w:ilvl w:val="0"/>
          <w:numId w:val="3"/>
        </w:numPr>
      </w:pPr>
      <w:r>
        <w:t xml:space="preserve">Budget for at least one dedicated Data Catalog Administrator if running a licensed governance platform (Collibra, Informatica EDC, etc.)</w:t>
      </w:r>
    </w:p>
    <w:p>
      <w:pPr>
        <w:pStyle w:val="ListParagraph"/>
        <w:numPr>
          <w:ilvl w:val="0"/>
          <w:numId w:val="3"/>
        </w:numPr>
      </w:pPr>
      <w:r>
        <w:t xml:space="preserve">Factor governance tooling integration work into existing sprint/project planning rather than treating it as "extra" work</w:t>
      </w:r>
    </w:p>
    <w:p>
      <w:pPr>
        <w:pBdr>
          <w:bottom w:val="single" w:color="2E75B6" w:sz="6" w:space="4"/>
        </w:pBdr>
        <w:spacing w:after="200"/>
      </w:pPr>
    </w:p>
    <w:p>
      <w:pPr>
        <w:pStyle w:val="Heading2"/>
      </w:pPr>
      <w:r>
        <w:t xml:space="preserve">8. Common Technical Pitfalls to Avoid</w:t>
      </w:r>
    </w:p>
    <w:p>
      <w:pPr>
        <w:spacing w:after="160"/>
      </w:pPr>
      <w:r>
        <w:t xml:space="preserve">See Common Implementation Pitfalls for the full list; most relevant for IT leadership:</w:t>
      </w:r>
    </w:p>
    <w:p>
      <w:pPr>
        <w:pStyle w:val="ListParagraph"/>
        <w:numPr>
          <w:ilvl w:val="0"/>
          <w:numId w:val="3"/>
        </w:numPr>
      </w:pPr>
      <w:r>
        <w:t xml:space="preserve">Cataloging without governance (deploying tooling without steward processes behind it)</w:t>
      </w:r>
    </w:p>
    <w:p>
      <w:pPr>
        <w:pStyle w:val="ListParagraph"/>
        <w:numPr>
          <w:ilvl w:val="0"/>
          <w:numId w:val="3"/>
        </w:numPr>
      </w:pPr>
      <w:r>
        <w:t xml:space="preserve">Assuming a single clean identifier exists across systems for identity resolution</w:t>
      </w:r>
    </w:p>
    <w:p>
      <w:pPr>
        <w:pStyle w:val="ListParagraph"/>
        <w:numPr>
          <w:ilvl w:val="0"/>
          <w:numId w:val="3"/>
        </w:numPr>
      </w:pPr>
      <w:r>
        <w:t xml:space="preserve">Ignoring legacy and shadow systems during discovery</w:t>
      </w:r>
    </w:p>
    <w:p>
      <w:pPr>
        <w:pBdr>
          <w:bottom w:val="single" w:color="2E75B6" w:sz="6" w:space="4"/>
        </w:pBdr>
        <w:spacing w:after="200"/>
      </w:pPr>
    </w:p>
    <w:p>
      <w:pPr>
        <w:spacing w:after="160"/>
      </w:pPr>
      <w:r>
        <w:rPr>
          <w:b/>
          <w:bCs/>
        </w:rPr>
        <w:t xml:space="preserve">Document Control:</w:t>
      </w:r>
    </w:p>
    <w:p>
      <w:pPr>
        <w:pStyle w:val="ListParagraph"/>
        <w:numPr>
          <w:ilvl w:val="0"/>
          <w:numId w:val="3"/>
        </w:numPr>
      </w:pPr>
      <w:r>
        <w:t xml:space="preserve">This is a template document requiring customization for specific organizational needs</w:t>
      </w:r>
    </w:p>
    <w:p>
      <w:pPr>
        <w:pStyle w:val="ListParagraph"/>
        <w:numPr>
          <w:ilvl w:val="0"/>
          <w:numId w:val="3"/>
        </w:numPr>
      </w:pPr>
      <w:r>
        <w:t xml:space="preserve">Sections in [brackets] require organization-specific information</w:t>
      </w:r>
    </w:p>
    <w:p>
      <w:pPr>
        <w:pStyle w:val="ListParagraph"/>
        <w:numPr>
          <w:ilvl w:val="0"/>
          <w:numId w:val="3"/>
        </w:numPr>
      </w:pPr>
      <w:r>
        <w:t xml:space="preserve">Pair with the Section 08 Technology Integration Guides for platform-specific configuration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6"/>
        <w:szCs w:val="16"/>
      </w:rPr>
      <w:t xml:space="preserve">IT Leader Implementation Guide</w:t>
    </w:r>
    <w:r>
      <w:rPr>
        <w:color w:val="808080"/>
        <w:sz w:val="16"/>
        <w:szCs w:val="16"/>
      </w:rPr>
      <w:t xml:space="preserve">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Data Governance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000000"/>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00000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000000"/>
      <w:sz w:val="23"/>
      <w:szCs w:val="23"/>
    </w:rPr>
  </w:style>
  <w:style w:type="paragraph" w:styleId="Heading4">
    <w:name w:val="Heading 4"/>
    <w:basedOn w:val="Normal"/>
    <w:next w:val="Normal"/>
    <w:qFormat/>
    <w:pPr>
      <w:spacing w:after="100" w:before="160"/>
      <w:outlineLvl w:val="3"/>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2026-06-30T21:05:52.302Z</dcterms:created>
  <dcterms:modified xsi:type="dcterms:W3CDTF">2026-06-30T21:05:52.302Z</dcterms:modified>
</cp:coreProperties>
</file>

<file path=docProps/custom.xml><?xml version="1.0" encoding="utf-8"?>
<Properties xmlns="http://schemas.openxmlformats.org/officeDocument/2006/custom-properties" xmlns:vt="http://schemas.openxmlformats.org/officeDocument/2006/docPropsVTypes"/>
</file>