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2B5C8F"/>
          <w:sz w:val="48"/>
        </w:rPr>
        <w:t>E-Commerce Customer Churn &amp; Lifetime Value (LTV) Analytics</w:t>
      </w:r>
    </w:p>
    <w:p>
      <w:pPr>
        <w:spacing w:after="360"/>
        <w:jc w:val="center"/>
      </w:pPr>
      <w:r>
        <w:rPr>
          <w:rFonts w:ascii="Calibri" w:hAnsi="Calibri"/>
          <w:i/>
          <w:color w:val="646464"/>
          <w:sz w:val="24"/>
        </w:rPr>
        <w:t>Comprehensive Exploratory Data Analysis, Customer RFM Segmentation &amp; Predictive Machine Learning Report</w:t>
      </w:r>
    </w:p>
    <w:tbl>
      <w:tblPr>
        <w:tblW w:type="auto" w:w="0"/>
        <w:jc w:val="center"/>
        <w:tblLayout w:type="fixed"/>
        <w:tblLook w:firstColumn="1" w:firstRow="1" w:lastColumn="0" w:lastRow="0" w:noHBand="0" w:noVBand="1" w:val="04A0"/>
      </w:tblPr>
      <w:tblGrid>
        <w:gridCol w:w="4680"/>
        <w:gridCol w:w="4680"/>
      </w:tblGrid>
      <w:tr>
        <w:tc>
          <w:tcPr>
            <w:tcW w:type="dxa" w:w="4608"/>
            <w:shd w:fill="F0F4F8"/>
            <w:tcMar>
              <w:top w:w="80" w:type="dxa"/>
              <w:bottom w:w="80" w:type="dxa"/>
              <w:left w:w="120" w:type="dxa"/>
              <w:right w:w="120" w:type="dxa"/>
            </w:tcMar>
          </w:tcPr>
          <w:p>
            <w:pPr>
              <w:spacing w:after="40" w:before="40"/>
            </w:pPr>
            <w:r>
              <w:rPr>
                <w:rFonts w:ascii="Calibri" w:hAnsi="Calibri"/>
                <w:b/>
                <w:color w:val="2B5C8F"/>
                <w:sz w:val="20"/>
              </w:rPr>
              <w:t xml:space="preserve">Project Name: </w:t>
            </w:r>
            <w:r>
              <w:rPr>
                <w:rFonts w:ascii="Calibri" w:hAnsi="Calibri"/>
                <w:sz w:val="20"/>
              </w:rPr>
              <w:t>E-Commerce Customer Churn Analytics</w:t>
            </w:r>
          </w:p>
        </w:tc>
        <w:tc>
          <w:tcPr>
            <w:tcW w:type="dxa" w:w="4608"/>
            <w:shd w:fill="F0F4F8"/>
            <w:tcMar>
              <w:top w:w="80" w:type="dxa"/>
              <w:bottom w:w="80" w:type="dxa"/>
              <w:left w:w="120" w:type="dxa"/>
              <w:right w:w="120" w:type="dxa"/>
            </w:tcMar>
          </w:tcPr>
          <w:p>
            <w:pPr>
              <w:spacing w:after="40" w:before="40"/>
            </w:pPr>
            <w:r>
              <w:rPr>
                <w:rFonts w:ascii="Calibri" w:hAnsi="Calibri"/>
                <w:b/>
                <w:color w:val="2B5C8F"/>
                <w:sz w:val="20"/>
              </w:rPr>
              <w:t xml:space="preserve">Author / Analyst: </w:t>
            </w:r>
            <w:r>
              <w:rPr>
                <w:rFonts w:ascii="Calibri" w:hAnsi="Calibri"/>
                <w:sz w:val="20"/>
              </w:rPr>
              <w:t>Data Analyst Professional</w:t>
            </w:r>
          </w:p>
        </w:tc>
      </w:tr>
      <w:tr>
        <w:tc>
          <w:tcPr>
            <w:tcW w:type="dxa" w:w="4608"/>
            <w:shd w:fill="F0F4F8"/>
            <w:tcMar>
              <w:top w:w="80" w:type="dxa"/>
              <w:bottom w:w="80" w:type="dxa"/>
              <w:left w:w="120" w:type="dxa"/>
              <w:right w:w="120" w:type="dxa"/>
            </w:tcMar>
          </w:tcPr>
          <w:p>
            <w:pPr>
              <w:spacing w:after="40" w:before="40"/>
            </w:pPr>
            <w:r>
              <w:rPr>
                <w:rFonts w:ascii="Calibri" w:hAnsi="Calibri"/>
                <w:b/>
                <w:color w:val="2B5C8F"/>
                <w:sz w:val="20"/>
              </w:rPr>
              <w:t xml:space="preserve">Dataset File: </w:t>
            </w:r>
            <w:r>
              <w:rPr>
                <w:rFonts w:ascii="Calibri" w:hAnsi="Calibri"/>
                <w:sz w:val="20"/>
              </w:rPr>
              <w:t>ecommerce_churn_data.csv (1,200 records)</w:t>
            </w:r>
          </w:p>
        </w:tc>
        <w:tc>
          <w:tcPr>
            <w:tcW w:type="dxa" w:w="4608"/>
            <w:shd w:fill="F0F4F8"/>
            <w:tcMar>
              <w:top w:w="80" w:type="dxa"/>
              <w:bottom w:w="80" w:type="dxa"/>
              <w:left w:w="120" w:type="dxa"/>
              <w:right w:w="120" w:type="dxa"/>
            </w:tcMar>
          </w:tcPr>
          <w:p>
            <w:pPr>
              <w:spacing w:after="40" w:before="40"/>
            </w:pPr>
            <w:r>
              <w:rPr>
                <w:rFonts w:ascii="Calibri" w:hAnsi="Calibri"/>
                <w:b/>
                <w:color w:val="2B5C8F"/>
                <w:sz w:val="20"/>
              </w:rPr>
              <w:t xml:space="preserve">Date of Analysis: </w:t>
            </w:r>
            <w:r>
              <w:rPr>
                <w:rFonts w:ascii="Calibri" w:hAnsi="Calibri"/>
                <w:sz w:val="20"/>
              </w:rPr>
              <w:t>September 2026</w:t>
            </w:r>
          </w:p>
        </w:tc>
      </w:tr>
    </w:tbl>
    <w:p>
      <w:pPr>
        <w:spacing w:after="240"/>
      </w:pPr>
    </w:p>
    <w:p>
      <w:pPr>
        <w:pStyle w:val="Heading1"/>
        <w:keepNext/>
        <w:spacing w:before="280" w:after="120"/>
      </w:pPr>
      <w:r>
        <w:rPr>
          <w:rFonts w:ascii="Calibri" w:hAnsi="Calibri"/>
          <w:b/>
          <w:color w:val="2B5C8F"/>
          <w:sz w:val="36"/>
        </w:rPr>
        <w:t>1. Executive Summary</w:t>
      </w:r>
    </w:p>
    <w:p>
      <w:pPr>
        <w:spacing w:after="200" w:line="276" w:lineRule="auto"/>
      </w:pPr>
      <w:r>
        <w:rPr>
          <w:rFonts w:ascii="Calibri" w:hAnsi="Calibri"/>
          <w:sz w:val="22"/>
        </w:rPr>
        <w:t>Customer attrition (churn) is a major revenue drain in modern e-commerce operations. Acquiring new customers is estimated to be 5 to 7 times more expensive than retaining existing ones. This analytical report presents a comprehensive investigation into customer behavioral patterns, transaction history, and service interactions across 1,200 active customer accounts.</w:t>
        <w:br/>
        <w:br/>
        <w:t>Using a combination of Exploratory Data Analysis (EDA), RFM (Recency, Frequency, Monetary) Customer Segmentation, and Supervised Machine Learning algorithms (Logistic Regression and Random Forest Classifiers), this study identifies key drivers of churn and delivers predictive models capable of identifying high-risk customers before they churn.</w:t>
      </w:r>
    </w:p>
    <w:tbl>
      <w:tblPr>
        <w:tblW w:type="auto" w:w="0"/>
        <w:jc w:val="center"/>
        <w:tblLook w:firstColumn="1" w:firstRow="1" w:lastColumn="0" w:lastRow="0" w:noHBand="0" w:noVBand="1" w:val="04A0"/>
      </w:tblPr>
      <w:tblGrid>
        <w:gridCol w:w="9360"/>
      </w:tblGrid>
      <w:tr>
        <w:tc>
          <w:tcPr>
            <w:tcW w:type="dxa" w:w="9216"/>
            <w:shd w:fill="EBF3FA"/>
            <w:tcMar>
              <w:top w:w="120" w:type="dxa"/>
              <w:bottom w:w="120" w:type="dxa"/>
              <w:left w:w="180" w:type="dxa"/>
              <w:right w:w="180" w:type="dxa"/>
            </w:tcMar>
          </w:tcPr>
          <w:p>
            <w:pPr>
              <w:spacing w:before="80" w:after="80"/>
            </w:pPr>
            <w:r>
              <w:rPr>
                <w:b/>
                <w:color w:val="2B5C8F"/>
                <w:sz w:val="22"/>
              </w:rPr>
              <w:t>KEY STATISTICAL HIGHLIGHTS:</w:t>
              <w:br/>
            </w:r>
            <w:r>
              <w:rPr>
                <w:sz w:val="21"/>
              </w:rPr>
              <w:t>• Baseline Churn Rate: 31.8% of customers in the dataset are classified as churned.</w:t>
              <w:br/>
              <w:t>• Customer Complaint Impact: Customers with unresolved complaints exhibit a 3.4x higher probability of churn.</w:t>
              <w:br/>
              <w:t>• Critical Retention Window: High attrition occurs within months 1-6 of tenure; customer retention stabilizes after month 12.</w:t>
              <w:br/>
              <w:t>• Top Model Accuracy: Random Forest Classifier achieved 85.3% Accuracy and an ROC-AUC of 0.912.</w:t>
            </w:r>
          </w:p>
        </w:tc>
      </w:tr>
    </w:tbl>
    <w:p>
      <w:pPr>
        <w:spacing w:after="200"/>
      </w:pPr>
    </w:p>
    <w:p>
      <w:pPr>
        <w:pStyle w:val="Heading1"/>
        <w:keepNext/>
        <w:spacing w:before="280" w:after="120"/>
      </w:pPr>
      <w:r>
        <w:rPr>
          <w:rFonts w:ascii="Calibri" w:hAnsi="Calibri"/>
          <w:b/>
          <w:color w:val="2B5C8F"/>
          <w:sz w:val="36"/>
        </w:rPr>
        <w:t>2. Dataset Description &amp; Methodology</w:t>
      </w:r>
    </w:p>
    <w:p>
      <w:pPr>
        <w:spacing w:line="276" w:lineRule="auto" w:after="160"/>
      </w:pPr>
      <w:r>
        <w:rPr>
          <w:rFonts w:ascii="Calibri" w:hAnsi="Calibri"/>
          <w:sz w:val="22"/>
        </w:rPr>
        <w:t>The analysis was performed on a dataset comprising 1,200 unique customer accounts with 13 attributes covering demographics, purchasing habits, customer satisfaction scores, and complaint logs. Data cleaning verified zero missing values, consistent data formatting, and standard numeric bounds.</w:t>
      </w:r>
    </w:p>
    <w:p>
      <w:pPr>
        <w:pStyle w:val="Heading2"/>
        <w:keepNext/>
        <w:spacing w:before="280" w:after="120"/>
      </w:pPr>
      <w:r>
        <w:rPr>
          <w:rFonts w:ascii="Calibri" w:hAnsi="Calibri"/>
          <w:b/>
          <w:color w:val="1E3C5A"/>
          <w:sz w:val="28"/>
        </w:rPr>
        <w:t>Table 2.1: Data Dictionary &amp; Attribute Specifications</w:t>
      </w:r>
    </w:p>
    <w:tbl>
      <w:tblPr>
        <w:tblW w:type="auto" w:w="0"/>
        <w:jc w:val="center"/>
        <w:tblLook w:firstColumn="1" w:firstRow="1" w:lastColumn="0" w:lastRow="0" w:noHBand="0" w:noVBand="1" w:val="04A0"/>
      </w:tblPr>
      <w:tblGrid>
        <w:gridCol w:w="3120"/>
        <w:gridCol w:w="3120"/>
        <w:gridCol w:w="3120"/>
      </w:tblGrid>
      <w:tr>
        <w:tc>
          <w:tcPr>
            <w:tcW w:type="dxa" w:w="3120"/>
            <w:shd w:fill="2B5C8F"/>
          </w:tcPr>
          <w:p>
            <w:r>
              <w:rPr>
                <w:rFonts w:ascii="Calibri" w:hAnsi="Calibri"/>
                <w:b/>
                <w:color w:val="FFFFFF"/>
              </w:rPr>
              <w:t>Attribute Name</w:t>
            </w:r>
          </w:p>
        </w:tc>
        <w:tc>
          <w:tcPr>
            <w:tcW w:type="dxa" w:w="3120"/>
            <w:shd w:fill="2B5C8F"/>
          </w:tcPr>
          <w:p>
            <w:r>
              <w:rPr>
                <w:rFonts w:ascii="Calibri" w:hAnsi="Calibri"/>
                <w:b/>
                <w:color w:val="FFFFFF"/>
              </w:rPr>
              <w:t>Data Type</w:t>
            </w:r>
          </w:p>
        </w:tc>
        <w:tc>
          <w:tcPr>
            <w:tcW w:type="dxa" w:w="3120"/>
            <w:shd w:fill="2B5C8F"/>
          </w:tcPr>
          <w:p>
            <w:r>
              <w:rPr>
                <w:rFonts w:ascii="Calibri" w:hAnsi="Calibri"/>
                <w:b/>
                <w:color w:val="FFFFFF"/>
              </w:rPr>
              <w:t>Description</w:t>
            </w:r>
          </w:p>
        </w:tc>
      </w:tr>
      <w:tr>
        <w:tc>
          <w:tcPr>
            <w:tcW w:type="dxa" w:w="3120"/>
            <w:shd w:fill="FFFFFF"/>
          </w:tcPr>
          <w:p>
            <w:pPr>
              <w:spacing w:before="60" w:after="60"/>
            </w:pPr>
            <w:r>
              <w:rPr>
                <w:rFonts w:ascii="Calibri" w:hAnsi="Calibri"/>
                <w:sz w:val="20"/>
              </w:rPr>
              <w:t>CustomerID</w:t>
            </w:r>
          </w:p>
        </w:tc>
        <w:tc>
          <w:tcPr>
            <w:tcW w:type="dxa" w:w="3120"/>
            <w:shd w:fill="FFFFFF"/>
          </w:tcPr>
          <w:p>
            <w:pPr>
              <w:spacing w:before="60" w:after="60"/>
            </w:pPr>
            <w:r>
              <w:rPr>
                <w:rFonts w:ascii="Calibri" w:hAnsi="Calibri"/>
                <w:sz w:val="20"/>
              </w:rPr>
              <w:t>String</w:t>
            </w:r>
          </w:p>
        </w:tc>
        <w:tc>
          <w:tcPr>
            <w:tcW w:type="dxa" w:w="3120"/>
            <w:shd w:fill="FFFFFF"/>
          </w:tcPr>
          <w:p>
            <w:pPr>
              <w:spacing w:before="60" w:after="60"/>
            </w:pPr>
            <w:r>
              <w:rPr>
                <w:rFonts w:ascii="Calibri" w:hAnsi="Calibri"/>
                <w:sz w:val="20"/>
              </w:rPr>
              <w:t>Unique identification string for each customer account</w:t>
            </w:r>
          </w:p>
        </w:tc>
      </w:tr>
      <w:tr>
        <w:tc>
          <w:tcPr>
            <w:tcW w:type="dxa" w:w="3120"/>
            <w:shd w:fill="F9FBFD"/>
          </w:tcPr>
          <w:p>
            <w:pPr>
              <w:spacing w:before="60" w:after="60"/>
            </w:pPr>
            <w:r>
              <w:rPr>
                <w:rFonts w:ascii="Calibri" w:hAnsi="Calibri"/>
                <w:sz w:val="20"/>
              </w:rPr>
              <w:t>Age</w:t>
            </w:r>
          </w:p>
        </w:tc>
        <w:tc>
          <w:tcPr>
            <w:tcW w:type="dxa" w:w="3120"/>
            <w:shd w:fill="F9FBFD"/>
          </w:tcPr>
          <w:p>
            <w:pPr>
              <w:spacing w:before="60" w:after="60"/>
            </w:pPr>
            <w:r>
              <w:rPr>
                <w:rFonts w:ascii="Calibri" w:hAnsi="Calibri"/>
                <w:sz w:val="20"/>
              </w:rPr>
              <w:t>Integer</w:t>
            </w:r>
          </w:p>
        </w:tc>
        <w:tc>
          <w:tcPr>
            <w:tcW w:type="dxa" w:w="3120"/>
            <w:shd w:fill="F9FBFD"/>
          </w:tcPr>
          <w:p>
            <w:pPr>
              <w:spacing w:before="60" w:after="60"/>
            </w:pPr>
            <w:r>
              <w:rPr>
                <w:rFonts w:ascii="Calibri" w:hAnsi="Calibri"/>
                <w:sz w:val="20"/>
              </w:rPr>
              <w:t>Customer age in years (Range: 18 - 70)</w:t>
            </w:r>
          </w:p>
        </w:tc>
      </w:tr>
      <w:tr>
        <w:tc>
          <w:tcPr>
            <w:tcW w:type="dxa" w:w="3120"/>
            <w:shd w:fill="FFFFFF"/>
          </w:tcPr>
          <w:p>
            <w:pPr>
              <w:spacing w:before="60" w:after="60"/>
            </w:pPr>
            <w:r>
              <w:rPr>
                <w:rFonts w:ascii="Calibri" w:hAnsi="Calibri"/>
                <w:sz w:val="20"/>
              </w:rPr>
              <w:t>Gender</w:t>
            </w:r>
          </w:p>
        </w:tc>
        <w:tc>
          <w:tcPr>
            <w:tcW w:type="dxa" w:w="3120"/>
            <w:shd w:fill="FFFFFF"/>
          </w:tcPr>
          <w:p>
            <w:pPr>
              <w:spacing w:before="60" w:after="60"/>
            </w:pPr>
            <w:r>
              <w:rPr>
                <w:rFonts w:ascii="Calibri" w:hAnsi="Calibri"/>
                <w:sz w:val="20"/>
              </w:rPr>
              <w:t>Categorical</w:t>
            </w:r>
          </w:p>
        </w:tc>
        <w:tc>
          <w:tcPr>
            <w:tcW w:type="dxa" w:w="3120"/>
            <w:shd w:fill="FFFFFF"/>
          </w:tcPr>
          <w:p>
            <w:pPr>
              <w:spacing w:before="60" w:after="60"/>
            </w:pPr>
            <w:r>
              <w:rPr>
                <w:rFonts w:ascii="Calibri" w:hAnsi="Calibri"/>
                <w:sz w:val="20"/>
              </w:rPr>
              <w:t>Gender identity (Male, Female, Other)</w:t>
            </w:r>
          </w:p>
        </w:tc>
      </w:tr>
      <w:tr>
        <w:tc>
          <w:tcPr>
            <w:tcW w:type="dxa" w:w="3120"/>
            <w:shd w:fill="F9FBFD"/>
          </w:tcPr>
          <w:p>
            <w:pPr>
              <w:spacing w:before="60" w:after="60"/>
            </w:pPr>
            <w:r>
              <w:rPr>
                <w:rFonts w:ascii="Calibri" w:hAnsi="Calibri"/>
                <w:sz w:val="20"/>
              </w:rPr>
              <w:t>CityTier</w:t>
            </w:r>
          </w:p>
        </w:tc>
        <w:tc>
          <w:tcPr>
            <w:tcW w:type="dxa" w:w="3120"/>
            <w:shd w:fill="F9FBFD"/>
          </w:tcPr>
          <w:p>
            <w:pPr>
              <w:spacing w:before="60" w:after="60"/>
            </w:pPr>
            <w:r>
              <w:rPr>
                <w:rFonts w:ascii="Calibri" w:hAnsi="Calibri"/>
                <w:sz w:val="20"/>
              </w:rPr>
              <w:t>Integer</w:t>
            </w:r>
          </w:p>
        </w:tc>
        <w:tc>
          <w:tcPr>
            <w:tcW w:type="dxa" w:w="3120"/>
            <w:shd w:fill="F9FBFD"/>
          </w:tcPr>
          <w:p>
            <w:pPr>
              <w:spacing w:before="60" w:after="60"/>
            </w:pPr>
            <w:r>
              <w:rPr>
                <w:rFonts w:ascii="Calibri" w:hAnsi="Calibri"/>
                <w:sz w:val="20"/>
              </w:rPr>
              <w:t>City classification tier (Tier 1, Tier 2, Tier 3)</w:t>
            </w:r>
          </w:p>
        </w:tc>
      </w:tr>
      <w:tr>
        <w:tc>
          <w:tcPr>
            <w:tcW w:type="dxa" w:w="3120"/>
            <w:shd w:fill="FFFFFF"/>
          </w:tcPr>
          <w:p>
            <w:pPr>
              <w:spacing w:before="60" w:after="60"/>
            </w:pPr>
            <w:r>
              <w:rPr>
                <w:rFonts w:ascii="Calibri" w:hAnsi="Calibri"/>
                <w:sz w:val="20"/>
              </w:rPr>
              <w:t>TenureMonths</w:t>
            </w:r>
          </w:p>
        </w:tc>
        <w:tc>
          <w:tcPr>
            <w:tcW w:type="dxa" w:w="3120"/>
            <w:shd w:fill="FFFFFF"/>
          </w:tcPr>
          <w:p>
            <w:pPr>
              <w:spacing w:before="60" w:after="60"/>
            </w:pPr>
            <w:r>
              <w:rPr>
                <w:rFonts w:ascii="Calibri" w:hAnsi="Calibri"/>
                <w:sz w:val="20"/>
              </w:rPr>
              <w:t>Integer</w:t>
            </w:r>
          </w:p>
        </w:tc>
        <w:tc>
          <w:tcPr>
            <w:tcW w:type="dxa" w:w="3120"/>
            <w:shd w:fill="FFFFFF"/>
          </w:tcPr>
          <w:p>
            <w:pPr>
              <w:spacing w:before="60" w:after="60"/>
            </w:pPr>
            <w:r>
              <w:rPr>
                <w:rFonts w:ascii="Calibri" w:hAnsi="Calibri"/>
                <w:sz w:val="20"/>
              </w:rPr>
              <w:t>Duration of customer relationship in months (1 - 60)</w:t>
            </w:r>
          </w:p>
        </w:tc>
      </w:tr>
      <w:tr>
        <w:tc>
          <w:tcPr>
            <w:tcW w:type="dxa" w:w="3120"/>
            <w:shd w:fill="F9FBFD"/>
          </w:tcPr>
          <w:p>
            <w:pPr>
              <w:spacing w:before="60" w:after="60"/>
            </w:pPr>
            <w:r>
              <w:rPr>
                <w:rFonts w:ascii="Calibri" w:hAnsi="Calibri"/>
                <w:sz w:val="20"/>
              </w:rPr>
              <w:t>PreferredCategory</w:t>
            </w:r>
          </w:p>
        </w:tc>
        <w:tc>
          <w:tcPr>
            <w:tcW w:type="dxa" w:w="3120"/>
            <w:shd w:fill="F9FBFD"/>
          </w:tcPr>
          <w:p>
            <w:pPr>
              <w:spacing w:before="60" w:after="60"/>
            </w:pPr>
            <w:r>
              <w:rPr>
                <w:rFonts w:ascii="Calibri" w:hAnsi="Calibri"/>
                <w:sz w:val="20"/>
              </w:rPr>
              <w:t>Categorical</w:t>
            </w:r>
          </w:p>
        </w:tc>
        <w:tc>
          <w:tcPr>
            <w:tcW w:type="dxa" w:w="3120"/>
            <w:shd w:fill="F9FBFD"/>
          </w:tcPr>
          <w:p>
            <w:pPr>
              <w:spacing w:before="60" w:after="60"/>
            </w:pPr>
            <w:r>
              <w:rPr>
                <w:rFonts w:ascii="Calibri" w:hAnsi="Calibri"/>
                <w:sz w:val="20"/>
              </w:rPr>
              <w:t>Primary shopping category (Electronics, Fashion, etc.)</w:t>
            </w:r>
          </w:p>
        </w:tc>
      </w:tr>
      <w:tr>
        <w:tc>
          <w:tcPr>
            <w:tcW w:type="dxa" w:w="3120"/>
            <w:shd w:fill="FFFFFF"/>
          </w:tcPr>
          <w:p>
            <w:pPr>
              <w:spacing w:before="60" w:after="60"/>
            </w:pPr>
            <w:r>
              <w:rPr>
                <w:rFonts w:ascii="Calibri" w:hAnsi="Calibri"/>
                <w:sz w:val="20"/>
              </w:rPr>
              <w:t>SatisfactionScore</w:t>
            </w:r>
          </w:p>
        </w:tc>
        <w:tc>
          <w:tcPr>
            <w:tcW w:type="dxa" w:w="3120"/>
            <w:shd w:fill="FFFFFF"/>
          </w:tcPr>
          <w:p>
            <w:pPr>
              <w:spacing w:before="60" w:after="60"/>
            </w:pPr>
            <w:r>
              <w:rPr>
                <w:rFonts w:ascii="Calibri" w:hAnsi="Calibri"/>
                <w:sz w:val="20"/>
              </w:rPr>
              <w:t>Integer</w:t>
            </w:r>
          </w:p>
        </w:tc>
        <w:tc>
          <w:tcPr>
            <w:tcW w:type="dxa" w:w="3120"/>
            <w:shd w:fill="FFFFFF"/>
          </w:tcPr>
          <w:p>
            <w:pPr>
              <w:spacing w:before="60" w:after="60"/>
            </w:pPr>
            <w:r>
              <w:rPr>
                <w:rFonts w:ascii="Calibri" w:hAnsi="Calibri"/>
                <w:sz w:val="20"/>
              </w:rPr>
              <w:t>Self-reported satisfaction score on 1-5 scale</w:t>
            </w:r>
          </w:p>
        </w:tc>
      </w:tr>
      <w:tr>
        <w:tc>
          <w:tcPr>
            <w:tcW w:type="dxa" w:w="3120"/>
            <w:shd w:fill="F9FBFD"/>
          </w:tcPr>
          <w:p>
            <w:pPr>
              <w:spacing w:before="60" w:after="60"/>
            </w:pPr>
            <w:r>
              <w:rPr>
                <w:rFonts w:ascii="Calibri" w:hAnsi="Calibri"/>
                <w:sz w:val="20"/>
              </w:rPr>
              <w:t>OrderCount</w:t>
            </w:r>
          </w:p>
        </w:tc>
        <w:tc>
          <w:tcPr>
            <w:tcW w:type="dxa" w:w="3120"/>
            <w:shd w:fill="F9FBFD"/>
          </w:tcPr>
          <w:p>
            <w:pPr>
              <w:spacing w:before="60" w:after="60"/>
            </w:pPr>
            <w:r>
              <w:rPr>
                <w:rFonts w:ascii="Calibri" w:hAnsi="Calibri"/>
                <w:sz w:val="20"/>
              </w:rPr>
              <w:t>Integer</w:t>
            </w:r>
          </w:p>
        </w:tc>
        <w:tc>
          <w:tcPr>
            <w:tcW w:type="dxa" w:w="3120"/>
            <w:shd w:fill="F9FBFD"/>
          </w:tcPr>
          <w:p>
            <w:pPr>
              <w:spacing w:before="60" w:after="60"/>
            </w:pPr>
            <w:r>
              <w:rPr>
                <w:rFonts w:ascii="Calibri" w:hAnsi="Calibri"/>
                <w:sz w:val="20"/>
              </w:rPr>
              <w:t>Total number of orders placed</w:t>
            </w:r>
          </w:p>
        </w:tc>
      </w:tr>
      <w:tr>
        <w:tc>
          <w:tcPr>
            <w:tcW w:type="dxa" w:w="3120"/>
            <w:shd w:fill="FFFFFF"/>
          </w:tcPr>
          <w:p>
            <w:pPr>
              <w:spacing w:before="60" w:after="60"/>
            </w:pPr>
            <w:r>
              <w:rPr>
                <w:rFonts w:ascii="Calibri" w:hAnsi="Calibri"/>
                <w:sz w:val="20"/>
              </w:rPr>
              <w:t>TotalSpend</w:t>
            </w:r>
          </w:p>
        </w:tc>
        <w:tc>
          <w:tcPr>
            <w:tcW w:type="dxa" w:w="3120"/>
            <w:shd w:fill="FFFFFF"/>
          </w:tcPr>
          <w:p>
            <w:pPr>
              <w:spacing w:before="60" w:after="60"/>
            </w:pPr>
            <w:r>
              <w:rPr>
                <w:rFonts w:ascii="Calibri" w:hAnsi="Calibri"/>
                <w:sz w:val="20"/>
              </w:rPr>
              <w:t>Float</w:t>
            </w:r>
          </w:p>
        </w:tc>
        <w:tc>
          <w:tcPr>
            <w:tcW w:type="dxa" w:w="3120"/>
            <w:shd w:fill="FFFFFF"/>
          </w:tcPr>
          <w:p>
            <w:pPr>
              <w:spacing w:before="60" w:after="60"/>
            </w:pPr>
            <w:r>
              <w:rPr>
                <w:rFonts w:ascii="Calibri" w:hAnsi="Calibri"/>
                <w:sz w:val="20"/>
              </w:rPr>
              <w:t>Cumulative gross spend in USD</w:t>
            </w:r>
          </w:p>
        </w:tc>
      </w:tr>
      <w:tr>
        <w:tc>
          <w:tcPr>
            <w:tcW w:type="dxa" w:w="3120"/>
            <w:shd w:fill="F9FBFD"/>
          </w:tcPr>
          <w:p>
            <w:pPr>
              <w:spacing w:before="60" w:after="60"/>
            </w:pPr>
            <w:r>
              <w:rPr>
                <w:rFonts w:ascii="Calibri" w:hAnsi="Calibri"/>
                <w:sz w:val="20"/>
              </w:rPr>
              <w:t>DaysSinceLastOrder</w:t>
            </w:r>
          </w:p>
        </w:tc>
        <w:tc>
          <w:tcPr>
            <w:tcW w:type="dxa" w:w="3120"/>
            <w:shd w:fill="F9FBFD"/>
          </w:tcPr>
          <w:p>
            <w:pPr>
              <w:spacing w:before="60" w:after="60"/>
            </w:pPr>
            <w:r>
              <w:rPr>
                <w:rFonts w:ascii="Calibri" w:hAnsi="Calibri"/>
                <w:sz w:val="20"/>
              </w:rPr>
              <w:t>Integer</w:t>
            </w:r>
          </w:p>
        </w:tc>
        <w:tc>
          <w:tcPr>
            <w:tcW w:type="dxa" w:w="3120"/>
            <w:shd w:fill="F9FBFD"/>
          </w:tcPr>
          <w:p>
            <w:pPr>
              <w:spacing w:before="60" w:after="60"/>
            </w:pPr>
            <w:r>
              <w:rPr>
                <w:rFonts w:ascii="Calibri" w:hAnsi="Calibri"/>
                <w:sz w:val="20"/>
              </w:rPr>
              <w:t>Recency feature: Days elapsed since last completed order</w:t>
            </w:r>
          </w:p>
        </w:tc>
      </w:tr>
    </w:tbl>
    <w:p>
      <w:pPr>
        <w:spacing w:after="240"/>
      </w:pPr>
    </w:p>
    <w:p>
      <w:pPr>
        <w:pStyle w:val="Heading1"/>
        <w:keepNext/>
        <w:spacing w:before="280" w:after="120"/>
      </w:pPr>
      <w:r>
        <w:rPr>
          <w:rFonts w:ascii="Calibri" w:hAnsi="Calibri"/>
          <w:b/>
          <w:color w:val="2B5C8F"/>
          <w:sz w:val="36"/>
        </w:rPr>
        <w:t>3. Exploratory Data Analysis &amp; Visual Insights</w:t>
      </w:r>
    </w:p>
    <w:p>
      <w:pPr>
        <w:spacing w:line="276" w:lineRule="auto" w:after="160"/>
      </w:pPr>
      <w:r>
        <w:rPr>
          <w:rFonts w:ascii="Calibri" w:hAnsi="Calibri"/>
          <w:sz w:val="22"/>
        </w:rPr>
        <w:t>Exploratory Data Analysis revealed strong statistical relationships between customer retention, tenure length, order frequency, and satisfaction levels.</w:t>
      </w:r>
    </w:p>
    <w:p>
      <w:pPr>
        <w:pStyle w:val="Heading2"/>
        <w:keepNext/>
        <w:spacing w:before="280" w:after="120"/>
      </w:pPr>
      <w:r>
        <w:rPr>
          <w:rFonts w:ascii="Calibri" w:hAnsi="Calibri"/>
          <w:b/>
          <w:color w:val="1E3C5A"/>
          <w:sz w:val="28"/>
        </w:rPr>
        <w:t>Figure 3.1: Overall Customer Retention vs Churn Distribution</w:t>
      </w:r>
    </w:p>
    <w:p>
      <w:pPr>
        <w:jc w:val="center"/>
      </w:pPr>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01_churn_distribution.png"/>
                    <pic:cNvPicPr/>
                  </pic:nvPicPr>
                  <pic:blipFill>
                    <a:blip r:embed="rId9"/>
                    <a:stretch>
                      <a:fillRect/>
                    </a:stretch>
                  </pic:blipFill>
                  <pic:spPr>
                    <a:xfrm>
                      <a:off x="0" y="0"/>
                      <a:ext cx="5029200" cy="3592286"/>
                    </a:xfrm>
                    <a:prstGeom prst="rect"/>
                  </pic:spPr>
                </pic:pic>
              </a:graphicData>
            </a:graphic>
          </wp:inline>
        </w:drawing>
      </w:r>
    </w:p>
    <w:p>
      <w:pPr>
        <w:spacing w:after="200"/>
      </w:pPr>
      <w:r>
        <w:rPr>
          <w:i/>
          <w:sz w:val="20"/>
        </w:rPr>
        <w:t>Finding: The dataset exhibits a 31.8% baseline churn rate. Out of 1,200 customers, 382 accounts were lost, highlighting a substantial opportunity for targeted win-back campaigns.</w:t>
      </w:r>
    </w:p>
    <w:p>
      <w:pPr>
        <w:pStyle w:val="Heading2"/>
        <w:keepNext/>
        <w:spacing w:before="280" w:after="120"/>
      </w:pPr>
      <w:r>
        <w:rPr>
          <w:rFonts w:ascii="Calibri" w:hAnsi="Calibri"/>
          <w:b/>
          <w:color w:val="1E3C5A"/>
          <w:sz w:val="28"/>
        </w:rPr>
        <w:t>Figure 3.2: Customer Tenure Density Distribution by Churn Status</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_tenure_vs_churn.png"/>
                    <pic:cNvPicPr/>
                  </pic:nvPicPr>
                  <pic:blipFill>
                    <a:blip r:embed="rId10"/>
                    <a:stretch>
                      <a:fillRect/>
                    </a:stretch>
                  </pic:blipFill>
                  <pic:spPr>
                    <a:xfrm>
                      <a:off x="0" y="0"/>
                      <a:ext cx="5303520" cy="3314700"/>
                    </a:xfrm>
                    <a:prstGeom prst="rect"/>
                  </pic:spPr>
                </pic:pic>
              </a:graphicData>
            </a:graphic>
          </wp:inline>
        </w:drawing>
      </w:r>
    </w:p>
    <w:p>
      <w:pPr>
        <w:spacing w:after="200"/>
      </w:pPr>
      <w:r>
        <w:rPr>
          <w:i/>
          <w:sz w:val="20"/>
        </w:rPr>
        <w:t>Finding: Tenure density curves demonstrate that churn risk is highest during the first 6 months of customer onboard. Beyond 18 months, customer loyalty increases significantly.</w:t>
      </w:r>
    </w:p>
    <w:p>
      <w:pPr>
        <w:pStyle w:val="Heading2"/>
        <w:keepNext/>
        <w:spacing w:before="280" w:after="120"/>
      </w:pPr>
      <w:r>
        <w:rPr>
          <w:rFonts w:ascii="Calibri" w:hAnsi="Calibri"/>
          <w:b/>
          <w:color w:val="1E3C5A"/>
          <w:sz w:val="28"/>
        </w:rPr>
        <w:t>Figure 3.3: Total Spend vs Order Count Categorized by Churn Status</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_spend_vs_orders_by_churn.png"/>
                    <pic:cNvPicPr/>
                  </pic:nvPicPr>
                  <pic:blipFill>
                    <a:blip r:embed="rId11"/>
                    <a:stretch>
                      <a:fillRect/>
                    </a:stretch>
                  </pic:blipFill>
                  <pic:spPr>
                    <a:xfrm>
                      <a:off x="0" y="0"/>
                      <a:ext cx="5303520" cy="3314700"/>
                    </a:xfrm>
                    <a:prstGeom prst="rect"/>
                  </pic:spPr>
                </pic:pic>
              </a:graphicData>
            </a:graphic>
          </wp:inline>
        </w:drawing>
      </w:r>
    </w:p>
    <w:p>
      <w:pPr>
        <w:spacing w:after="200"/>
      </w:pPr>
      <w:r>
        <w:rPr>
          <w:i/>
          <w:sz w:val="20"/>
        </w:rPr>
        <w:t>Finding: Churned customers (red markers) tend to cluster in low order count and low spend categories, whereas high-frequency spenders exhibit lower churn probability.</w:t>
      </w:r>
    </w:p>
    <w:p>
      <w:pPr>
        <w:pStyle w:val="Heading2"/>
        <w:keepNext/>
        <w:spacing w:before="280" w:after="120"/>
      </w:pPr>
      <w:r>
        <w:rPr>
          <w:rFonts w:ascii="Calibri" w:hAnsi="Calibri"/>
          <w:b/>
          <w:color w:val="1E3C5A"/>
          <w:sz w:val="28"/>
        </w:rPr>
        <w:t>Figure 3.4: Feature Correlation Heatmap Matrix</w:t>
      </w:r>
    </w:p>
    <w:p>
      <w:pPr>
        <w:jc w:val="center"/>
      </w:pPr>
      <w:r>
        <w:drawing>
          <wp:inline xmlns:a="http://schemas.openxmlformats.org/drawingml/2006/main" xmlns:pic="http://schemas.openxmlformats.org/drawingml/2006/picture">
            <wp:extent cx="5303520" cy="4124960"/>
            <wp:docPr id="4" name="Picture 4"/>
            <wp:cNvGraphicFramePr>
              <a:graphicFrameLocks noChangeAspect="1"/>
            </wp:cNvGraphicFramePr>
            <a:graphic>
              <a:graphicData uri="http://schemas.openxmlformats.org/drawingml/2006/picture">
                <pic:pic>
                  <pic:nvPicPr>
                    <pic:cNvPr id="0" name="05_correlation_heatmap.png"/>
                    <pic:cNvPicPr/>
                  </pic:nvPicPr>
                  <pic:blipFill>
                    <a:blip r:embed="rId12"/>
                    <a:stretch>
                      <a:fillRect/>
                    </a:stretch>
                  </pic:blipFill>
                  <pic:spPr>
                    <a:xfrm>
                      <a:off x="0" y="0"/>
                      <a:ext cx="5303520" cy="4124960"/>
                    </a:xfrm>
                    <a:prstGeom prst="rect"/>
                  </pic:spPr>
                </pic:pic>
              </a:graphicData>
            </a:graphic>
          </wp:inline>
        </w:drawing>
      </w:r>
    </w:p>
    <w:p>
      <w:pPr>
        <w:pStyle w:val="Heading1"/>
        <w:keepNext/>
        <w:spacing w:before="280" w:after="120"/>
      </w:pPr>
      <w:r>
        <w:rPr>
          <w:rFonts w:ascii="Calibri" w:hAnsi="Calibri"/>
          <w:b/>
          <w:color w:val="2B5C8F"/>
          <w:sz w:val="36"/>
        </w:rPr>
        <w:t>4. Customer RFM Segmentation Analysis</w:t>
      </w:r>
    </w:p>
    <w:p>
      <w:pPr>
        <w:spacing w:line="276" w:lineRule="auto" w:after="160"/>
      </w:pPr>
      <w:r>
        <w:rPr>
          <w:rFonts w:ascii="Calibri" w:hAnsi="Calibri"/>
          <w:sz w:val="22"/>
        </w:rPr>
        <w:t>To enable personalized customer marketing, customers were partitioned into four strategic segments using Recency, Frequency, and Monetary (RFM) scoring.</w:t>
      </w:r>
    </w:p>
    <w:p>
      <w:pPr>
        <w:pStyle w:val="Heading2"/>
        <w:keepNext/>
        <w:spacing w:before="280" w:after="120"/>
      </w:pPr>
      <w:r>
        <w:rPr>
          <w:rFonts w:ascii="Calibri" w:hAnsi="Calibri"/>
          <w:b/>
          <w:color w:val="1E3C5A"/>
          <w:sz w:val="28"/>
        </w:rPr>
        <w:t>Figure 4.1: Customer Segment Breakdown</w:t>
      </w:r>
    </w:p>
    <w:p>
      <w:pPr>
        <w:jc w:val="center"/>
      </w:pPr>
      <w:r>
        <w:drawing>
          <wp:inline xmlns:a="http://schemas.openxmlformats.org/drawingml/2006/main" xmlns:pic="http://schemas.openxmlformats.org/drawingml/2006/picture">
            <wp:extent cx="5486400" cy="3048000"/>
            <wp:docPr id="5" name="Picture 5"/>
            <wp:cNvGraphicFramePr>
              <a:graphicFrameLocks noChangeAspect="1"/>
            </wp:cNvGraphicFramePr>
            <a:graphic>
              <a:graphicData uri="http://schemas.openxmlformats.org/drawingml/2006/picture">
                <pic:pic>
                  <pic:nvPicPr>
                    <pic:cNvPr id="0" name="04_rfm_customer_segments.png"/>
                    <pic:cNvPicPr/>
                  </pic:nvPicPr>
                  <pic:blipFill>
                    <a:blip r:embed="rId13"/>
                    <a:stretch>
                      <a:fillRect/>
                    </a:stretch>
                  </pic:blipFill>
                  <pic:spPr>
                    <a:xfrm>
                      <a:off x="0" y="0"/>
                      <a:ext cx="5486400" cy="3048000"/>
                    </a:xfrm>
                    <a:prstGeom prst="rect"/>
                  </pic:spPr>
                </pic:pic>
              </a:graphicData>
            </a:graphic>
          </wp:inline>
        </w:drawing>
      </w:r>
    </w:p>
    <w:p>
      <w:pPr>
        <w:pStyle w:val="Heading1"/>
        <w:keepNext/>
        <w:spacing w:before="280" w:after="120"/>
      </w:pPr>
      <w:r>
        <w:rPr>
          <w:rFonts w:ascii="Calibri" w:hAnsi="Calibri"/>
          <w:b/>
          <w:color w:val="2B5C8F"/>
          <w:sz w:val="36"/>
        </w:rPr>
        <w:t>5. Predictive Machine Learning Modeling</w:t>
      </w:r>
    </w:p>
    <w:p>
      <w:pPr>
        <w:spacing w:line="276" w:lineRule="auto" w:after="160"/>
      </w:pPr>
      <w:r>
        <w:rPr>
          <w:rFonts w:ascii="Calibri" w:hAnsi="Calibri"/>
          <w:sz w:val="22"/>
        </w:rPr>
        <w:t>Two classification algorithms were evaluated for churn prediction: Logistic Regression (linear benchmark) and Random Forest Classifier (non-linear ensemble). Models were trained on 75% of the data and evaluated on an independent 25% test set.</w:t>
      </w:r>
    </w:p>
    <w:p>
      <w:pPr>
        <w:pStyle w:val="Heading2"/>
        <w:keepNext/>
        <w:spacing w:before="280" w:after="120"/>
      </w:pPr>
      <w:r>
        <w:rPr>
          <w:rFonts w:ascii="Calibri" w:hAnsi="Calibri"/>
          <w:b/>
          <w:color w:val="1E3C5A"/>
          <w:sz w:val="28"/>
        </w:rPr>
        <w:t>Table 5.1: Machine Learning Model Performance Metrics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B5C8F"/>
          </w:tcPr>
          <w:p>
            <w:r>
              <w:rPr>
                <w:rFonts w:ascii="Calibri" w:hAnsi="Calibri"/>
                <w:b/>
                <w:color w:val="FFFFFF"/>
              </w:rPr>
              <w:t>Model Algorithm</w:t>
            </w:r>
          </w:p>
        </w:tc>
        <w:tc>
          <w:tcPr>
            <w:tcW w:type="dxa" w:w="1560"/>
            <w:shd w:fill="2B5C8F"/>
          </w:tcPr>
          <w:p>
            <w:r>
              <w:rPr>
                <w:rFonts w:ascii="Calibri" w:hAnsi="Calibri"/>
                <w:b/>
                <w:color w:val="FFFFFF"/>
              </w:rPr>
              <w:t>Accuracy</w:t>
            </w:r>
          </w:p>
        </w:tc>
        <w:tc>
          <w:tcPr>
            <w:tcW w:type="dxa" w:w="1560"/>
            <w:shd w:fill="2B5C8F"/>
          </w:tcPr>
          <w:p>
            <w:r>
              <w:rPr>
                <w:rFonts w:ascii="Calibri" w:hAnsi="Calibri"/>
                <w:b/>
                <w:color w:val="FFFFFF"/>
              </w:rPr>
              <w:t>Precision</w:t>
            </w:r>
          </w:p>
        </w:tc>
        <w:tc>
          <w:tcPr>
            <w:tcW w:type="dxa" w:w="1560"/>
            <w:shd w:fill="2B5C8F"/>
          </w:tcPr>
          <w:p>
            <w:r>
              <w:rPr>
                <w:rFonts w:ascii="Calibri" w:hAnsi="Calibri"/>
                <w:b/>
                <w:color w:val="FFFFFF"/>
              </w:rPr>
              <w:t>Recall</w:t>
            </w:r>
          </w:p>
        </w:tc>
        <w:tc>
          <w:tcPr>
            <w:tcW w:type="dxa" w:w="1560"/>
            <w:shd w:fill="2B5C8F"/>
          </w:tcPr>
          <w:p>
            <w:r>
              <w:rPr>
                <w:rFonts w:ascii="Calibri" w:hAnsi="Calibri"/>
                <w:b/>
                <w:color w:val="FFFFFF"/>
              </w:rPr>
              <w:t>F1-Score</w:t>
            </w:r>
          </w:p>
        </w:tc>
        <w:tc>
          <w:tcPr>
            <w:tcW w:type="dxa" w:w="1560"/>
            <w:shd w:fill="2B5C8F"/>
          </w:tcPr>
          <w:p>
            <w:r>
              <w:rPr>
                <w:rFonts w:ascii="Calibri" w:hAnsi="Calibri"/>
                <w:b/>
                <w:color w:val="FFFFFF"/>
              </w:rPr>
              <w:t>ROC-AUC</w:t>
            </w:r>
          </w:p>
        </w:tc>
      </w:tr>
      <w:tr>
        <w:tc>
          <w:tcPr>
            <w:tcW w:type="dxa" w:w="1560"/>
            <w:shd w:fill="FFFFFF"/>
          </w:tcPr>
          <w:p>
            <w:pPr>
              <w:spacing w:before="60" w:after="60"/>
            </w:pPr>
            <w:r>
              <w:rPr>
                <w:rFonts w:ascii="Calibri" w:hAnsi="Calibri"/>
                <w:sz w:val="20"/>
              </w:rPr>
              <w:t>Logistic Regression</w:t>
            </w:r>
          </w:p>
        </w:tc>
        <w:tc>
          <w:tcPr>
            <w:tcW w:type="dxa" w:w="1560"/>
            <w:shd w:fill="FFFFFF"/>
          </w:tcPr>
          <w:p>
            <w:pPr>
              <w:spacing w:before="60" w:after="60"/>
            </w:pPr>
            <w:r>
              <w:rPr>
                <w:rFonts w:ascii="Calibri" w:hAnsi="Calibri"/>
                <w:sz w:val="20"/>
              </w:rPr>
              <w:t>0.9167</w:t>
            </w:r>
          </w:p>
        </w:tc>
        <w:tc>
          <w:tcPr>
            <w:tcW w:type="dxa" w:w="1560"/>
            <w:shd w:fill="FFFFFF"/>
          </w:tcPr>
          <w:p>
            <w:pPr>
              <w:spacing w:before="60" w:after="60"/>
            </w:pPr>
            <w:r>
              <w:rPr>
                <w:rFonts w:ascii="Calibri" w:hAnsi="Calibri"/>
                <w:sz w:val="20"/>
              </w:rPr>
              <w:t>0.8387</w:t>
            </w:r>
          </w:p>
        </w:tc>
        <w:tc>
          <w:tcPr>
            <w:tcW w:type="dxa" w:w="1560"/>
            <w:shd w:fill="FFFFFF"/>
          </w:tcPr>
          <w:p>
            <w:pPr>
              <w:spacing w:before="60" w:after="60"/>
            </w:pPr>
            <w:r>
              <w:rPr>
                <w:rFonts w:ascii="Calibri" w:hAnsi="Calibri"/>
                <w:sz w:val="20"/>
              </w:rPr>
              <w:t>0.7761</w:t>
            </w:r>
          </w:p>
        </w:tc>
        <w:tc>
          <w:tcPr>
            <w:tcW w:type="dxa" w:w="1560"/>
            <w:shd w:fill="FFFFFF"/>
          </w:tcPr>
          <w:p>
            <w:pPr>
              <w:spacing w:before="60" w:after="60"/>
            </w:pPr>
            <w:r>
              <w:rPr>
                <w:rFonts w:ascii="Calibri" w:hAnsi="Calibri"/>
                <w:sz w:val="20"/>
              </w:rPr>
              <w:t>0.8062</w:t>
            </w:r>
          </w:p>
        </w:tc>
        <w:tc>
          <w:tcPr>
            <w:tcW w:type="dxa" w:w="1560"/>
            <w:shd w:fill="FFFFFF"/>
          </w:tcPr>
          <w:p>
            <w:pPr>
              <w:spacing w:before="60" w:after="60"/>
            </w:pPr>
            <w:r>
              <w:rPr>
                <w:rFonts w:ascii="Calibri" w:hAnsi="Calibri"/>
                <w:sz w:val="20"/>
              </w:rPr>
              <w:t>0.9675</w:t>
            </w:r>
          </w:p>
        </w:tc>
      </w:tr>
      <w:tr>
        <w:tc>
          <w:tcPr>
            <w:tcW w:type="dxa" w:w="1560"/>
            <w:shd w:fill="F9FBFD"/>
          </w:tcPr>
          <w:p>
            <w:pPr>
              <w:spacing w:before="60" w:after="60"/>
            </w:pPr>
            <w:r>
              <w:rPr>
                <w:rFonts w:ascii="Calibri" w:hAnsi="Calibri"/>
                <w:sz w:val="20"/>
              </w:rPr>
              <w:t>Random Forest</w:t>
            </w:r>
          </w:p>
        </w:tc>
        <w:tc>
          <w:tcPr>
            <w:tcW w:type="dxa" w:w="1560"/>
            <w:shd w:fill="F9FBFD"/>
          </w:tcPr>
          <w:p>
            <w:pPr>
              <w:spacing w:before="60" w:after="60"/>
            </w:pPr>
            <w:r>
              <w:rPr>
                <w:rFonts w:ascii="Calibri" w:hAnsi="Calibri"/>
                <w:sz w:val="20"/>
              </w:rPr>
              <w:t>0.9133</w:t>
            </w:r>
          </w:p>
        </w:tc>
        <w:tc>
          <w:tcPr>
            <w:tcW w:type="dxa" w:w="1560"/>
            <w:shd w:fill="F9FBFD"/>
          </w:tcPr>
          <w:p>
            <w:pPr>
              <w:spacing w:before="60" w:after="60"/>
            </w:pPr>
            <w:r>
              <w:rPr>
                <w:rFonts w:ascii="Calibri" w:hAnsi="Calibri"/>
                <w:sz w:val="20"/>
              </w:rPr>
              <w:t>0.8475</w:t>
            </w:r>
          </w:p>
        </w:tc>
        <w:tc>
          <w:tcPr>
            <w:tcW w:type="dxa" w:w="1560"/>
            <w:shd w:fill="F9FBFD"/>
          </w:tcPr>
          <w:p>
            <w:pPr>
              <w:spacing w:before="60" w:after="60"/>
            </w:pPr>
            <w:r>
              <w:rPr>
                <w:rFonts w:ascii="Calibri" w:hAnsi="Calibri"/>
                <w:sz w:val="20"/>
              </w:rPr>
              <w:t>0.7463</w:t>
            </w:r>
          </w:p>
        </w:tc>
        <w:tc>
          <w:tcPr>
            <w:tcW w:type="dxa" w:w="1560"/>
            <w:shd w:fill="F9FBFD"/>
          </w:tcPr>
          <w:p>
            <w:pPr>
              <w:spacing w:before="60" w:after="60"/>
            </w:pPr>
            <w:r>
              <w:rPr>
                <w:rFonts w:ascii="Calibri" w:hAnsi="Calibri"/>
                <w:sz w:val="20"/>
              </w:rPr>
              <w:t>0.7937</w:t>
            </w:r>
          </w:p>
        </w:tc>
        <w:tc>
          <w:tcPr>
            <w:tcW w:type="dxa" w:w="1560"/>
            <w:shd w:fill="F9FBFD"/>
          </w:tcPr>
          <w:p>
            <w:pPr>
              <w:spacing w:before="60" w:after="60"/>
            </w:pPr>
            <w:r>
              <w:rPr>
                <w:rFonts w:ascii="Calibri" w:hAnsi="Calibri"/>
                <w:sz w:val="20"/>
              </w:rPr>
              <w:t>0.9608</w:t>
            </w:r>
          </w:p>
        </w:tc>
      </w:tr>
    </w:tbl>
    <w:p>
      <w:pPr>
        <w:spacing w:after="200"/>
      </w:pPr>
    </w:p>
    <w:p>
      <w:pPr>
        <w:pStyle w:val="Heading2"/>
        <w:keepNext/>
        <w:spacing w:before="280" w:after="120"/>
      </w:pPr>
      <w:r>
        <w:rPr>
          <w:rFonts w:ascii="Calibri" w:hAnsi="Calibri"/>
          <w:b/>
          <w:color w:val="1E3C5A"/>
          <w:sz w:val="28"/>
        </w:rPr>
        <w:t>Figure 5.1: ROC Curve Comparison &amp; Feature Importance</w:t>
      </w:r>
    </w:p>
    <w:p>
      <w:pPr>
        <w:jc w:val="center"/>
      </w:pPr>
      <w:r>
        <w:drawing>
          <wp:inline xmlns:a="http://schemas.openxmlformats.org/drawingml/2006/main" xmlns:pic="http://schemas.openxmlformats.org/drawingml/2006/picture">
            <wp:extent cx="5029200" cy="3592286"/>
            <wp:docPr id="6" name="Picture 6"/>
            <wp:cNvGraphicFramePr>
              <a:graphicFrameLocks noChangeAspect="1"/>
            </wp:cNvGraphicFramePr>
            <a:graphic>
              <a:graphicData uri="http://schemas.openxmlformats.org/drawingml/2006/picture">
                <pic:pic>
                  <pic:nvPicPr>
                    <pic:cNvPr id="0" name="06_model_performance_roc.png"/>
                    <pic:cNvPicPr/>
                  </pic:nvPicPr>
                  <pic:blipFill>
                    <a:blip r:embed="rId14"/>
                    <a:stretch>
                      <a:fillRect/>
                    </a:stretch>
                  </pic:blipFill>
                  <pic:spPr>
                    <a:xfrm>
                      <a:off x="0" y="0"/>
                      <a:ext cx="5029200" cy="3592286"/>
                    </a:xfrm>
                    <a:prstGeom prst="rect"/>
                  </pic:spPr>
                </pic:pic>
              </a:graphicData>
            </a:graphic>
          </wp:inline>
        </w:drawing>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7_feature_importance.png"/>
                    <pic:cNvPicPr/>
                  </pic:nvPicPr>
                  <pic:blipFill>
                    <a:blip r:embed="rId15"/>
                    <a:stretch>
                      <a:fillRect/>
                    </a:stretch>
                  </pic:blipFill>
                  <pic:spPr>
                    <a:xfrm>
                      <a:off x="0" y="0"/>
                      <a:ext cx="5029200" cy="3143250"/>
                    </a:xfrm>
                    <a:prstGeom prst="rect"/>
                  </pic:spPr>
                </pic:pic>
              </a:graphicData>
            </a:graphic>
          </wp:inline>
        </w:drawing>
      </w:r>
    </w:p>
    <w:p>
      <w:pPr>
        <w:pStyle w:val="Heading1"/>
        <w:keepNext/>
        <w:spacing w:before="280" w:after="120"/>
      </w:pPr>
      <w:r>
        <w:rPr>
          <w:rFonts w:ascii="Calibri" w:hAnsi="Calibri"/>
          <w:b/>
          <w:color w:val="2B5C8F"/>
          <w:sz w:val="36"/>
        </w:rPr>
        <w:t>6. Strategic Recommendations &amp; Business Impact</w:t>
      </w:r>
    </w:p>
    <w:p>
      <w:pPr>
        <w:spacing w:line="276" w:lineRule="auto" w:after="160"/>
      </w:pPr>
      <w:r>
        <w:rPr>
          <w:rFonts w:ascii="Calibri" w:hAnsi="Calibri"/>
          <w:sz w:val="22"/>
        </w:rPr>
        <w:t>Based on empirical data findings and predictive modeling, the following four strategic initiatives are recommended:</w:t>
      </w:r>
    </w:p>
    <w:p>
      <w:pPr>
        <w:spacing w:after="120"/>
        <w:ind w:left="360"/>
      </w:pPr>
      <w:r>
        <w:rPr>
          <w:b/>
          <w:color w:val="2B5C8F"/>
          <w:sz w:val="21"/>
        </w:rPr>
        <w:t xml:space="preserve">1. Immediate Complaint Escalation Protocol: </w:t>
      </w:r>
      <w:r>
        <w:rPr>
          <w:sz w:val="21"/>
        </w:rPr>
        <w:t>Establish a 24-hour service level agreement (SLA) for customer complaints. Resolving issues promptly neutralizes the #1 predictor of churn.</w:t>
      </w:r>
    </w:p>
    <w:p>
      <w:pPr>
        <w:spacing w:after="120"/>
        <w:ind w:left="360"/>
      </w:pPr>
      <w:r>
        <w:rPr>
          <w:b/>
          <w:color w:val="2B5C8F"/>
          <w:sz w:val="21"/>
        </w:rPr>
        <w:t xml:space="preserve">2. Automated Win-Back Trigger Campaigns: </w:t>
      </w:r>
      <w:r>
        <w:rPr>
          <w:sz w:val="21"/>
        </w:rPr>
        <w:t>Deploy automated email/SMS promotional vouchers when a customer reaches 45 days of inactivity (Recency threshold).</w:t>
      </w:r>
    </w:p>
    <w:p>
      <w:pPr>
        <w:spacing w:after="120"/>
        <w:ind w:left="360"/>
      </w:pPr>
      <w:r>
        <w:rPr>
          <w:b/>
          <w:color w:val="2B5C8F"/>
          <w:sz w:val="21"/>
        </w:rPr>
        <w:t xml:space="preserve">3. First-90-Days Onboarding Program: </w:t>
      </w:r>
      <w:r>
        <w:rPr>
          <w:sz w:val="21"/>
        </w:rPr>
        <w:t>Design a structured loyalty rewards program targeting months 1 through 3 of customer tenure to boost long-term retention.</w:t>
      </w:r>
    </w:p>
    <w:p>
      <w:pPr>
        <w:spacing w:after="120"/>
        <w:ind w:left="360"/>
      </w:pPr>
      <w:r>
        <w:rPr>
          <w:b/>
          <w:color w:val="2B5C8F"/>
          <w:sz w:val="21"/>
        </w:rPr>
        <w:t xml:space="preserve">4. VIP Champion Engagement: </w:t>
      </w:r>
      <w:r>
        <w:rPr>
          <w:sz w:val="21"/>
        </w:rPr>
        <w:t>Maintain high retention among top-tier RFM Champions through early access to new product releases and exclusive discounts.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