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C38" w14:textId="3A88CD56" w:rsidR="00835305" w:rsidRDefault="00835305">
      <w:pPr>
        <w:spacing w:before="1300"/>
        <w:rPr>
          <w:b/>
          <w:bCs/>
          <w:color w:val="6F8E5A"/>
          <w:sz w:val="52"/>
          <w:szCs w:val="52"/>
        </w:rPr>
      </w:pPr>
      <w:r>
        <w:rPr>
          <w:rFonts w:hint="eastAsia"/>
          <w:noProof/>
        </w:rPr>
        <w:drawing>
          <wp:anchor distT="0" distB="0" distL="114300" distR="114300" simplePos="0" relativeHeight="251659264" behindDoc="0" locked="0" layoutInCell="1" allowOverlap="1" wp14:anchorId="2D3A308A" wp14:editId="1D80B6B5">
            <wp:simplePos x="0" y="0"/>
            <wp:positionH relativeFrom="margin">
              <wp:posOffset>628650</wp:posOffset>
            </wp:positionH>
            <wp:positionV relativeFrom="margin">
              <wp:posOffset>1225550</wp:posOffset>
            </wp:positionV>
            <wp:extent cx="4470400" cy="940647"/>
            <wp:effectExtent l="0" t="0" r="0" b="0"/>
            <wp:wrapSquare wrapText="bothSides"/>
            <wp:docPr id="2028007429" name="Picture 1" descr="Bio S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7429" name="Picture 1" descr="Bio Sen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0400" cy="940647"/>
                    </a:xfrm>
                    <a:prstGeom prst="rect">
                      <a:avLst/>
                    </a:prstGeom>
                  </pic:spPr>
                </pic:pic>
              </a:graphicData>
            </a:graphic>
          </wp:anchor>
        </w:drawing>
      </w:r>
    </w:p>
    <w:p w14:paraId="79E516F5" w14:textId="43EF8DC1" w:rsidR="00570271" w:rsidRDefault="00835305" w:rsidP="00835305">
      <w:pPr>
        <w:spacing w:before="1300"/>
        <w:jc w:val="center"/>
      </w:pPr>
      <w:r>
        <w:rPr>
          <w:b/>
          <w:bCs/>
          <w:color w:val="6F8E5A"/>
          <w:sz w:val="52"/>
          <w:szCs w:val="52"/>
        </w:rPr>
        <w:br/>
      </w:r>
      <w:proofErr w:type="spellStart"/>
      <w:r w:rsidR="00C213F8">
        <w:rPr>
          <w:b/>
          <w:bCs/>
          <w:color w:val="6F8E5A"/>
          <w:sz w:val="52"/>
          <w:szCs w:val="52"/>
        </w:rPr>
        <w:t>BioSense</w:t>
      </w:r>
      <w:proofErr w:type="spellEnd"/>
      <w:r w:rsidR="00C213F8">
        <w:rPr>
          <w:b/>
          <w:bCs/>
          <w:color w:val="6F8E5A"/>
          <w:sz w:val="52"/>
          <w:szCs w:val="52"/>
        </w:rPr>
        <w:t xml:space="preserve"> Health OS</w:t>
      </w:r>
    </w:p>
    <w:p w14:paraId="79E516F6" w14:textId="77777777" w:rsidR="00570271" w:rsidRDefault="00C213F8" w:rsidP="00835305">
      <w:pPr>
        <w:spacing w:before="40"/>
        <w:jc w:val="center"/>
      </w:pPr>
      <w:r>
        <w:rPr>
          <w:b/>
          <w:bCs/>
          <w:sz w:val="34"/>
          <w:szCs w:val="34"/>
        </w:rPr>
        <w:t>System Completion Specification</w:t>
      </w:r>
    </w:p>
    <w:p w14:paraId="79E516F7" w14:textId="77777777" w:rsidR="00570271" w:rsidRDefault="00C213F8" w:rsidP="00835305">
      <w:pPr>
        <w:spacing w:before="60" w:after="380"/>
        <w:jc w:val="center"/>
      </w:pPr>
      <w:r>
        <w:rPr>
          <w:i/>
          <w:iCs/>
          <w:color w:val="6B6B6B"/>
          <w:sz w:val="24"/>
          <w:szCs w:val="24"/>
        </w:rPr>
        <w:t xml:space="preserve">The operating-system </w:t>
      </w:r>
      <w:proofErr w:type="gramStart"/>
      <w:r>
        <w:rPr>
          <w:i/>
          <w:iCs/>
          <w:color w:val="6B6B6B"/>
          <w:sz w:val="24"/>
          <w:szCs w:val="24"/>
        </w:rPr>
        <w:t>envelope</w:t>
      </w:r>
      <w:proofErr w:type="gramEnd"/>
      <w:r>
        <w:rPr>
          <w:i/>
          <w:iCs/>
          <w:color w:val="6B6B6B"/>
          <w:sz w:val="24"/>
          <w:szCs w:val="24"/>
        </w:rPr>
        <w:t xml:space="preserve"> around the reasoning kernel</w:t>
      </w:r>
    </w:p>
    <w:p w14:paraId="79E516F8" w14:textId="77777777" w:rsidR="00570271" w:rsidRDefault="00C213F8">
      <w:pPr>
        <w:spacing w:after="120" w:line="276" w:lineRule="exact"/>
      </w:pPr>
      <w:proofErr w:type="gramStart"/>
      <w:r>
        <w:rPr>
          <w:b/>
          <w:bCs/>
        </w:rPr>
        <w:t xml:space="preserve">Version  </w:t>
      </w:r>
      <w:r>
        <w:t>0.1</w:t>
      </w:r>
      <w:proofErr w:type="gramEnd"/>
      <w:r>
        <w:t xml:space="preserve"> (Working Draft — for engineering and clinical ratification)</w:t>
      </w:r>
    </w:p>
    <w:p w14:paraId="79E516F9" w14:textId="77777777" w:rsidR="00570271" w:rsidRDefault="00C213F8">
      <w:pPr>
        <w:spacing w:after="120" w:line="276" w:lineRule="exact"/>
      </w:pPr>
      <w:proofErr w:type="gramStart"/>
      <w:r>
        <w:rPr>
          <w:b/>
          <w:bCs/>
        </w:rPr>
        <w:t xml:space="preserve">Position  </w:t>
      </w:r>
      <w:r>
        <w:t>The</w:t>
      </w:r>
      <w:proofErr w:type="gramEnd"/>
      <w:r>
        <w:t xml:space="preserve"> third pillar of the </w:t>
      </w:r>
      <w:proofErr w:type="spellStart"/>
      <w:r>
        <w:t>BioSense</w:t>
      </w:r>
      <w:proofErr w:type="spellEnd"/>
      <w:r>
        <w:t xml:space="preserve"> architecture, alongside the Intelligence Constitution (why and how it reasons) and the Reasoning Architecture (how the kernel is built). This document specifies everything around the kernel: the knowledge base it reasons from, the legal envelope it runs inside, the drivers that feed it, the process for upgrading it, the harness that proves it works, and the person it serves.</w:t>
      </w:r>
    </w:p>
    <w:p w14:paraId="79E516FA" w14:textId="77777777" w:rsidR="00570271" w:rsidRDefault="00C213F8">
      <w:pPr>
        <w:spacing w:after="120" w:line="276" w:lineRule="exact"/>
      </w:pPr>
      <w:r>
        <w:rPr>
          <w:b/>
          <w:bCs/>
        </w:rPr>
        <w:t xml:space="preserve">Rule </w:t>
      </w:r>
      <w:proofErr w:type="gramStart"/>
      <w:r>
        <w:rPr>
          <w:b/>
          <w:bCs/>
        </w:rPr>
        <w:t xml:space="preserve">register  </w:t>
      </w:r>
      <w:r>
        <w:t>This</w:t>
      </w:r>
      <w:proofErr w:type="gramEnd"/>
      <w:r>
        <w:t xml:space="preserve"> document continues the single engineering-rule index begun in </w:t>
      </w:r>
      <w:proofErr w:type="gramStart"/>
      <w:r>
        <w:t>the Reasoning</w:t>
      </w:r>
      <w:proofErr w:type="gramEnd"/>
      <w:r>
        <w:t xml:space="preserve"> Architecture. New rules run from ER-24. One index across all three documents; each rule cites the constitutional or architectural clause it implements.</w:t>
      </w:r>
    </w:p>
    <w:p w14:paraId="79E516FB" w14:textId="77777777" w:rsidR="00570271" w:rsidRDefault="00C213F8">
      <w:pPr>
        <w:spacing w:after="120" w:line="276" w:lineRule="exact"/>
      </w:pPr>
      <w:r>
        <w:rPr>
          <w:b/>
          <w:bCs/>
        </w:rPr>
        <w:t xml:space="preserve">Important </w:t>
      </w:r>
      <w:proofErr w:type="gramStart"/>
      <w:r>
        <w:rPr>
          <w:b/>
          <w:bCs/>
        </w:rPr>
        <w:t xml:space="preserve">caveat  </w:t>
      </w:r>
      <w:r>
        <w:t>The</w:t>
      </w:r>
      <w:proofErr w:type="gramEnd"/>
      <w:r>
        <w:t xml:space="preserve"> regulatory, data-protection and clinical-governance sections describe engineering and </w:t>
      </w:r>
      <w:proofErr w:type="spellStart"/>
      <w:r>
        <w:t>organisational</w:t>
      </w:r>
      <w:proofErr w:type="spellEnd"/>
      <w:r>
        <w:t xml:space="preserve"> structure. They are not legal advice. Every jurisdictional and clinical position in this document must be confirmed by qualified regulatory counsel and a licensed clinician before launch.</w:t>
      </w:r>
    </w:p>
    <w:p w14:paraId="79E516FC" w14:textId="77777777" w:rsidR="00570271" w:rsidRDefault="00C213F8">
      <w:pPr>
        <w:spacing w:after="120" w:line="276" w:lineRule="exact"/>
      </w:pPr>
      <w:r>
        <w:rPr>
          <w:b/>
          <w:bCs/>
        </w:rPr>
        <w:t xml:space="preserve">Document </w:t>
      </w:r>
      <w:proofErr w:type="gramStart"/>
      <w:r>
        <w:rPr>
          <w:b/>
          <w:bCs/>
        </w:rPr>
        <w:t xml:space="preserve">owner  </w:t>
      </w:r>
      <w:r>
        <w:t>Neil</w:t>
      </w:r>
      <w:proofErr w:type="gramEnd"/>
      <w:r>
        <w:t xml:space="preserve"> </w:t>
      </w:r>
      <w:proofErr w:type="gramStart"/>
      <w:r>
        <w:t>MacLaren  ·</w:t>
      </w:r>
      <w:proofErr w:type="gramEnd"/>
      <w:r>
        <w:t xml:space="preserve">  Prepared by: Architecture Review</w:t>
      </w:r>
    </w:p>
    <w:p w14:paraId="79E516FD" w14:textId="77777777" w:rsidR="00570271" w:rsidRDefault="00C213F8">
      <w:r>
        <w:br w:type="page"/>
      </w:r>
    </w:p>
    <w:p w14:paraId="79E516FE" w14:textId="77777777" w:rsidR="00570271" w:rsidRDefault="00C213F8">
      <w:pPr>
        <w:pBdr>
          <w:bottom w:val="single" w:sz="12" w:space="8" w:color="C9D6BC"/>
        </w:pBdr>
        <w:spacing w:after="320"/>
      </w:pPr>
      <w:r>
        <w:rPr>
          <w:b/>
          <w:color w:val="6F8E5A"/>
          <w:sz w:val="40"/>
        </w:rPr>
        <w:lastRenderedPageBreak/>
        <w:t>Contents</w:t>
      </w:r>
    </w:p>
    <w:sdt>
      <w:sdtPr>
        <w:id w:val="-958718937"/>
        <w:docPartObj>
          <w:docPartGallery w:val="Table of Contents"/>
          <w:docPartUnique/>
        </w:docPartObj>
      </w:sdtPr>
      <w:sdtEndPr/>
      <w:sdtContent>
        <w:p w14:paraId="059A07C6" w14:textId="1B64A227" w:rsidR="00AC41A9" w:rsidRDefault="00C213F8">
          <w:pPr>
            <w:pStyle w:val="TOC1"/>
            <w:rPr>
              <w:rFonts w:asciiTheme="minorHAnsi" w:eastAsiaTheme="minorEastAsia" w:hAnsiTheme="minorHAnsi" w:cstheme="minorBidi"/>
              <w:noProof/>
              <w:color w:val="auto"/>
              <w:kern w:val="2"/>
              <w:sz w:val="24"/>
              <w:szCs w:val="24"/>
              <w:lang w:val="en-AE" w:eastAsia="en-AE" w:bidi="ar-SA"/>
              <w14:ligatures w14:val="standardContextual"/>
            </w:rPr>
          </w:pPr>
          <w:r>
            <w:fldChar w:fldCharType="begin"/>
          </w:r>
          <w:r>
            <w:rPr>
              <w:rStyle w:val="IndexLink"/>
              <w:webHidden/>
            </w:rPr>
            <w:instrText xml:space="preserve"> TOC \z \o "1-2" \u \h</w:instrText>
          </w:r>
          <w:r>
            <w:rPr>
              <w:rStyle w:val="IndexLink"/>
            </w:rPr>
            <w:fldChar w:fldCharType="separate"/>
          </w:r>
          <w:hyperlink w:anchor="_Toc234486196" w:history="1">
            <w:r w:rsidR="00AC41A9" w:rsidRPr="00687CC6">
              <w:rPr>
                <w:rStyle w:val="Hyperlink"/>
                <w:b/>
                <w:bCs/>
                <w:noProof/>
              </w:rPr>
              <w:t>Part I  ·  The completion map</w:t>
            </w:r>
            <w:r w:rsidR="00AC41A9">
              <w:rPr>
                <w:noProof/>
                <w:webHidden/>
              </w:rPr>
              <w:tab/>
            </w:r>
            <w:r w:rsidR="00AC41A9">
              <w:rPr>
                <w:noProof/>
                <w:webHidden/>
              </w:rPr>
              <w:fldChar w:fldCharType="begin"/>
            </w:r>
            <w:r w:rsidR="00AC41A9">
              <w:rPr>
                <w:noProof/>
                <w:webHidden/>
              </w:rPr>
              <w:instrText xml:space="preserve"> PAGEREF _Toc234486196 \h </w:instrText>
            </w:r>
            <w:r w:rsidR="00AC41A9">
              <w:rPr>
                <w:noProof/>
                <w:webHidden/>
              </w:rPr>
            </w:r>
            <w:r w:rsidR="00AC41A9">
              <w:rPr>
                <w:noProof/>
                <w:webHidden/>
              </w:rPr>
              <w:fldChar w:fldCharType="separate"/>
            </w:r>
            <w:r w:rsidR="00AC41A9">
              <w:rPr>
                <w:noProof/>
                <w:webHidden/>
              </w:rPr>
              <w:t>3</w:t>
            </w:r>
            <w:r w:rsidR="00AC41A9">
              <w:rPr>
                <w:noProof/>
                <w:webHidden/>
              </w:rPr>
              <w:fldChar w:fldCharType="end"/>
            </w:r>
          </w:hyperlink>
        </w:p>
        <w:p w14:paraId="0128D7C1" w14:textId="5DE4B3D1"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7" w:history="1">
            <w:r w:rsidRPr="00687CC6">
              <w:rPr>
                <w:rStyle w:val="Hyperlink"/>
                <w:b/>
                <w:bCs/>
                <w:noProof/>
              </w:rPr>
              <w:t>What is already built vs what this document adds</w:t>
            </w:r>
            <w:r>
              <w:rPr>
                <w:noProof/>
                <w:webHidden/>
              </w:rPr>
              <w:tab/>
            </w:r>
            <w:r>
              <w:rPr>
                <w:noProof/>
                <w:webHidden/>
              </w:rPr>
              <w:fldChar w:fldCharType="begin"/>
            </w:r>
            <w:r>
              <w:rPr>
                <w:noProof/>
                <w:webHidden/>
              </w:rPr>
              <w:instrText xml:space="preserve"> PAGEREF _Toc234486197 \h </w:instrText>
            </w:r>
            <w:r>
              <w:rPr>
                <w:noProof/>
                <w:webHidden/>
              </w:rPr>
            </w:r>
            <w:r>
              <w:rPr>
                <w:noProof/>
                <w:webHidden/>
              </w:rPr>
              <w:fldChar w:fldCharType="separate"/>
            </w:r>
            <w:r>
              <w:rPr>
                <w:noProof/>
                <w:webHidden/>
              </w:rPr>
              <w:t>3</w:t>
            </w:r>
            <w:r>
              <w:rPr>
                <w:noProof/>
                <w:webHidden/>
              </w:rPr>
              <w:fldChar w:fldCharType="end"/>
            </w:r>
          </w:hyperlink>
        </w:p>
        <w:p w14:paraId="16E9A9A8" w14:textId="2A432D5B"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8" w:history="1">
            <w:r w:rsidRPr="00687CC6">
              <w:rPr>
                <w:rStyle w:val="Hyperlink"/>
                <w:b/>
                <w:bCs/>
                <w:noProof/>
              </w:rPr>
              <w:t>Gap register and build order</w:t>
            </w:r>
            <w:r>
              <w:rPr>
                <w:noProof/>
                <w:webHidden/>
              </w:rPr>
              <w:tab/>
            </w:r>
            <w:r>
              <w:rPr>
                <w:noProof/>
                <w:webHidden/>
              </w:rPr>
              <w:fldChar w:fldCharType="begin"/>
            </w:r>
            <w:r>
              <w:rPr>
                <w:noProof/>
                <w:webHidden/>
              </w:rPr>
              <w:instrText xml:space="preserve"> PAGEREF _Toc234486198 \h </w:instrText>
            </w:r>
            <w:r>
              <w:rPr>
                <w:noProof/>
                <w:webHidden/>
              </w:rPr>
            </w:r>
            <w:r>
              <w:rPr>
                <w:noProof/>
                <w:webHidden/>
              </w:rPr>
              <w:fldChar w:fldCharType="separate"/>
            </w:r>
            <w:r>
              <w:rPr>
                <w:noProof/>
                <w:webHidden/>
              </w:rPr>
              <w:t>3</w:t>
            </w:r>
            <w:r>
              <w:rPr>
                <w:noProof/>
                <w:webHidden/>
              </w:rPr>
              <w:fldChar w:fldCharType="end"/>
            </w:r>
          </w:hyperlink>
        </w:p>
        <w:p w14:paraId="1D1E61C2" w14:textId="3770A0CE" w:rsidR="00AC41A9" w:rsidRDefault="00AC41A9">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9" w:history="1">
            <w:r w:rsidRPr="00687CC6">
              <w:rPr>
                <w:rStyle w:val="Hyperlink"/>
                <w:b/>
                <w:bCs/>
                <w:noProof/>
              </w:rPr>
              <w:t>Part II  ·  Foundational dependencies</w:t>
            </w:r>
            <w:r>
              <w:rPr>
                <w:noProof/>
                <w:webHidden/>
              </w:rPr>
              <w:tab/>
            </w:r>
            <w:r>
              <w:rPr>
                <w:noProof/>
                <w:webHidden/>
              </w:rPr>
              <w:fldChar w:fldCharType="begin"/>
            </w:r>
            <w:r>
              <w:rPr>
                <w:noProof/>
                <w:webHidden/>
              </w:rPr>
              <w:instrText xml:space="preserve"> PAGEREF _Toc234486199 \h </w:instrText>
            </w:r>
            <w:r>
              <w:rPr>
                <w:noProof/>
                <w:webHidden/>
              </w:rPr>
            </w:r>
            <w:r>
              <w:rPr>
                <w:noProof/>
                <w:webHidden/>
              </w:rPr>
              <w:fldChar w:fldCharType="separate"/>
            </w:r>
            <w:r>
              <w:rPr>
                <w:noProof/>
                <w:webHidden/>
              </w:rPr>
              <w:t>5</w:t>
            </w:r>
            <w:r>
              <w:rPr>
                <w:noProof/>
                <w:webHidden/>
              </w:rPr>
              <w:fldChar w:fldCharType="end"/>
            </w:r>
          </w:hyperlink>
        </w:p>
        <w:p w14:paraId="319918A5" w14:textId="00FDE387"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0" w:history="1">
            <w:r w:rsidRPr="00687CC6">
              <w:rPr>
                <w:rStyle w:val="Hyperlink"/>
                <w:b/>
                <w:bCs/>
                <w:noProof/>
              </w:rPr>
              <w:t>2.  The Canonical Scientific Library</w:t>
            </w:r>
            <w:r>
              <w:rPr>
                <w:noProof/>
                <w:webHidden/>
              </w:rPr>
              <w:tab/>
            </w:r>
            <w:r>
              <w:rPr>
                <w:noProof/>
                <w:webHidden/>
              </w:rPr>
              <w:fldChar w:fldCharType="begin"/>
            </w:r>
            <w:r>
              <w:rPr>
                <w:noProof/>
                <w:webHidden/>
              </w:rPr>
              <w:instrText xml:space="preserve"> PAGEREF _Toc234486200 \h </w:instrText>
            </w:r>
            <w:r>
              <w:rPr>
                <w:noProof/>
                <w:webHidden/>
              </w:rPr>
            </w:r>
            <w:r>
              <w:rPr>
                <w:noProof/>
                <w:webHidden/>
              </w:rPr>
              <w:fldChar w:fldCharType="separate"/>
            </w:r>
            <w:r>
              <w:rPr>
                <w:noProof/>
                <w:webHidden/>
              </w:rPr>
              <w:t>5</w:t>
            </w:r>
            <w:r>
              <w:rPr>
                <w:noProof/>
                <w:webHidden/>
              </w:rPr>
              <w:fldChar w:fldCharType="end"/>
            </w:r>
          </w:hyperlink>
        </w:p>
        <w:p w14:paraId="595346DF" w14:textId="70815828"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1" w:history="1">
            <w:r w:rsidRPr="00687CC6">
              <w:rPr>
                <w:rStyle w:val="Hyperlink"/>
                <w:b/>
                <w:bCs/>
                <w:noProof/>
              </w:rPr>
              <w:t>3.  Data lifecycle: the erasure–immutability resolution</w:t>
            </w:r>
            <w:r>
              <w:rPr>
                <w:noProof/>
                <w:webHidden/>
              </w:rPr>
              <w:tab/>
            </w:r>
            <w:r>
              <w:rPr>
                <w:noProof/>
                <w:webHidden/>
              </w:rPr>
              <w:fldChar w:fldCharType="begin"/>
            </w:r>
            <w:r>
              <w:rPr>
                <w:noProof/>
                <w:webHidden/>
              </w:rPr>
              <w:instrText xml:space="preserve"> PAGEREF _Toc234486201 \h </w:instrText>
            </w:r>
            <w:r>
              <w:rPr>
                <w:noProof/>
                <w:webHidden/>
              </w:rPr>
            </w:r>
            <w:r>
              <w:rPr>
                <w:noProof/>
                <w:webHidden/>
              </w:rPr>
              <w:fldChar w:fldCharType="separate"/>
            </w:r>
            <w:r>
              <w:rPr>
                <w:noProof/>
                <w:webHidden/>
              </w:rPr>
              <w:t>7</w:t>
            </w:r>
            <w:r>
              <w:rPr>
                <w:noProof/>
                <w:webHidden/>
              </w:rPr>
              <w:fldChar w:fldCharType="end"/>
            </w:r>
          </w:hyperlink>
        </w:p>
        <w:p w14:paraId="6AD2C1CC" w14:textId="3C598264"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2" w:history="1">
            <w:r w:rsidRPr="00687CC6">
              <w:rPr>
                <w:rStyle w:val="Hyperlink"/>
                <w:b/>
                <w:bCs/>
                <w:noProof/>
              </w:rPr>
              <w:t>4.  Ingestion drivers and the canonical schema</w:t>
            </w:r>
            <w:r>
              <w:rPr>
                <w:noProof/>
                <w:webHidden/>
              </w:rPr>
              <w:tab/>
            </w:r>
            <w:r>
              <w:rPr>
                <w:noProof/>
                <w:webHidden/>
              </w:rPr>
              <w:fldChar w:fldCharType="begin"/>
            </w:r>
            <w:r>
              <w:rPr>
                <w:noProof/>
                <w:webHidden/>
              </w:rPr>
              <w:instrText xml:space="preserve"> PAGEREF _Toc234486202 \h </w:instrText>
            </w:r>
            <w:r>
              <w:rPr>
                <w:noProof/>
                <w:webHidden/>
              </w:rPr>
            </w:r>
            <w:r>
              <w:rPr>
                <w:noProof/>
                <w:webHidden/>
              </w:rPr>
              <w:fldChar w:fldCharType="separate"/>
            </w:r>
            <w:r>
              <w:rPr>
                <w:noProof/>
                <w:webHidden/>
              </w:rPr>
              <w:t>8</w:t>
            </w:r>
            <w:r>
              <w:rPr>
                <w:noProof/>
                <w:webHidden/>
              </w:rPr>
              <w:fldChar w:fldCharType="end"/>
            </w:r>
          </w:hyperlink>
        </w:p>
        <w:p w14:paraId="32619D1B" w14:textId="0A018122" w:rsidR="00AC41A9" w:rsidRDefault="00AC41A9">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3" w:history="1">
            <w:r w:rsidRPr="00687CC6">
              <w:rPr>
                <w:rStyle w:val="Hyperlink"/>
                <w:b/>
                <w:bCs/>
                <w:noProof/>
              </w:rPr>
              <w:t>Part III  ·  Governance layers</w:t>
            </w:r>
            <w:r>
              <w:rPr>
                <w:noProof/>
                <w:webHidden/>
              </w:rPr>
              <w:tab/>
            </w:r>
            <w:r>
              <w:rPr>
                <w:noProof/>
                <w:webHidden/>
              </w:rPr>
              <w:fldChar w:fldCharType="begin"/>
            </w:r>
            <w:r>
              <w:rPr>
                <w:noProof/>
                <w:webHidden/>
              </w:rPr>
              <w:instrText xml:space="preserve"> PAGEREF _Toc234486203 \h </w:instrText>
            </w:r>
            <w:r>
              <w:rPr>
                <w:noProof/>
                <w:webHidden/>
              </w:rPr>
            </w:r>
            <w:r>
              <w:rPr>
                <w:noProof/>
                <w:webHidden/>
              </w:rPr>
              <w:fldChar w:fldCharType="separate"/>
            </w:r>
            <w:r>
              <w:rPr>
                <w:noProof/>
                <w:webHidden/>
              </w:rPr>
              <w:t>9</w:t>
            </w:r>
            <w:r>
              <w:rPr>
                <w:noProof/>
                <w:webHidden/>
              </w:rPr>
              <w:fldChar w:fldCharType="end"/>
            </w:r>
          </w:hyperlink>
        </w:p>
        <w:p w14:paraId="65D4E129" w14:textId="4DF69EBE"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4" w:history="1">
            <w:r w:rsidRPr="00687CC6">
              <w:rPr>
                <w:rStyle w:val="Hyperlink"/>
                <w:b/>
                <w:bCs/>
                <w:noProof/>
              </w:rPr>
              <w:t>5.  Regulatory and clinical positioning</w:t>
            </w:r>
            <w:r>
              <w:rPr>
                <w:noProof/>
                <w:webHidden/>
              </w:rPr>
              <w:tab/>
            </w:r>
            <w:r>
              <w:rPr>
                <w:noProof/>
                <w:webHidden/>
              </w:rPr>
              <w:fldChar w:fldCharType="begin"/>
            </w:r>
            <w:r>
              <w:rPr>
                <w:noProof/>
                <w:webHidden/>
              </w:rPr>
              <w:instrText xml:space="preserve"> PAGEREF _Toc234486204 \h </w:instrText>
            </w:r>
            <w:r>
              <w:rPr>
                <w:noProof/>
                <w:webHidden/>
              </w:rPr>
            </w:r>
            <w:r>
              <w:rPr>
                <w:noProof/>
                <w:webHidden/>
              </w:rPr>
              <w:fldChar w:fldCharType="separate"/>
            </w:r>
            <w:r>
              <w:rPr>
                <w:noProof/>
                <w:webHidden/>
              </w:rPr>
              <w:t>9</w:t>
            </w:r>
            <w:r>
              <w:rPr>
                <w:noProof/>
                <w:webHidden/>
              </w:rPr>
              <w:fldChar w:fldCharType="end"/>
            </w:r>
          </w:hyperlink>
        </w:p>
        <w:p w14:paraId="32CEBF42" w14:textId="494569B2"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5" w:history="1">
            <w:r w:rsidRPr="00687CC6">
              <w:rPr>
                <w:rStyle w:val="Hyperlink"/>
                <w:b/>
                <w:bCs/>
                <w:noProof/>
              </w:rPr>
              <w:t>6.  Clinical governance and adverse events</w:t>
            </w:r>
            <w:r>
              <w:rPr>
                <w:noProof/>
                <w:webHidden/>
              </w:rPr>
              <w:tab/>
            </w:r>
            <w:r>
              <w:rPr>
                <w:noProof/>
                <w:webHidden/>
              </w:rPr>
              <w:fldChar w:fldCharType="begin"/>
            </w:r>
            <w:r>
              <w:rPr>
                <w:noProof/>
                <w:webHidden/>
              </w:rPr>
              <w:instrText xml:space="preserve"> PAGEREF _Toc234486205 \h </w:instrText>
            </w:r>
            <w:r>
              <w:rPr>
                <w:noProof/>
                <w:webHidden/>
              </w:rPr>
            </w:r>
            <w:r>
              <w:rPr>
                <w:noProof/>
                <w:webHidden/>
              </w:rPr>
              <w:fldChar w:fldCharType="separate"/>
            </w:r>
            <w:r>
              <w:rPr>
                <w:noProof/>
                <w:webHidden/>
              </w:rPr>
              <w:t>9</w:t>
            </w:r>
            <w:r>
              <w:rPr>
                <w:noProof/>
                <w:webHidden/>
              </w:rPr>
              <w:fldChar w:fldCharType="end"/>
            </w:r>
          </w:hyperlink>
        </w:p>
        <w:p w14:paraId="408C06E4" w14:textId="7289CF5C"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6" w:history="1">
            <w:r w:rsidRPr="00687CC6">
              <w:rPr>
                <w:rStyle w:val="Hyperlink"/>
                <w:b/>
                <w:bCs/>
                <w:noProof/>
              </w:rPr>
              <w:t>7.  Model lifecycle governance (the kernel-upgrade process)</w:t>
            </w:r>
            <w:r>
              <w:rPr>
                <w:noProof/>
                <w:webHidden/>
              </w:rPr>
              <w:tab/>
            </w:r>
            <w:r>
              <w:rPr>
                <w:noProof/>
                <w:webHidden/>
              </w:rPr>
              <w:fldChar w:fldCharType="begin"/>
            </w:r>
            <w:r>
              <w:rPr>
                <w:noProof/>
                <w:webHidden/>
              </w:rPr>
              <w:instrText xml:space="preserve"> PAGEREF _Toc234486206 \h </w:instrText>
            </w:r>
            <w:r>
              <w:rPr>
                <w:noProof/>
                <w:webHidden/>
              </w:rPr>
            </w:r>
            <w:r>
              <w:rPr>
                <w:noProof/>
                <w:webHidden/>
              </w:rPr>
              <w:fldChar w:fldCharType="separate"/>
            </w:r>
            <w:r>
              <w:rPr>
                <w:noProof/>
                <w:webHidden/>
              </w:rPr>
              <w:t>10</w:t>
            </w:r>
            <w:r>
              <w:rPr>
                <w:noProof/>
                <w:webHidden/>
              </w:rPr>
              <w:fldChar w:fldCharType="end"/>
            </w:r>
          </w:hyperlink>
        </w:p>
        <w:p w14:paraId="56F13058" w14:textId="0B9C8DCA"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7" w:history="1">
            <w:r w:rsidRPr="00687CC6">
              <w:rPr>
                <w:rStyle w:val="Hyperlink"/>
                <w:b/>
                <w:bCs/>
                <w:noProof/>
              </w:rPr>
              <w:t>8.  Learning governance</w:t>
            </w:r>
            <w:r>
              <w:rPr>
                <w:noProof/>
                <w:webHidden/>
              </w:rPr>
              <w:tab/>
            </w:r>
            <w:r>
              <w:rPr>
                <w:noProof/>
                <w:webHidden/>
              </w:rPr>
              <w:fldChar w:fldCharType="begin"/>
            </w:r>
            <w:r>
              <w:rPr>
                <w:noProof/>
                <w:webHidden/>
              </w:rPr>
              <w:instrText xml:space="preserve"> PAGEREF _Toc234486207 \h </w:instrText>
            </w:r>
            <w:r>
              <w:rPr>
                <w:noProof/>
                <w:webHidden/>
              </w:rPr>
            </w:r>
            <w:r>
              <w:rPr>
                <w:noProof/>
                <w:webHidden/>
              </w:rPr>
              <w:fldChar w:fldCharType="separate"/>
            </w:r>
            <w:r>
              <w:rPr>
                <w:noProof/>
                <w:webHidden/>
              </w:rPr>
              <w:t>10</w:t>
            </w:r>
            <w:r>
              <w:rPr>
                <w:noProof/>
                <w:webHidden/>
              </w:rPr>
              <w:fldChar w:fldCharType="end"/>
            </w:r>
          </w:hyperlink>
        </w:p>
        <w:p w14:paraId="7DD87FCC" w14:textId="3E6A046F" w:rsidR="00AC41A9" w:rsidRDefault="00AC41A9">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8" w:history="1">
            <w:r w:rsidRPr="00687CC6">
              <w:rPr>
                <w:rStyle w:val="Hyperlink"/>
                <w:b/>
                <w:bCs/>
                <w:noProof/>
              </w:rPr>
              <w:t>Part IV  ·  Assurance and operations</w:t>
            </w:r>
            <w:r>
              <w:rPr>
                <w:noProof/>
                <w:webHidden/>
              </w:rPr>
              <w:tab/>
            </w:r>
            <w:r>
              <w:rPr>
                <w:noProof/>
                <w:webHidden/>
              </w:rPr>
              <w:fldChar w:fldCharType="begin"/>
            </w:r>
            <w:r>
              <w:rPr>
                <w:noProof/>
                <w:webHidden/>
              </w:rPr>
              <w:instrText xml:space="preserve"> PAGEREF _Toc234486208 \h </w:instrText>
            </w:r>
            <w:r>
              <w:rPr>
                <w:noProof/>
                <w:webHidden/>
              </w:rPr>
            </w:r>
            <w:r>
              <w:rPr>
                <w:noProof/>
                <w:webHidden/>
              </w:rPr>
              <w:fldChar w:fldCharType="separate"/>
            </w:r>
            <w:r>
              <w:rPr>
                <w:noProof/>
                <w:webHidden/>
              </w:rPr>
              <w:t>11</w:t>
            </w:r>
            <w:r>
              <w:rPr>
                <w:noProof/>
                <w:webHidden/>
              </w:rPr>
              <w:fldChar w:fldCharType="end"/>
            </w:r>
          </w:hyperlink>
        </w:p>
        <w:p w14:paraId="75ABC186" w14:textId="14688F34"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09" w:history="1">
            <w:r w:rsidRPr="00687CC6">
              <w:rPr>
                <w:rStyle w:val="Hyperlink"/>
                <w:b/>
                <w:bCs/>
                <w:noProof/>
              </w:rPr>
              <w:t>9.  Validation and safety-assurance harness</w:t>
            </w:r>
            <w:r>
              <w:rPr>
                <w:noProof/>
                <w:webHidden/>
              </w:rPr>
              <w:tab/>
            </w:r>
            <w:r>
              <w:rPr>
                <w:noProof/>
                <w:webHidden/>
              </w:rPr>
              <w:fldChar w:fldCharType="begin"/>
            </w:r>
            <w:r>
              <w:rPr>
                <w:noProof/>
                <w:webHidden/>
              </w:rPr>
              <w:instrText xml:space="preserve"> PAGEREF _Toc234486209 \h </w:instrText>
            </w:r>
            <w:r>
              <w:rPr>
                <w:noProof/>
                <w:webHidden/>
              </w:rPr>
            </w:r>
            <w:r>
              <w:rPr>
                <w:noProof/>
                <w:webHidden/>
              </w:rPr>
              <w:fldChar w:fldCharType="separate"/>
            </w:r>
            <w:r>
              <w:rPr>
                <w:noProof/>
                <w:webHidden/>
              </w:rPr>
              <w:t>11</w:t>
            </w:r>
            <w:r>
              <w:rPr>
                <w:noProof/>
                <w:webHidden/>
              </w:rPr>
              <w:fldChar w:fldCharType="end"/>
            </w:r>
          </w:hyperlink>
        </w:p>
        <w:p w14:paraId="592C1ACE" w14:textId="6789B6AF"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0" w:history="1">
            <w:r w:rsidRPr="00687CC6">
              <w:rPr>
                <w:rStyle w:val="Hyperlink"/>
                <w:b/>
                <w:bCs/>
                <w:noProof/>
              </w:rPr>
              <w:t>10.  Security architecture for special-category data</w:t>
            </w:r>
            <w:r>
              <w:rPr>
                <w:noProof/>
                <w:webHidden/>
              </w:rPr>
              <w:tab/>
            </w:r>
            <w:r>
              <w:rPr>
                <w:noProof/>
                <w:webHidden/>
              </w:rPr>
              <w:fldChar w:fldCharType="begin"/>
            </w:r>
            <w:r>
              <w:rPr>
                <w:noProof/>
                <w:webHidden/>
              </w:rPr>
              <w:instrText xml:space="preserve"> PAGEREF _Toc234486210 \h </w:instrText>
            </w:r>
            <w:r>
              <w:rPr>
                <w:noProof/>
                <w:webHidden/>
              </w:rPr>
            </w:r>
            <w:r>
              <w:rPr>
                <w:noProof/>
                <w:webHidden/>
              </w:rPr>
              <w:fldChar w:fldCharType="separate"/>
            </w:r>
            <w:r>
              <w:rPr>
                <w:noProof/>
                <w:webHidden/>
              </w:rPr>
              <w:t>11</w:t>
            </w:r>
            <w:r>
              <w:rPr>
                <w:noProof/>
                <w:webHidden/>
              </w:rPr>
              <w:fldChar w:fldCharType="end"/>
            </w:r>
          </w:hyperlink>
        </w:p>
        <w:p w14:paraId="0C0D24AF" w14:textId="0B21E1AF"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1" w:history="1">
            <w:r w:rsidRPr="00687CC6">
              <w:rPr>
                <w:rStyle w:val="Hyperlink"/>
                <w:b/>
                <w:bCs/>
                <w:noProof/>
              </w:rPr>
              <w:t>11.  Operational observability</w:t>
            </w:r>
            <w:r>
              <w:rPr>
                <w:noProof/>
                <w:webHidden/>
              </w:rPr>
              <w:tab/>
            </w:r>
            <w:r>
              <w:rPr>
                <w:noProof/>
                <w:webHidden/>
              </w:rPr>
              <w:fldChar w:fldCharType="begin"/>
            </w:r>
            <w:r>
              <w:rPr>
                <w:noProof/>
                <w:webHidden/>
              </w:rPr>
              <w:instrText xml:space="preserve"> PAGEREF _Toc234486211 \h </w:instrText>
            </w:r>
            <w:r>
              <w:rPr>
                <w:noProof/>
                <w:webHidden/>
              </w:rPr>
            </w:r>
            <w:r>
              <w:rPr>
                <w:noProof/>
                <w:webHidden/>
              </w:rPr>
              <w:fldChar w:fldCharType="separate"/>
            </w:r>
            <w:r>
              <w:rPr>
                <w:noProof/>
                <w:webHidden/>
              </w:rPr>
              <w:t>11</w:t>
            </w:r>
            <w:r>
              <w:rPr>
                <w:noProof/>
                <w:webHidden/>
              </w:rPr>
              <w:fldChar w:fldCharType="end"/>
            </w:r>
          </w:hyperlink>
        </w:p>
        <w:p w14:paraId="6F450ADD" w14:textId="607ED63A"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2" w:history="1">
            <w:r w:rsidRPr="00687CC6">
              <w:rPr>
                <w:rStyle w:val="Hyperlink"/>
                <w:b/>
                <w:bCs/>
                <w:noProof/>
              </w:rPr>
              <w:t>12.  Degraded-mode behaviour</w:t>
            </w:r>
            <w:r>
              <w:rPr>
                <w:noProof/>
                <w:webHidden/>
              </w:rPr>
              <w:tab/>
            </w:r>
            <w:r>
              <w:rPr>
                <w:noProof/>
                <w:webHidden/>
              </w:rPr>
              <w:fldChar w:fldCharType="begin"/>
            </w:r>
            <w:r>
              <w:rPr>
                <w:noProof/>
                <w:webHidden/>
              </w:rPr>
              <w:instrText xml:space="preserve"> PAGEREF _Toc234486212 \h </w:instrText>
            </w:r>
            <w:r>
              <w:rPr>
                <w:noProof/>
                <w:webHidden/>
              </w:rPr>
            </w:r>
            <w:r>
              <w:rPr>
                <w:noProof/>
                <w:webHidden/>
              </w:rPr>
              <w:fldChar w:fldCharType="separate"/>
            </w:r>
            <w:r>
              <w:rPr>
                <w:noProof/>
                <w:webHidden/>
              </w:rPr>
              <w:t>11</w:t>
            </w:r>
            <w:r>
              <w:rPr>
                <w:noProof/>
                <w:webHidden/>
              </w:rPr>
              <w:fldChar w:fldCharType="end"/>
            </w:r>
          </w:hyperlink>
        </w:p>
        <w:p w14:paraId="46BEB074" w14:textId="394BDF33" w:rsidR="00AC41A9" w:rsidRDefault="00AC41A9">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3" w:history="1">
            <w:r w:rsidRPr="00687CC6">
              <w:rPr>
                <w:rStyle w:val="Hyperlink"/>
                <w:b/>
                <w:bCs/>
                <w:noProof/>
              </w:rPr>
              <w:t>Part V  ·  The human and the commitments</w:t>
            </w:r>
            <w:r>
              <w:rPr>
                <w:noProof/>
                <w:webHidden/>
              </w:rPr>
              <w:tab/>
            </w:r>
            <w:r>
              <w:rPr>
                <w:noProof/>
                <w:webHidden/>
              </w:rPr>
              <w:fldChar w:fldCharType="begin"/>
            </w:r>
            <w:r>
              <w:rPr>
                <w:noProof/>
                <w:webHidden/>
              </w:rPr>
              <w:instrText xml:space="preserve"> PAGEREF _Toc234486213 \h </w:instrText>
            </w:r>
            <w:r>
              <w:rPr>
                <w:noProof/>
                <w:webHidden/>
              </w:rPr>
            </w:r>
            <w:r>
              <w:rPr>
                <w:noProof/>
                <w:webHidden/>
              </w:rPr>
              <w:fldChar w:fldCharType="separate"/>
            </w:r>
            <w:r>
              <w:rPr>
                <w:noProof/>
                <w:webHidden/>
              </w:rPr>
              <w:t>13</w:t>
            </w:r>
            <w:r>
              <w:rPr>
                <w:noProof/>
                <w:webHidden/>
              </w:rPr>
              <w:fldChar w:fldCharType="end"/>
            </w:r>
          </w:hyperlink>
        </w:p>
        <w:p w14:paraId="1C8428D6" w14:textId="5E617A37"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4" w:history="1">
            <w:r w:rsidRPr="00687CC6">
              <w:rPr>
                <w:rStyle w:val="Hyperlink"/>
                <w:b/>
                <w:bCs/>
                <w:noProof/>
              </w:rPr>
              <w:t>13.  User agency</w:t>
            </w:r>
            <w:r>
              <w:rPr>
                <w:noProof/>
                <w:webHidden/>
              </w:rPr>
              <w:tab/>
            </w:r>
            <w:r>
              <w:rPr>
                <w:noProof/>
                <w:webHidden/>
              </w:rPr>
              <w:fldChar w:fldCharType="begin"/>
            </w:r>
            <w:r>
              <w:rPr>
                <w:noProof/>
                <w:webHidden/>
              </w:rPr>
              <w:instrText xml:space="preserve"> PAGEREF _Toc234486214 \h </w:instrText>
            </w:r>
            <w:r>
              <w:rPr>
                <w:noProof/>
                <w:webHidden/>
              </w:rPr>
            </w:r>
            <w:r>
              <w:rPr>
                <w:noProof/>
                <w:webHidden/>
              </w:rPr>
              <w:fldChar w:fldCharType="separate"/>
            </w:r>
            <w:r>
              <w:rPr>
                <w:noProof/>
                <w:webHidden/>
              </w:rPr>
              <w:t>13</w:t>
            </w:r>
            <w:r>
              <w:rPr>
                <w:noProof/>
                <w:webHidden/>
              </w:rPr>
              <w:fldChar w:fldCharType="end"/>
            </w:r>
          </w:hyperlink>
        </w:p>
        <w:p w14:paraId="151F534A" w14:textId="2BE2E311" w:rsidR="00AC41A9" w:rsidRDefault="00AC41A9">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5" w:history="1">
            <w:r w:rsidRPr="00687CC6">
              <w:rPr>
                <w:rStyle w:val="Hyperlink"/>
                <w:b/>
                <w:bCs/>
                <w:noProof/>
              </w:rPr>
              <w:t>14.  A commitment to ratify: safety is never paywalled</w:t>
            </w:r>
            <w:r>
              <w:rPr>
                <w:noProof/>
                <w:webHidden/>
              </w:rPr>
              <w:tab/>
            </w:r>
            <w:r>
              <w:rPr>
                <w:noProof/>
                <w:webHidden/>
              </w:rPr>
              <w:fldChar w:fldCharType="begin"/>
            </w:r>
            <w:r>
              <w:rPr>
                <w:noProof/>
                <w:webHidden/>
              </w:rPr>
              <w:instrText xml:space="preserve"> PAGEREF _Toc234486215 \h </w:instrText>
            </w:r>
            <w:r>
              <w:rPr>
                <w:noProof/>
                <w:webHidden/>
              </w:rPr>
            </w:r>
            <w:r>
              <w:rPr>
                <w:noProof/>
                <w:webHidden/>
              </w:rPr>
              <w:fldChar w:fldCharType="separate"/>
            </w:r>
            <w:r>
              <w:rPr>
                <w:noProof/>
                <w:webHidden/>
              </w:rPr>
              <w:t>13</w:t>
            </w:r>
            <w:r>
              <w:rPr>
                <w:noProof/>
                <w:webHidden/>
              </w:rPr>
              <w:fldChar w:fldCharType="end"/>
            </w:r>
          </w:hyperlink>
        </w:p>
        <w:p w14:paraId="6DCB048A" w14:textId="07602F5C" w:rsidR="00AC41A9" w:rsidRDefault="00AC41A9">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216" w:history="1">
            <w:r w:rsidRPr="00687CC6">
              <w:rPr>
                <w:rStyle w:val="Hyperlink"/>
                <w:b/>
                <w:bCs/>
                <w:noProof/>
              </w:rPr>
              <w:t>Part VI  ·  Decisions requiring sign-off</w:t>
            </w:r>
            <w:r>
              <w:rPr>
                <w:noProof/>
                <w:webHidden/>
              </w:rPr>
              <w:tab/>
            </w:r>
            <w:r>
              <w:rPr>
                <w:noProof/>
                <w:webHidden/>
              </w:rPr>
              <w:fldChar w:fldCharType="begin"/>
            </w:r>
            <w:r>
              <w:rPr>
                <w:noProof/>
                <w:webHidden/>
              </w:rPr>
              <w:instrText xml:space="preserve"> PAGEREF _Toc234486216 \h </w:instrText>
            </w:r>
            <w:r>
              <w:rPr>
                <w:noProof/>
                <w:webHidden/>
              </w:rPr>
            </w:r>
            <w:r>
              <w:rPr>
                <w:noProof/>
                <w:webHidden/>
              </w:rPr>
              <w:fldChar w:fldCharType="separate"/>
            </w:r>
            <w:r>
              <w:rPr>
                <w:noProof/>
                <w:webHidden/>
              </w:rPr>
              <w:t>14</w:t>
            </w:r>
            <w:r>
              <w:rPr>
                <w:noProof/>
                <w:webHidden/>
              </w:rPr>
              <w:fldChar w:fldCharType="end"/>
            </w:r>
          </w:hyperlink>
        </w:p>
        <w:p w14:paraId="79E51713" w14:textId="207A06FD" w:rsidR="00570271" w:rsidRDefault="00C213F8">
          <w:pPr>
            <w:pStyle w:val="TOC1"/>
            <w:tabs>
              <w:tab w:val="clear" w:pos="9026"/>
              <w:tab w:val="right" w:leader="dot" w:pos="9025"/>
            </w:tabs>
          </w:pPr>
          <w:r>
            <w:rPr>
              <w:rStyle w:val="IndexLink"/>
            </w:rPr>
            <w:fldChar w:fldCharType="end"/>
          </w:r>
        </w:p>
      </w:sdtContent>
    </w:sdt>
    <w:p w14:paraId="79E51714" w14:textId="77777777" w:rsidR="00570271" w:rsidRDefault="00C213F8">
      <w:r>
        <w:br w:type="page"/>
      </w:r>
    </w:p>
    <w:p w14:paraId="79E51715" w14:textId="77777777" w:rsidR="00570271" w:rsidRDefault="00C213F8">
      <w:pPr>
        <w:pStyle w:val="Heading1"/>
        <w:spacing w:before="0" w:after="140"/>
      </w:pPr>
      <w:bookmarkStart w:id="0" w:name="_Toc234486196"/>
      <w:r>
        <w:rPr>
          <w:b/>
          <w:bCs/>
          <w:color w:val="6F8E5A"/>
          <w:sz w:val="30"/>
          <w:szCs w:val="30"/>
        </w:rPr>
        <w:lastRenderedPageBreak/>
        <w:t xml:space="preserve">Part </w:t>
      </w:r>
      <w:proofErr w:type="gramStart"/>
      <w:r>
        <w:rPr>
          <w:b/>
          <w:bCs/>
          <w:color w:val="6F8E5A"/>
          <w:sz w:val="30"/>
          <w:szCs w:val="30"/>
        </w:rPr>
        <w:t>I  ·</w:t>
      </w:r>
      <w:proofErr w:type="gramEnd"/>
      <w:r>
        <w:rPr>
          <w:b/>
          <w:bCs/>
          <w:color w:val="6F8E5A"/>
          <w:sz w:val="30"/>
          <w:szCs w:val="30"/>
        </w:rPr>
        <w:t xml:space="preserve">  The completion map</w:t>
      </w:r>
      <w:bookmarkEnd w:id="0"/>
    </w:p>
    <w:p w14:paraId="79E51716" w14:textId="77777777" w:rsidR="00570271" w:rsidRDefault="00C213F8">
      <w:pPr>
        <w:spacing w:after="120" w:line="276" w:lineRule="exact"/>
      </w:pPr>
      <w:r>
        <w:t xml:space="preserve">The previous two documents specified the </w:t>
      </w:r>
      <w:r>
        <w:rPr>
          <w:b/>
          <w:bCs/>
        </w:rPr>
        <w:t>kernel</w:t>
      </w:r>
      <w:r>
        <w:t xml:space="preserve"> — how </w:t>
      </w:r>
      <w:proofErr w:type="spellStart"/>
      <w:r>
        <w:t>BioSense</w:t>
      </w:r>
      <w:proofErr w:type="spellEnd"/>
      <w:r>
        <w:t xml:space="preserve"> thinks and what constrains it. An operating system is more than a kernel, and a health OS has an unusually large envelope around it. Almost everything still missing lives in that envelope. This document names each piece, resolves it where it can be resolved in engineering, and frames it as a decision where the resolution needs a human call.</w:t>
      </w:r>
    </w:p>
    <w:p w14:paraId="79E51717" w14:textId="77777777" w:rsidR="00570271" w:rsidRDefault="00C213F8">
      <w:pPr>
        <w:pStyle w:val="Heading2"/>
        <w:spacing w:before="260" w:after="100"/>
      </w:pPr>
      <w:bookmarkStart w:id="1" w:name="_Toc234486197"/>
      <w:r>
        <w:rPr>
          <w:b/>
          <w:bCs/>
          <w:color w:val="1F2A1C"/>
          <w:sz w:val="25"/>
          <w:szCs w:val="25"/>
        </w:rPr>
        <w:t>What is already built vs what this document adds</w:t>
      </w:r>
      <w:bookmarkEnd w:id="1"/>
    </w:p>
    <w:tbl>
      <w:tblPr>
        <w:tblW w:w="9026" w:type="dxa"/>
        <w:tblLayout w:type="fixed"/>
        <w:tblCellMar>
          <w:top w:w="60" w:type="dxa"/>
          <w:left w:w="90" w:type="dxa"/>
          <w:bottom w:w="60" w:type="dxa"/>
          <w:right w:w="90" w:type="dxa"/>
        </w:tblCellMar>
        <w:tblLook w:val="04A0" w:firstRow="1" w:lastRow="0" w:firstColumn="1" w:lastColumn="0" w:noHBand="0" w:noVBand="1"/>
      </w:tblPr>
      <w:tblGrid>
        <w:gridCol w:w="3010"/>
        <w:gridCol w:w="3010"/>
        <w:gridCol w:w="3006"/>
      </w:tblGrid>
      <w:tr w:rsidR="00570271" w14:paraId="79E5171B" w14:textId="77777777">
        <w:trPr>
          <w:tblHeader/>
        </w:trPr>
        <w:tc>
          <w:tcPr>
            <w:tcW w:w="3010" w:type="dxa"/>
            <w:tcBorders>
              <w:top w:val="single" w:sz="4" w:space="0" w:color="C9D6BC"/>
              <w:left w:val="single" w:sz="4" w:space="0" w:color="C9D6BC"/>
              <w:bottom w:val="single" w:sz="2" w:space="0" w:color="C9D6BC"/>
              <w:right w:val="single" w:sz="2" w:space="0" w:color="C9D6BC"/>
            </w:tcBorders>
            <w:shd w:val="clear" w:color="auto" w:fill="6F8E5A"/>
          </w:tcPr>
          <w:p w14:paraId="79E51718" w14:textId="77777777" w:rsidR="00570271" w:rsidRDefault="00C213F8">
            <w:pPr>
              <w:spacing w:after="40" w:line="250" w:lineRule="exact"/>
            </w:pPr>
            <w:r>
              <w:rPr>
                <w:b/>
                <w:bCs/>
                <w:color w:val="FFFFFF"/>
                <w:sz w:val="19"/>
                <w:szCs w:val="19"/>
              </w:rPr>
              <w:t>Layer</w:t>
            </w:r>
          </w:p>
        </w:tc>
        <w:tc>
          <w:tcPr>
            <w:tcW w:w="3010" w:type="dxa"/>
            <w:tcBorders>
              <w:top w:val="single" w:sz="4" w:space="0" w:color="C9D6BC"/>
              <w:left w:val="single" w:sz="2" w:space="0" w:color="C9D6BC"/>
              <w:bottom w:val="single" w:sz="2" w:space="0" w:color="C9D6BC"/>
              <w:right w:val="single" w:sz="2" w:space="0" w:color="C9D6BC"/>
            </w:tcBorders>
            <w:shd w:val="clear" w:color="auto" w:fill="6F8E5A"/>
          </w:tcPr>
          <w:p w14:paraId="79E51719" w14:textId="77777777" w:rsidR="00570271" w:rsidRDefault="00C213F8">
            <w:pPr>
              <w:spacing w:after="40" w:line="250" w:lineRule="exact"/>
            </w:pPr>
            <w:r>
              <w:rPr>
                <w:b/>
                <w:bCs/>
                <w:color w:val="FFFFFF"/>
                <w:sz w:val="19"/>
                <w:szCs w:val="19"/>
              </w:rPr>
              <w:t>Status</w:t>
            </w:r>
          </w:p>
        </w:tc>
        <w:tc>
          <w:tcPr>
            <w:tcW w:w="3006" w:type="dxa"/>
            <w:tcBorders>
              <w:top w:val="single" w:sz="4" w:space="0" w:color="C9D6BC"/>
              <w:left w:val="single" w:sz="2" w:space="0" w:color="C9D6BC"/>
              <w:bottom w:val="single" w:sz="2" w:space="0" w:color="C9D6BC"/>
              <w:right w:val="single" w:sz="4" w:space="0" w:color="C9D6BC"/>
            </w:tcBorders>
            <w:shd w:val="clear" w:color="auto" w:fill="6F8E5A"/>
          </w:tcPr>
          <w:p w14:paraId="79E5171A" w14:textId="77777777" w:rsidR="00570271" w:rsidRDefault="00C213F8">
            <w:pPr>
              <w:spacing w:after="40" w:line="250" w:lineRule="exact"/>
            </w:pPr>
            <w:r>
              <w:rPr>
                <w:b/>
                <w:bCs/>
                <w:color w:val="FFFFFF"/>
                <w:sz w:val="19"/>
                <w:szCs w:val="19"/>
              </w:rPr>
              <w:t>Where</w:t>
            </w:r>
          </w:p>
        </w:tc>
      </w:tr>
      <w:tr w:rsidR="00570271" w14:paraId="79E5171F" w14:textId="77777777">
        <w:tc>
          <w:tcPr>
            <w:tcW w:w="3010" w:type="dxa"/>
            <w:tcBorders>
              <w:top w:val="single" w:sz="2" w:space="0" w:color="C9D6BC"/>
              <w:left w:val="single" w:sz="4" w:space="0" w:color="C9D6BC"/>
              <w:bottom w:val="single" w:sz="2" w:space="0" w:color="C9D6BC"/>
              <w:right w:val="single" w:sz="2" w:space="0" w:color="C9D6BC"/>
            </w:tcBorders>
          </w:tcPr>
          <w:p w14:paraId="79E5171C" w14:textId="77777777" w:rsidR="00570271" w:rsidRDefault="00C213F8">
            <w:pPr>
              <w:spacing w:after="40" w:line="250" w:lineRule="exact"/>
            </w:pPr>
            <w:r>
              <w:rPr>
                <w:sz w:val="18"/>
                <w:szCs w:val="18"/>
              </w:rPr>
              <w:t>Values &amp; governance of reasoning</w:t>
            </w:r>
          </w:p>
        </w:tc>
        <w:tc>
          <w:tcPr>
            <w:tcW w:w="3010" w:type="dxa"/>
            <w:tcBorders>
              <w:top w:val="single" w:sz="2" w:space="0" w:color="C9D6BC"/>
              <w:left w:val="single" w:sz="2" w:space="0" w:color="C9D6BC"/>
              <w:bottom w:val="single" w:sz="2" w:space="0" w:color="C9D6BC"/>
              <w:right w:val="single" w:sz="2" w:space="0" w:color="C9D6BC"/>
            </w:tcBorders>
          </w:tcPr>
          <w:p w14:paraId="79E5171D" w14:textId="77777777" w:rsidR="00570271" w:rsidRDefault="00C213F8">
            <w:pPr>
              <w:spacing w:after="40" w:line="250" w:lineRule="exact"/>
            </w:pPr>
            <w:r>
              <w:rPr>
                <w:sz w:val="18"/>
                <w:szCs w:val="18"/>
              </w:rPr>
              <w:t>Specified</w:t>
            </w:r>
          </w:p>
        </w:tc>
        <w:tc>
          <w:tcPr>
            <w:tcW w:w="3006" w:type="dxa"/>
            <w:tcBorders>
              <w:top w:val="single" w:sz="2" w:space="0" w:color="C9D6BC"/>
              <w:left w:val="single" w:sz="2" w:space="0" w:color="C9D6BC"/>
              <w:bottom w:val="single" w:sz="2" w:space="0" w:color="C9D6BC"/>
              <w:right w:val="single" w:sz="4" w:space="0" w:color="C9D6BC"/>
            </w:tcBorders>
          </w:tcPr>
          <w:p w14:paraId="79E5171E" w14:textId="77777777" w:rsidR="00570271" w:rsidRDefault="00C213F8">
            <w:pPr>
              <w:spacing w:after="40" w:line="250" w:lineRule="exact"/>
            </w:pPr>
            <w:r>
              <w:rPr>
                <w:sz w:val="18"/>
                <w:szCs w:val="18"/>
              </w:rPr>
              <w:t>Intelligence Constitution</w:t>
            </w:r>
          </w:p>
        </w:tc>
      </w:tr>
      <w:tr w:rsidR="00570271" w14:paraId="79E51723" w14:textId="77777777">
        <w:tc>
          <w:tcPr>
            <w:tcW w:w="3010" w:type="dxa"/>
            <w:tcBorders>
              <w:top w:val="single" w:sz="2" w:space="0" w:color="C9D6BC"/>
              <w:left w:val="single" w:sz="4" w:space="0" w:color="C9D6BC"/>
              <w:bottom w:val="single" w:sz="2" w:space="0" w:color="C9D6BC"/>
              <w:right w:val="single" w:sz="2" w:space="0" w:color="C9D6BC"/>
            </w:tcBorders>
            <w:shd w:val="clear" w:color="auto" w:fill="EEF2E9"/>
          </w:tcPr>
          <w:p w14:paraId="79E51720" w14:textId="77777777" w:rsidR="00570271" w:rsidRDefault="00C213F8">
            <w:pPr>
              <w:spacing w:after="40" w:line="250" w:lineRule="exact"/>
            </w:pPr>
            <w:r>
              <w:rPr>
                <w:sz w:val="18"/>
                <w:szCs w:val="18"/>
              </w:rPr>
              <w:t>Reasoning kernel (state machine, DHM, deterministic subsystems)</w:t>
            </w:r>
          </w:p>
        </w:tc>
        <w:tc>
          <w:tcPr>
            <w:tcW w:w="3010" w:type="dxa"/>
            <w:tcBorders>
              <w:top w:val="single" w:sz="2" w:space="0" w:color="C9D6BC"/>
              <w:left w:val="single" w:sz="2" w:space="0" w:color="C9D6BC"/>
              <w:bottom w:val="single" w:sz="2" w:space="0" w:color="C9D6BC"/>
              <w:right w:val="single" w:sz="2" w:space="0" w:color="C9D6BC"/>
            </w:tcBorders>
            <w:shd w:val="clear" w:color="auto" w:fill="EEF2E9"/>
          </w:tcPr>
          <w:p w14:paraId="79E51721" w14:textId="77777777" w:rsidR="00570271" w:rsidRDefault="00C213F8">
            <w:pPr>
              <w:spacing w:after="40" w:line="250" w:lineRule="exact"/>
            </w:pPr>
            <w:r>
              <w:rPr>
                <w:sz w:val="18"/>
                <w:szCs w:val="18"/>
              </w:rPr>
              <w:t>Specified</w:t>
            </w:r>
          </w:p>
        </w:tc>
        <w:tc>
          <w:tcPr>
            <w:tcW w:w="3006" w:type="dxa"/>
            <w:tcBorders>
              <w:top w:val="single" w:sz="2" w:space="0" w:color="C9D6BC"/>
              <w:left w:val="single" w:sz="2" w:space="0" w:color="C9D6BC"/>
              <w:bottom w:val="single" w:sz="2" w:space="0" w:color="C9D6BC"/>
              <w:right w:val="single" w:sz="4" w:space="0" w:color="C9D6BC"/>
            </w:tcBorders>
            <w:shd w:val="clear" w:color="auto" w:fill="EEF2E9"/>
          </w:tcPr>
          <w:p w14:paraId="79E51722" w14:textId="77777777" w:rsidR="00570271" w:rsidRDefault="00C213F8">
            <w:pPr>
              <w:spacing w:after="40" w:line="250" w:lineRule="exact"/>
            </w:pPr>
            <w:r>
              <w:rPr>
                <w:sz w:val="18"/>
                <w:szCs w:val="18"/>
              </w:rPr>
              <w:t>Reasoning Architecture</w:t>
            </w:r>
          </w:p>
        </w:tc>
      </w:tr>
      <w:tr w:rsidR="00570271" w14:paraId="79E51727" w14:textId="77777777">
        <w:tc>
          <w:tcPr>
            <w:tcW w:w="3010" w:type="dxa"/>
            <w:tcBorders>
              <w:top w:val="single" w:sz="2" w:space="0" w:color="C9D6BC"/>
              <w:left w:val="single" w:sz="4" w:space="0" w:color="C9D6BC"/>
              <w:bottom w:val="single" w:sz="2" w:space="0" w:color="C9D6BC"/>
              <w:right w:val="single" w:sz="2" w:space="0" w:color="C9D6BC"/>
            </w:tcBorders>
          </w:tcPr>
          <w:p w14:paraId="79E51724" w14:textId="77777777" w:rsidR="00570271" w:rsidRDefault="00C213F8">
            <w:pPr>
              <w:spacing w:after="40" w:line="250" w:lineRule="exact"/>
            </w:pPr>
            <w:r>
              <w:rPr>
                <w:sz w:val="18"/>
                <w:szCs w:val="18"/>
              </w:rPr>
              <w:t xml:space="preserve">Knowledge </w:t>
            </w:r>
            <w:proofErr w:type="gramStart"/>
            <w:r>
              <w:rPr>
                <w:sz w:val="18"/>
                <w:szCs w:val="18"/>
              </w:rPr>
              <w:t>base</w:t>
            </w:r>
            <w:proofErr w:type="gramEnd"/>
            <w:r>
              <w:rPr>
                <w:sz w:val="18"/>
                <w:szCs w:val="18"/>
              </w:rPr>
              <w:t xml:space="preserve"> the kernel reasons from</w:t>
            </w:r>
          </w:p>
        </w:tc>
        <w:tc>
          <w:tcPr>
            <w:tcW w:w="3010" w:type="dxa"/>
            <w:tcBorders>
              <w:top w:val="single" w:sz="2" w:space="0" w:color="C9D6BC"/>
              <w:left w:val="single" w:sz="2" w:space="0" w:color="C9D6BC"/>
              <w:bottom w:val="single" w:sz="2" w:space="0" w:color="C9D6BC"/>
              <w:right w:val="single" w:sz="2" w:space="0" w:color="C9D6BC"/>
            </w:tcBorders>
          </w:tcPr>
          <w:p w14:paraId="79E51725" w14:textId="77777777" w:rsidR="00570271" w:rsidRDefault="00C213F8">
            <w:pPr>
              <w:spacing w:after="40" w:line="250" w:lineRule="exact"/>
            </w:pPr>
            <w:r>
              <w:rPr>
                <w:sz w:val="18"/>
                <w:szCs w:val="18"/>
              </w:rPr>
              <w:t>Missing → this doc, Part II</w:t>
            </w:r>
          </w:p>
        </w:tc>
        <w:tc>
          <w:tcPr>
            <w:tcW w:w="3006" w:type="dxa"/>
            <w:tcBorders>
              <w:top w:val="single" w:sz="2" w:space="0" w:color="C9D6BC"/>
              <w:left w:val="single" w:sz="2" w:space="0" w:color="C9D6BC"/>
              <w:bottom w:val="single" w:sz="2" w:space="0" w:color="C9D6BC"/>
              <w:right w:val="single" w:sz="4" w:space="0" w:color="C9D6BC"/>
            </w:tcBorders>
          </w:tcPr>
          <w:p w14:paraId="79E51726" w14:textId="77777777" w:rsidR="00570271" w:rsidRDefault="00C213F8">
            <w:pPr>
              <w:spacing w:after="40" w:line="250" w:lineRule="exact"/>
            </w:pPr>
            <w:r>
              <w:rPr>
                <w:sz w:val="18"/>
                <w:szCs w:val="18"/>
              </w:rPr>
              <w:t>§2 Canonical Scientific Library</w:t>
            </w:r>
          </w:p>
        </w:tc>
      </w:tr>
      <w:tr w:rsidR="00570271" w14:paraId="79E5172B" w14:textId="77777777">
        <w:tc>
          <w:tcPr>
            <w:tcW w:w="3010" w:type="dxa"/>
            <w:tcBorders>
              <w:top w:val="single" w:sz="2" w:space="0" w:color="C9D6BC"/>
              <w:left w:val="single" w:sz="4" w:space="0" w:color="C9D6BC"/>
              <w:bottom w:val="single" w:sz="2" w:space="0" w:color="C9D6BC"/>
              <w:right w:val="single" w:sz="2" w:space="0" w:color="C9D6BC"/>
            </w:tcBorders>
            <w:shd w:val="clear" w:color="auto" w:fill="EEF2E9"/>
          </w:tcPr>
          <w:p w14:paraId="79E51728" w14:textId="77777777" w:rsidR="00570271" w:rsidRDefault="00C213F8">
            <w:pPr>
              <w:spacing w:after="40" w:line="250" w:lineRule="exact"/>
            </w:pPr>
            <w:r>
              <w:rPr>
                <w:sz w:val="18"/>
                <w:szCs w:val="18"/>
              </w:rPr>
              <w:t>Data lifecycle, erasure, consent, residency</w:t>
            </w:r>
          </w:p>
        </w:tc>
        <w:tc>
          <w:tcPr>
            <w:tcW w:w="3010" w:type="dxa"/>
            <w:tcBorders>
              <w:top w:val="single" w:sz="2" w:space="0" w:color="C9D6BC"/>
              <w:left w:val="single" w:sz="2" w:space="0" w:color="C9D6BC"/>
              <w:bottom w:val="single" w:sz="2" w:space="0" w:color="C9D6BC"/>
              <w:right w:val="single" w:sz="2" w:space="0" w:color="C9D6BC"/>
            </w:tcBorders>
            <w:shd w:val="clear" w:color="auto" w:fill="EEF2E9"/>
          </w:tcPr>
          <w:p w14:paraId="79E51729" w14:textId="77777777" w:rsidR="00570271" w:rsidRDefault="00C213F8">
            <w:pPr>
              <w:spacing w:after="40" w:line="250" w:lineRule="exact"/>
            </w:pPr>
            <w:r>
              <w:rPr>
                <w:sz w:val="18"/>
                <w:szCs w:val="18"/>
              </w:rPr>
              <w:t>Missing → this doc, Part II</w:t>
            </w:r>
          </w:p>
        </w:tc>
        <w:tc>
          <w:tcPr>
            <w:tcW w:w="3006" w:type="dxa"/>
            <w:tcBorders>
              <w:top w:val="single" w:sz="2" w:space="0" w:color="C9D6BC"/>
              <w:left w:val="single" w:sz="2" w:space="0" w:color="C9D6BC"/>
              <w:bottom w:val="single" w:sz="2" w:space="0" w:color="C9D6BC"/>
              <w:right w:val="single" w:sz="4" w:space="0" w:color="C9D6BC"/>
            </w:tcBorders>
            <w:shd w:val="clear" w:color="auto" w:fill="EEF2E9"/>
          </w:tcPr>
          <w:p w14:paraId="79E5172A" w14:textId="77777777" w:rsidR="00570271" w:rsidRDefault="00C213F8">
            <w:pPr>
              <w:spacing w:after="40" w:line="250" w:lineRule="exact"/>
            </w:pPr>
            <w:r>
              <w:rPr>
                <w:sz w:val="18"/>
                <w:szCs w:val="18"/>
              </w:rPr>
              <w:t>§3</w:t>
            </w:r>
          </w:p>
        </w:tc>
      </w:tr>
      <w:tr w:rsidR="00570271" w14:paraId="79E5172F" w14:textId="77777777">
        <w:tc>
          <w:tcPr>
            <w:tcW w:w="3010" w:type="dxa"/>
            <w:tcBorders>
              <w:top w:val="single" w:sz="2" w:space="0" w:color="C9D6BC"/>
              <w:left w:val="single" w:sz="4" w:space="0" w:color="C9D6BC"/>
              <w:bottom w:val="single" w:sz="2" w:space="0" w:color="C9D6BC"/>
              <w:right w:val="single" w:sz="2" w:space="0" w:color="C9D6BC"/>
            </w:tcBorders>
          </w:tcPr>
          <w:p w14:paraId="79E5172C" w14:textId="77777777" w:rsidR="00570271" w:rsidRDefault="00C213F8">
            <w:pPr>
              <w:spacing w:after="40" w:line="250" w:lineRule="exact"/>
            </w:pPr>
            <w:r>
              <w:rPr>
                <w:sz w:val="18"/>
                <w:szCs w:val="18"/>
              </w:rPr>
              <w:t>Ingestion drivers &amp; canonical schema</w:t>
            </w:r>
          </w:p>
        </w:tc>
        <w:tc>
          <w:tcPr>
            <w:tcW w:w="3010" w:type="dxa"/>
            <w:tcBorders>
              <w:top w:val="single" w:sz="2" w:space="0" w:color="C9D6BC"/>
              <w:left w:val="single" w:sz="2" w:space="0" w:color="C9D6BC"/>
              <w:bottom w:val="single" w:sz="2" w:space="0" w:color="C9D6BC"/>
              <w:right w:val="single" w:sz="2" w:space="0" w:color="C9D6BC"/>
            </w:tcBorders>
          </w:tcPr>
          <w:p w14:paraId="79E5172D" w14:textId="77777777" w:rsidR="00570271" w:rsidRDefault="00C213F8">
            <w:pPr>
              <w:spacing w:after="40" w:line="250" w:lineRule="exact"/>
            </w:pPr>
            <w:r>
              <w:rPr>
                <w:sz w:val="18"/>
                <w:szCs w:val="18"/>
              </w:rPr>
              <w:t>Partial → this doc, Part II</w:t>
            </w:r>
          </w:p>
        </w:tc>
        <w:tc>
          <w:tcPr>
            <w:tcW w:w="3006" w:type="dxa"/>
            <w:tcBorders>
              <w:top w:val="single" w:sz="2" w:space="0" w:color="C9D6BC"/>
              <w:left w:val="single" w:sz="2" w:space="0" w:color="C9D6BC"/>
              <w:bottom w:val="single" w:sz="2" w:space="0" w:color="C9D6BC"/>
              <w:right w:val="single" w:sz="4" w:space="0" w:color="C9D6BC"/>
            </w:tcBorders>
          </w:tcPr>
          <w:p w14:paraId="79E5172E" w14:textId="77777777" w:rsidR="00570271" w:rsidRDefault="00C213F8">
            <w:pPr>
              <w:spacing w:after="40" w:line="250" w:lineRule="exact"/>
            </w:pPr>
            <w:r>
              <w:rPr>
                <w:sz w:val="18"/>
                <w:szCs w:val="18"/>
              </w:rPr>
              <w:t>§4</w:t>
            </w:r>
          </w:p>
        </w:tc>
      </w:tr>
      <w:tr w:rsidR="00570271" w14:paraId="79E51733" w14:textId="77777777">
        <w:tc>
          <w:tcPr>
            <w:tcW w:w="3010" w:type="dxa"/>
            <w:tcBorders>
              <w:top w:val="single" w:sz="2" w:space="0" w:color="C9D6BC"/>
              <w:left w:val="single" w:sz="4" w:space="0" w:color="C9D6BC"/>
              <w:bottom w:val="single" w:sz="2" w:space="0" w:color="C9D6BC"/>
              <w:right w:val="single" w:sz="2" w:space="0" w:color="C9D6BC"/>
            </w:tcBorders>
            <w:shd w:val="clear" w:color="auto" w:fill="EEF2E9"/>
          </w:tcPr>
          <w:p w14:paraId="79E51730" w14:textId="77777777" w:rsidR="00570271" w:rsidRDefault="00C213F8">
            <w:pPr>
              <w:spacing w:after="40" w:line="250" w:lineRule="exact"/>
            </w:pPr>
            <w:r>
              <w:rPr>
                <w:sz w:val="18"/>
                <w:szCs w:val="18"/>
              </w:rPr>
              <w:t>Regulatory &amp; clinical envelope</w:t>
            </w:r>
          </w:p>
        </w:tc>
        <w:tc>
          <w:tcPr>
            <w:tcW w:w="3010" w:type="dxa"/>
            <w:tcBorders>
              <w:top w:val="single" w:sz="2" w:space="0" w:color="C9D6BC"/>
              <w:left w:val="single" w:sz="2" w:space="0" w:color="C9D6BC"/>
              <w:bottom w:val="single" w:sz="2" w:space="0" w:color="C9D6BC"/>
              <w:right w:val="single" w:sz="2" w:space="0" w:color="C9D6BC"/>
            </w:tcBorders>
            <w:shd w:val="clear" w:color="auto" w:fill="EEF2E9"/>
          </w:tcPr>
          <w:p w14:paraId="79E51731" w14:textId="77777777" w:rsidR="00570271" w:rsidRDefault="00C213F8">
            <w:pPr>
              <w:spacing w:after="40" w:line="250" w:lineRule="exact"/>
            </w:pPr>
            <w:r>
              <w:rPr>
                <w:sz w:val="18"/>
                <w:szCs w:val="18"/>
              </w:rPr>
              <w:t>Missing → this doc, Part III</w:t>
            </w:r>
          </w:p>
        </w:tc>
        <w:tc>
          <w:tcPr>
            <w:tcW w:w="3006" w:type="dxa"/>
            <w:tcBorders>
              <w:top w:val="single" w:sz="2" w:space="0" w:color="C9D6BC"/>
              <w:left w:val="single" w:sz="2" w:space="0" w:color="C9D6BC"/>
              <w:bottom w:val="single" w:sz="2" w:space="0" w:color="C9D6BC"/>
              <w:right w:val="single" w:sz="4" w:space="0" w:color="C9D6BC"/>
            </w:tcBorders>
            <w:shd w:val="clear" w:color="auto" w:fill="EEF2E9"/>
          </w:tcPr>
          <w:p w14:paraId="79E51732" w14:textId="77777777" w:rsidR="00570271" w:rsidRDefault="00C213F8">
            <w:pPr>
              <w:spacing w:after="40" w:line="250" w:lineRule="exact"/>
            </w:pPr>
            <w:r>
              <w:rPr>
                <w:sz w:val="18"/>
                <w:szCs w:val="18"/>
              </w:rPr>
              <w:t>§5–§6</w:t>
            </w:r>
          </w:p>
        </w:tc>
      </w:tr>
      <w:tr w:rsidR="00570271" w14:paraId="79E51737" w14:textId="77777777">
        <w:tc>
          <w:tcPr>
            <w:tcW w:w="3010" w:type="dxa"/>
            <w:tcBorders>
              <w:top w:val="single" w:sz="2" w:space="0" w:color="C9D6BC"/>
              <w:left w:val="single" w:sz="4" w:space="0" w:color="C9D6BC"/>
              <w:bottom w:val="single" w:sz="2" w:space="0" w:color="C9D6BC"/>
              <w:right w:val="single" w:sz="2" w:space="0" w:color="C9D6BC"/>
            </w:tcBorders>
          </w:tcPr>
          <w:p w14:paraId="79E51734" w14:textId="77777777" w:rsidR="00570271" w:rsidRDefault="00C213F8">
            <w:pPr>
              <w:spacing w:after="40" w:line="250" w:lineRule="exact"/>
            </w:pPr>
            <w:r>
              <w:rPr>
                <w:sz w:val="18"/>
                <w:szCs w:val="18"/>
              </w:rPr>
              <w:t>Kernel-upgrade (model lifecycle) &amp; learning governance</w:t>
            </w:r>
          </w:p>
        </w:tc>
        <w:tc>
          <w:tcPr>
            <w:tcW w:w="3010" w:type="dxa"/>
            <w:tcBorders>
              <w:top w:val="single" w:sz="2" w:space="0" w:color="C9D6BC"/>
              <w:left w:val="single" w:sz="2" w:space="0" w:color="C9D6BC"/>
              <w:bottom w:val="single" w:sz="2" w:space="0" w:color="C9D6BC"/>
              <w:right w:val="single" w:sz="2" w:space="0" w:color="C9D6BC"/>
            </w:tcBorders>
          </w:tcPr>
          <w:p w14:paraId="79E51735" w14:textId="77777777" w:rsidR="00570271" w:rsidRDefault="00C213F8">
            <w:pPr>
              <w:spacing w:after="40" w:line="250" w:lineRule="exact"/>
            </w:pPr>
            <w:r>
              <w:rPr>
                <w:sz w:val="18"/>
                <w:szCs w:val="18"/>
              </w:rPr>
              <w:t>Missing → this doc, Part III</w:t>
            </w:r>
          </w:p>
        </w:tc>
        <w:tc>
          <w:tcPr>
            <w:tcW w:w="3006" w:type="dxa"/>
            <w:tcBorders>
              <w:top w:val="single" w:sz="2" w:space="0" w:color="C9D6BC"/>
              <w:left w:val="single" w:sz="2" w:space="0" w:color="C9D6BC"/>
              <w:bottom w:val="single" w:sz="2" w:space="0" w:color="C9D6BC"/>
              <w:right w:val="single" w:sz="4" w:space="0" w:color="C9D6BC"/>
            </w:tcBorders>
          </w:tcPr>
          <w:p w14:paraId="79E51736" w14:textId="77777777" w:rsidR="00570271" w:rsidRDefault="00C213F8">
            <w:pPr>
              <w:spacing w:after="40" w:line="250" w:lineRule="exact"/>
            </w:pPr>
            <w:r>
              <w:rPr>
                <w:sz w:val="18"/>
                <w:szCs w:val="18"/>
              </w:rPr>
              <w:t>§7–§8</w:t>
            </w:r>
          </w:p>
        </w:tc>
      </w:tr>
      <w:tr w:rsidR="00570271" w14:paraId="79E5173B" w14:textId="77777777">
        <w:tc>
          <w:tcPr>
            <w:tcW w:w="3010" w:type="dxa"/>
            <w:tcBorders>
              <w:top w:val="single" w:sz="2" w:space="0" w:color="C9D6BC"/>
              <w:left w:val="single" w:sz="4" w:space="0" w:color="C9D6BC"/>
              <w:bottom w:val="single" w:sz="2" w:space="0" w:color="C9D6BC"/>
              <w:right w:val="single" w:sz="2" w:space="0" w:color="C9D6BC"/>
            </w:tcBorders>
            <w:shd w:val="clear" w:color="auto" w:fill="EEF2E9"/>
          </w:tcPr>
          <w:p w14:paraId="79E51738" w14:textId="77777777" w:rsidR="00570271" w:rsidRDefault="00C213F8">
            <w:pPr>
              <w:spacing w:after="40" w:line="250" w:lineRule="exact"/>
            </w:pPr>
            <w:r>
              <w:rPr>
                <w:sz w:val="18"/>
                <w:szCs w:val="18"/>
              </w:rPr>
              <w:t>Assurance: validation, security, observability, degraded mode</w:t>
            </w:r>
          </w:p>
        </w:tc>
        <w:tc>
          <w:tcPr>
            <w:tcW w:w="3010" w:type="dxa"/>
            <w:tcBorders>
              <w:top w:val="single" w:sz="2" w:space="0" w:color="C9D6BC"/>
              <w:left w:val="single" w:sz="2" w:space="0" w:color="C9D6BC"/>
              <w:bottom w:val="single" w:sz="2" w:space="0" w:color="C9D6BC"/>
              <w:right w:val="single" w:sz="2" w:space="0" w:color="C9D6BC"/>
            </w:tcBorders>
            <w:shd w:val="clear" w:color="auto" w:fill="EEF2E9"/>
          </w:tcPr>
          <w:p w14:paraId="79E51739" w14:textId="77777777" w:rsidR="00570271" w:rsidRDefault="00C213F8">
            <w:pPr>
              <w:spacing w:after="40" w:line="250" w:lineRule="exact"/>
            </w:pPr>
            <w:r>
              <w:rPr>
                <w:sz w:val="18"/>
                <w:szCs w:val="18"/>
              </w:rPr>
              <w:t>Missing → this doc, Part IV</w:t>
            </w:r>
          </w:p>
        </w:tc>
        <w:tc>
          <w:tcPr>
            <w:tcW w:w="3006" w:type="dxa"/>
            <w:tcBorders>
              <w:top w:val="single" w:sz="2" w:space="0" w:color="C9D6BC"/>
              <w:left w:val="single" w:sz="2" w:space="0" w:color="C9D6BC"/>
              <w:bottom w:val="single" w:sz="2" w:space="0" w:color="C9D6BC"/>
              <w:right w:val="single" w:sz="4" w:space="0" w:color="C9D6BC"/>
            </w:tcBorders>
            <w:shd w:val="clear" w:color="auto" w:fill="EEF2E9"/>
          </w:tcPr>
          <w:p w14:paraId="79E5173A" w14:textId="77777777" w:rsidR="00570271" w:rsidRDefault="00C213F8">
            <w:pPr>
              <w:spacing w:after="40" w:line="250" w:lineRule="exact"/>
            </w:pPr>
            <w:r>
              <w:rPr>
                <w:sz w:val="18"/>
                <w:szCs w:val="18"/>
              </w:rPr>
              <w:t>§9–§12</w:t>
            </w:r>
          </w:p>
        </w:tc>
      </w:tr>
      <w:tr w:rsidR="00570271" w14:paraId="79E5173F" w14:textId="77777777">
        <w:tc>
          <w:tcPr>
            <w:tcW w:w="3010" w:type="dxa"/>
            <w:tcBorders>
              <w:top w:val="single" w:sz="2" w:space="0" w:color="C9D6BC"/>
              <w:left w:val="single" w:sz="4" w:space="0" w:color="C9D6BC"/>
              <w:bottom w:val="single" w:sz="4" w:space="0" w:color="C9D6BC"/>
              <w:right w:val="single" w:sz="2" w:space="0" w:color="C9D6BC"/>
            </w:tcBorders>
          </w:tcPr>
          <w:p w14:paraId="79E5173C" w14:textId="77777777" w:rsidR="00570271" w:rsidRDefault="00C213F8">
            <w:pPr>
              <w:spacing w:after="40" w:line="250" w:lineRule="exact"/>
            </w:pPr>
            <w:r>
              <w:rPr>
                <w:sz w:val="18"/>
                <w:szCs w:val="18"/>
              </w:rPr>
              <w:t>The human: user agency &amp; commitments</w:t>
            </w:r>
          </w:p>
        </w:tc>
        <w:tc>
          <w:tcPr>
            <w:tcW w:w="3010" w:type="dxa"/>
            <w:tcBorders>
              <w:top w:val="single" w:sz="2" w:space="0" w:color="C9D6BC"/>
              <w:left w:val="single" w:sz="2" w:space="0" w:color="C9D6BC"/>
              <w:bottom w:val="single" w:sz="4" w:space="0" w:color="C9D6BC"/>
              <w:right w:val="single" w:sz="2" w:space="0" w:color="C9D6BC"/>
            </w:tcBorders>
          </w:tcPr>
          <w:p w14:paraId="79E5173D" w14:textId="77777777" w:rsidR="00570271" w:rsidRDefault="00C213F8">
            <w:pPr>
              <w:spacing w:after="40" w:line="250" w:lineRule="exact"/>
            </w:pPr>
            <w:r>
              <w:rPr>
                <w:sz w:val="18"/>
                <w:szCs w:val="18"/>
              </w:rPr>
              <w:t>Missing → this doc, Part V</w:t>
            </w:r>
          </w:p>
        </w:tc>
        <w:tc>
          <w:tcPr>
            <w:tcW w:w="3006" w:type="dxa"/>
            <w:tcBorders>
              <w:top w:val="single" w:sz="2" w:space="0" w:color="C9D6BC"/>
              <w:left w:val="single" w:sz="2" w:space="0" w:color="C9D6BC"/>
              <w:bottom w:val="single" w:sz="4" w:space="0" w:color="C9D6BC"/>
              <w:right w:val="single" w:sz="4" w:space="0" w:color="C9D6BC"/>
            </w:tcBorders>
          </w:tcPr>
          <w:p w14:paraId="79E5173E" w14:textId="77777777" w:rsidR="00570271" w:rsidRDefault="00C213F8">
            <w:pPr>
              <w:spacing w:after="40" w:line="250" w:lineRule="exact"/>
            </w:pPr>
            <w:r>
              <w:rPr>
                <w:sz w:val="18"/>
                <w:szCs w:val="18"/>
              </w:rPr>
              <w:t>§13–§14</w:t>
            </w:r>
          </w:p>
        </w:tc>
      </w:tr>
    </w:tbl>
    <w:p w14:paraId="79E51740" w14:textId="77777777" w:rsidR="00570271" w:rsidRDefault="00C213F8">
      <w:pPr>
        <w:pStyle w:val="Heading2"/>
        <w:spacing w:before="260" w:after="100"/>
      </w:pPr>
      <w:bookmarkStart w:id="2" w:name="_Toc234486198"/>
      <w:r>
        <w:rPr>
          <w:b/>
          <w:bCs/>
          <w:color w:val="1F2A1C"/>
          <w:sz w:val="25"/>
          <w:szCs w:val="25"/>
        </w:rPr>
        <w:t>Gap register and build order</w:t>
      </w:r>
      <w:bookmarkEnd w:id="2"/>
    </w:p>
    <w:p w14:paraId="79E51741" w14:textId="77777777" w:rsidR="00570271" w:rsidRDefault="00C213F8">
      <w:pPr>
        <w:spacing w:after="120" w:line="276" w:lineRule="exact"/>
      </w:pPr>
      <w:r>
        <w:t>Every gap, its type, who must own it, what it blocks, and when it must be resolved. Priority: P0 blocks the build; P1 must be resolved before general availability; P2 is post-launch hardening.</w:t>
      </w:r>
    </w:p>
    <w:tbl>
      <w:tblPr>
        <w:tblW w:w="8426" w:type="dxa"/>
        <w:tblLayout w:type="fixed"/>
        <w:tblCellMar>
          <w:top w:w="60" w:type="dxa"/>
          <w:left w:w="90" w:type="dxa"/>
          <w:bottom w:w="60" w:type="dxa"/>
          <w:right w:w="90" w:type="dxa"/>
        </w:tblCellMar>
        <w:tblLook w:val="04A0" w:firstRow="1" w:lastRow="0" w:firstColumn="1" w:lastColumn="0" w:noHBand="0" w:noVBand="1"/>
      </w:tblPr>
      <w:tblGrid>
        <w:gridCol w:w="2249"/>
        <w:gridCol w:w="1150"/>
        <w:gridCol w:w="1401"/>
        <w:gridCol w:w="3126"/>
        <w:gridCol w:w="500"/>
      </w:tblGrid>
      <w:tr w:rsidR="00570271" w14:paraId="79E51747" w14:textId="77777777">
        <w:trPr>
          <w:tblHeader/>
        </w:trPr>
        <w:tc>
          <w:tcPr>
            <w:tcW w:w="2249" w:type="dxa"/>
            <w:tcBorders>
              <w:top w:val="single" w:sz="4" w:space="0" w:color="C9D6BC"/>
              <w:left w:val="single" w:sz="4" w:space="0" w:color="C9D6BC"/>
              <w:bottom w:val="single" w:sz="2" w:space="0" w:color="C9D6BC"/>
              <w:right w:val="single" w:sz="2" w:space="0" w:color="C9D6BC"/>
            </w:tcBorders>
            <w:shd w:val="clear" w:color="auto" w:fill="6F8E5A"/>
          </w:tcPr>
          <w:p w14:paraId="79E51742" w14:textId="77777777" w:rsidR="00570271" w:rsidRDefault="00C213F8">
            <w:pPr>
              <w:spacing w:after="40" w:line="250" w:lineRule="exact"/>
            </w:pPr>
            <w:r>
              <w:rPr>
                <w:b/>
                <w:bCs/>
                <w:color w:val="FFFFFF"/>
                <w:sz w:val="19"/>
                <w:szCs w:val="19"/>
              </w:rPr>
              <w:t>Gap</w:t>
            </w:r>
          </w:p>
        </w:tc>
        <w:tc>
          <w:tcPr>
            <w:tcW w:w="1150" w:type="dxa"/>
            <w:tcBorders>
              <w:top w:val="single" w:sz="4" w:space="0" w:color="C9D6BC"/>
              <w:left w:val="single" w:sz="2" w:space="0" w:color="C9D6BC"/>
              <w:bottom w:val="single" w:sz="2" w:space="0" w:color="C9D6BC"/>
              <w:right w:val="single" w:sz="2" w:space="0" w:color="C9D6BC"/>
            </w:tcBorders>
            <w:shd w:val="clear" w:color="auto" w:fill="6F8E5A"/>
          </w:tcPr>
          <w:p w14:paraId="79E51743" w14:textId="77777777" w:rsidR="00570271" w:rsidRDefault="00C213F8">
            <w:pPr>
              <w:spacing w:after="40" w:line="250" w:lineRule="exact"/>
            </w:pPr>
            <w:r>
              <w:rPr>
                <w:b/>
                <w:bCs/>
                <w:color w:val="FFFFFF"/>
                <w:sz w:val="19"/>
                <w:szCs w:val="19"/>
              </w:rPr>
              <w:t>Type</w:t>
            </w:r>
          </w:p>
        </w:tc>
        <w:tc>
          <w:tcPr>
            <w:tcW w:w="1401" w:type="dxa"/>
            <w:tcBorders>
              <w:top w:val="single" w:sz="4" w:space="0" w:color="C9D6BC"/>
              <w:left w:val="single" w:sz="2" w:space="0" w:color="C9D6BC"/>
              <w:bottom w:val="single" w:sz="2" w:space="0" w:color="C9D6BC"/>
              <w:right w:val="single" w:sz="2" w:space="0" w:color="C9D6BC"/>
            </w:tcBorders>
            <w:shd w:val="clear" w:color="auto" w:fill="6F8E5A"/>
          </w:tcPr>
          <w:p w14:paraId="79E51744" w14:textId="77777777" w:rsidR="00570271" w:rsidRDefault="00C213F8">
            <w:pPr>
              <w:spacing w:after="40" w:line="250" w:lineRule="exact"/>
            </w:pPr>
            <w:r>
              <w:rPr>
                <w:b/>
                <w:bCs/>
                <w:color w:val="FFFFFF"/>
                <w:sz w:val="19"/>
                <w:szCs w:val="19"/>
              </w:rPr>
              <w:t>Owner</w:t>
            </w:r>
          </w:p>
        </w:tc>
        <w:tc>
          <w:tcPr>
            <w:tcW w:w="3126" w:type="dxa"/>
            <w:tcBorders>
              <w:top w:val="single" w:sz="4" w:space="0" w:color="C9D6BC"/>
              <w:left w:val="single" w:sz="2" w:space="0" w:color="C9D6BC"/>
              <w:bottom w:val="single" w:sz="2" w:space="0" w:color="C9D6BC"/>
              <w:right w:val="single" w:sz="2" w:space="0" w:color="C9D6BC"/>
            </w:tcBorders>
            <w:shd w:val="clear" w:color="auto" w:fill="6F8E5A"/>
          </w:tcPr>
          <w:p w14:paraId="79E51745" w14:textId="77777777" w:rsidR="00570271" w:rsidRDefault="00C213F8">
            <w:pPr>
              <w:spacing w:after="40" w:line="250" w:lineRule="exact"/>
            </w:pPr>
            <w:r>
              <w:rPr>
                <w:b/>
                <w:bCs/>
                <w:color w:val="FFFFFF"/>
                <w:sz w:val="19"/>
                <w:szCs w:val="19"/>
              </w:rPr>
              <w:t>Blocks</w:t>
            </w:r>
          </w:p>
        </w:tc>
        <w:tc>
          <w:tcPr>
            <w:tcW w:w="500" w:type="dxa"/>
            <w:tcBorders>
              <w:top w:val="single" w:sz="4" w:space="0" w:color="C9D6BC"/>
              <w:left w:val="single" w:sz="2" w:space="0" w:color="C9D6BC"/>
              <w:bottom w:val="single" w:sz="2" w:space="0" w:color="C9D6BC"/>
              <w:right w:val="single" w:sz="4" w:space="0" w:color="C9D6BC"/>
            </w:tcBorders>
            <w:shd w:val="clear" w:color="auto" w:fill="6F8E5A"/>
          </w:tcPr>
          <w:p w14:paraId="79E51746" w14:textId="77777777" w:rsidR="00570271" w:rsidRDefault="00C213F8">
            <w:pPr>
              <w:spacing w:after="40" w:line="250" w:lineRule="exact"/>
            </w:pPr>
            <w:r>
              <w:rPr>
                <w:b/>
                <w:bCs/>
                <w:color w:val="FFFFFF"/>
                <w:sz w:val="19"/>
                <w:szCs w:val="19"/>
              </w:rPr>
              <w:t>Pri</w:t>
            </w:r>
          </w:p>
        </w:tc>
      </w:tr>
      <w:tr w:rsidR="00570271" w14:paraId="79E5174D" w14:textId="77777777">
        <w:tc>
          <w:tcPr>
            <w:tcW w:w="2249" w:type="dxa"/>
            <w:tcBorders>
              <w:top w:val="single" w:sz="2" w:space="0" w:color="C9D6BC"/>
              <w:left w:val="single" w:sz="4" w:space="0" w:color="C9D6BC"/>
              <w:bottom w:val="single" w:sz="2" w:space="0" w:color="C9D6BC"/>
              <w:right w:val="single" w:sz="2" w:space="0" w:color="C9D6BC"/>
            </w:tcBorders>
          </w:tcPr>
          <w:p w14:paraId="79E51748" w14:textId="77777777" w:rsidR="00570271" w:rsidRDefault="00C213F8">
            <w:pPr>
              <w:spacing w:after="40" w:line="250" w:lineRule="exact"/>
            </w:pPr>
            <w:r>
              <w:rPr>
                <w:sz w:val="18"/>
                <w:szCs w:val="18"/>
              </w:rPr>
              <w:t>Canonical Scientific Library</w:t>
            </w:r>
          </w:p>
        </w:tc>
        <w:tc>
          <w:tcPr>
            <w:tcW w:w="1150" w:type="dxa"/>
            <w:tcBorders>
              <w:top w:val="single" w:sz="2" w:space="0" w:color="C9D6BC"/>
              <w:left w:val="single" w:sz="2" w:space="0" w:color="C9D6BC"/>
              <w:bottom w:val="single" w:sz="2" w:space="0" w:color="C9D6BC"/>
              <w:right w:val="single" w:sz="2" w:space="0" w:color="C9D6BC"/>
            </w:tcBorders>
          </w:tcPr>
          <w:p w14:paraId="79E51749" w14:textId="77777777" w:rsidR="00570271" w:rsidRDefault="00C213F8">
            <w:pPr>
              <w:spacing w:after="40" w:line="250" w:lineRule="exact"/>
            </w:pPr>
            <w:r>
              <w:rPr>
                <w:sz w:val="18"/>
                <w:szCs w:val="18"/>
              </w:rPr>
              <w:t>Spec + build</w:t>
            </w:r>
          </w:p>
        </w:tc>
        <w:tc>
          <w:tcPr>
            <w:tcW w:w="1401" w:type="dxa"/>
            <w:tcBorders>
              <w:top w:val="single" w:sz="2" w:space="0" w:color="C9D6BC"/>
              <w:left w:val="single" w:sz="2" w:space="0" w:color="C9D6BC"/>
              <w:bottom w:val="single" w:sz="2" w:space="0" w:color="C9D6BC"/>
              <w:right w:val="single" w:sz="2" w:space="0" w:color="C9D6BC"/>
            </w:tcBorders>
          </w:tcPr>
          <w:p w14:paraId="79E5174A" w14:textId="77777777" w:rsidR="00570271" w:rsidRDefault="00C213F8">
            <w:pPr>
              <w:spacing w:after="40" w:line="250" w:lineRule="exact"/>
            </w:pPr>
            <w:r>
              <w:rPr>
                <w:sz w:val="18"/>
                <w:szCs w:val="18"/>
              </w:rPr>
              <w:t>Clinical + Eng</w:t>
            </w:r>
          </w:p>
        </w:tc>
        <w:tc>
          <w:tcPr>
            <w:tcW w:w="3126" w:type="dxa"/>
            <w:tcBorders>
              <w:top w:val="single" w:sz="2" w:space="0" w:color="C9D6BC"/>
              <w:left w:val="single" w:sz="2" w:space="0" w:color="C9D6BC"/>
              <w:bottom w:val="single" w:sz="2" w:space="0" w:color="C9D6BC"/>
              <w:right w:val="single" w:sz="2" w:space="0" w:color="C9D6BC"/>
            </w:tcBorders>
          </w:tcPr>
          <w:p w14:paraId="79E5174B" w14:textId="77777777" w:rsidR="00570271" w:rsidRDefault="00C213F8">
            <w:pPr>
              <w:spacing w:after="40" w:line="250" w:lineRule="exact"/>
            </w:pPr>
            <w:r>
              <w:rPr>
                <w:sz w:val="18"/>
                <w:szCs w:val="18"/>
              </w:rPr>
              <w:t xml:space="preserve">All grounded output; the grounding rule is </w:t>
            </w:r>
            <w:proofErr w:type="spellStart"/>
            <w:r>
              <w:rPr>
                <w:sz w:val="18"/>
                <w:szCs w:val="18"/>
              </w:rPr>
              <w:t>vapour</w:t>
            </w:r>
            <w:proofErr w:type="spellEnd"/>
            <w:r>
              <w:rPr>
                <w:sz w:val="18"/>
                <w:szCs w:val="18"/>
              </w:rPr>
              <w:t xml:space="preserve"> without it</w:t>
            </w:r>
          </w:p>
        </w:tc>
        <w:tc>
          <w:tcPr>
            <w:tcW w:w="500" w:type="dxa"/>
            <w:tcBorders>
              <w:top w:val="single" w:sz="2" w:space="0" w:color="C9D6BC"/>
              <w:left w:val="single" w:sz="2" w:space="0" w:color="C9D6BC"/>
              <w:bottom w:val="single" w:sz="2" w:space="0" w:color="C9D6BC"/>
              <w:right w:val="single" w:sz="4" w:space="0" w:color="C9D6BC"/>
            </w:tcBorders>
          </w:tcPr>
          <w:p w14:paraId="79E5174C" w14:textId="77777777" w:rsidR="00570271" w:rsidRDefault="00C213F8">
            <w:pPr>
              <w:spacing w:after="40" w:line="250" w:lineRule="exact"/>
            </w:pPr>
            <w:r>
              <w:rPr>
                <w:sz w:val="18"/>
                <w:szCs w:val="18"/>
              </w:rPr>
              <w:t>P0</w:t>
            </w:r>
          </w:p>
        </w:tc>
      </w:tr>
      <w:tr w:rsidR="00570271" w14:paraId="79E51753"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4E" w14:textId="77777777" w:rsidR="00570271" w:rsidRDefault="00C213F8">
            <w:pPr>
              <w:spacing w:after="40" w:line="250" w:lineRule="exact"/>
            </w:pPr>
            <w:r>
              <w:rPr>
                <w:sz w:val="18"/>
                <w:szCs w:val="18"/>
              </w:rPr>
              <w:t>Erasure vs immutable DHM</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4F" w14:textId="77777777" w:rsidR="00570271" w:rsidRDefault="00C213F8">
            <w:pPr>
              <w:spacing w:after="40" w:line="250" w:lineRule="exact"/>
            </w:pPr>
            <w:r>
              <w:rPr>
                <w:sz w:val="18"/>
                <w:szCs w:val="18"/>
              </w:rPr>
              <w:t>Decision + spec</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50" w14:textId="77777777" w:rsidR="00570271" w:rsidRDefault="00C213F8">
            <w:pPr>
              <w:spacing w:after="40" w:line="250" w:lineRule="exact"/>
            </w:pPr>
            <w:r>
              <w:rPr>
                <w:sz w:val="18"/>
                <w:szCs w:val="18"/>
              </w:rPr>
              <w:t>Legal + Eng</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51" w14:textId="77777777" w:rsidR="00570271" w:rsidRDefault="00C213F8">
            <w:pPr>
              <w:spacing w:after="40" w:line="250" w:lineRule="exact"/>
            </w:pPr>
            <w:proofErr w:type="spellStart"/>
            <w:r>
              <w:rPr>
                <w:sz w:val="18"/>
                <w:szCs w:val="18"/>
              </w:rPr>
              <w:t>Finalising</w:t>
            </w:r>
            <w:proofErr w:type="spellEnd"/>
            <w:r>
              <w:rPr>
                <w:sz w:val="18"/>
                <w:szCs w:val="18"/>
              </w:rPr>
              <w:t xml:space="preserve"> the DHM store; very costly to retrofit</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52" w14:textId="77777777" w:rsidR="00570271" w:rsidRDefault="00C213F8">
            <w:pPr>
              <w:spacing w:after="40" w:line="250" w:lineRule="exact"/>
            </w:pPr>
            <w:r>
              <w:rPr>
                <w:sz w:val="18"/>
                <w:szCs w:val="18"/>
              </w:rPr>
              <w:t>P0</w:t>
            </w:r>
          </w:p>
        </w:tc>
      </w:tr>
      <w:tr w:rsidR="00570271" w14:paraId="79E51759" w14:textId="77777777">
        <w:tc>
          <w:tcPr>
            <w:tcW w:w="2249" w:type="dxa"/>
            <w:tcBorders>
              <w:top w:val="single" w:sz="2" w:space="0" w:color="C9D6BC"/>
              <w:left w:val="single" w:sz="4" w:space="0" w:color="C9D6BC"/>
              <w:bottom w:val="single" w:sz="2" w:space="0" w:color="C9D6BC"/>
              <w:right w:val="single" w:sz="2" w:space="0" w:color="C9D6BC"/>
            </w:tcBorders>
          </w:tcPr>
          <w:p w14:paraId="79E51754" w14:textId="77777777" w:rsidR="00570271" w:rsidRDefault="00C213F8">
            <w:pPr>
              <w:spacing w:after="40" w:line="250" w:lineRule="exact"/>
            </w:pPr>
            <w:r>
              <w:rPr>
                <w:sz w:val="18"/>
                <w:szCs w:val="18"/>
              </w:rPr>
              <w:t>Canonical ingestion schema (FHIR/LOINC)</w:t>
            </w:r>
          </w:p>
        </w:tc>
        <w:tc>
          <w:tcPr>
            <w:tcW w:w="1150" w:type="dxa"/>
            <w:tcBorders>
              <w:top w:val="single" w:sz="2" w:space="0" w:color="C9D6BC"/>
              <w:left w:val="single" w:sz="2" w:space="0" w:color="C9D6BC"/>
              <w:bottom w:val="single" w:sz="2" w:space="0" w:color="C9D6BC"/>
              <w:right w:val="single" w:sz="2" w:space="0" w:color="C9D6BC"/>
            </w:tcBorders>
          </w:tcPr>
          <w:p w14:paraId="79E51755" w14:textId="77777777" w:rsidR="00570271" w:rsidRDefault="00C213F8">
            <w:pPr>
              <w:spacing w:after="40" w:line="250" w:lineRule="exact"/>
            </w:pPr>
            <w:r>
              <w:rPr>
                <w:sz w:val="18"/>
                <w:szCs w:val="18"/>
              </w:rPr>
              <w:t>Decision + spec</w:t>
            </w:r>
          </w:p>
        </w:tc>
        <w:tc>
          <w:tcPr>
            <w:tcW w:w="1401" w:type="dxa"/>
            <w:tcBorders>
              <w:top w:val="single" w:sz="2" w:space="0" w:color="C9D6BC"/>
              <w:left w:val="single" w:sz="2" w:space="0" w:color="C9D6BC"/>
              <w:bottom w:val="single" w:sz="2" w:space="0" w:color="C9D6BC"/>
              <w:right w:val="single" w:sz="2" w:space="0" w:color="C9D6BC"/>
            </w:tcBorders>
          </w:tcPr>
          <w:p w14:paraId="79E51756" w14:textId="77777777" w:rsidR="00570271" w:rsidRDefault="00C213F8">
            <w:pPr>
              <w:spacing w:after="40" w:line="250" w:lineRule="exact"/>
            </w:pPr>
            <w:r>
              <w:rPr>
                <w:sz w:val="18"/>
                <w:szCs w:val="18"/>
              </w:rPr>
              <w:t>Eng + Clinical</w:t>
            </w:r>
          </w:p>
        </w:tc>
        <w:tc>
          <w:tcPr>
            <w:tcW w:w="3126" w:type="dxa"/>
            <w:tcBorders>
              <w:top w:val="single" w:sz="2" w:space="0" w:color="C9D6BC"/>
              <w:left w:val="single" w:sz="2" w:space="0" w:color="C9D6BC"/>
              <w:bottom w:val="single" w:sz="2" w:space="0" w:color="C9D6BC"/>
              <w:right w:val="single" w:sz="2" w:space="0" w:color="C9D6BC"/>
            </w:tcBorders>
          </w:tcPr>
          <w:p w14:paraId="79E51757" w14:textId="77777777" w:rsidR="00570271" w:rsidRDefault="00C213F8">
            <w:pPr>
              <w:spacing w:after="40" w:line="250" w:lineRule="exact"/>
            </w:pPr>
            <w:r>
              <w:rPr>
                <w:sz w:val="18"/>
                <w:szCs w:val="18"/>
              </w:rPr>
              <w:t>S1 ingestion; clinical interoperability</w:t>
            </w:r>
          </w:p>
        </w:tc>
        <w:tc>
          <w:tcPr>
            <w:tcW w:w="500" w:type="dxa"/>
            <w:tcBorders>
              <w:top w:val="single" w:sz="2" w:space="0" w:color="C9D6BC"/>
              <w:left w:val="single" w:sz="2" w:space="0" w:color="C9D6BC"/>
              <w:bottom w:val="single" w:sz="2" w:space="0" w:color="C9D6BC"/>
              <w:right w:val="single" w:sz="4" w:space="0" w:color="C9D6BC"/>
            </w:tcBorders>
          </w:tcPr>
          <w:p w14:paraId="79E51758" w14:textId="77777777" w:rsidR="00570271" w:rsidRDefault="00C213F8">
            <w:pPr>
              <w:spacing w:after="40" w:line="250" w:lineRule="exact"/>
            </w:pPr>
            <w:r>
              <w:rPr>
                <w:sz w:val="18"/>
                <w:szCs w:val="18"/>
              </w:rPr>
              <w:t>P0</w:t>
            </w:r>
          </w:p>
        </w:tc>
      </w:tr>
      <w:tr w:rsidR="00570271" w14:paraId="79E5175F"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5A" w14:textId="77777777" w:rsidR="00570271" w:rsidRDefault="00C213F8">
            <w:pPr>
              <w:spacing w:after="40" w:line="250" w:lineRule="exact"/>
            </w:pPr>
            <w:r>
              <w:rPr>
                <w:sz w:val="18"/>
                <w:szCs w:val="18"/>
              </w:rPr>
              <w:t>Regulatory classification</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5B" w14:textId="77777777" w:rsidR="00570271" w:rsidRDefault="00C213F8">
            <w:pPr>
              <w:spacing w:after="40" w:line="250" w:lineRule="exact"/>
            </w:pPr>
            <w:r>
              <w:rPr>
                <w:sz w:val="18"/>
                <w:szCs w:val="18"/>
              </w:rPr>
              <w:t>Decision</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5C" w14:textId="77777777" w:rsidR="00570271" w:rsidRDefault="00C213F8">
            <w:pPr>
              <w:spacing w:after="40" w:line="250" w:lineRule="exact"/>
            </w:pPr>
            <w:r>
              <w:rPr>
                <w:sz w:val="18"/>
                <w:szCs w:val="18"/>
              </w:rPr>
              <w:t>Regulatory counsel</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5D" w14:textId="77777777" w:rsidR="00570271" w:rsidRDefault="00C213F8">
            <w:pPr>
              <w:spacing w:after="40" w:line="250" w:lineRule="exact"/>
            </w:pPr>
            <w:r>
              <w:rPr>
                <w:sz w:val="18"/>
                <w:szCs w:val="18"/>
              </w:rPr>
              <w:t>Launch scope; safety-engine language; disclaimers</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5E" w14:textId="77777777" w:rsidR="00570271" w:rsidRDefault="00C213F8">
            <w:pPr>
              <w:spacing w:after="40" w:line="250" w:lineRule="exact"/>
            </w:pPr>
            <w:r>
              <w:rPr>
                <w:sz w:val="18"/>
                <w:szCs w:val="18"/>
              </w:rPr>
              <w:t>P1</w:t>
            </w:r>
          </w:p>
        </w:tc>
      </w:tr>
      <w:tr w:rsidR="00570271" w14:paraId="79E51765" w14:textId="77777777">
        <w:tc>
          <w:tcPr>
            <w:tcW w:w="2249" w:type="dxa"/>
            <w:tcBorders>
              <w:top w:val="single" w:sz="2" w:space="0" w:color="C9D6BC"/>
              <w:left w:val="single" w:sz="4" w:space="0" w:color="C9D6BC"/>
              <w:bottom w:val="single" w:sz="2" w:space="0" w:color="C9D6BC"/>
              <w:right w:val="single" w:sz="2" w:space="0" w:color="C9D6BC"/>
            </w:tcBorders>
          </w:tcPr>
          <w:p w14:paraId="79E51760" w14:textId="77777777" w:rsidR="00570271" w:rsidRDefault="00C213F8">
            <w:pPr>
              <w:spacing w:after="40" w:line="250" w:lineRule="exact"/>
            </w:pPr>
            <w:r>
              <w:rPr>
                <w:sz w:val="18"/>
                <w:szCs w:val="18"/>
              </w:rPr>
              <w:t>Clinical governance &amp; adverse events</w:t>
            </w:r>
          </w:p>
        </w:tc>
        <w:tc>
          <w:tcPr>
            <w:tcW w:w="1150" w:type="dxa"/>
            <w:tcBorders>
              <w:top w:val="single" w:sz="2" w:space="0" w:color="C9D6BC"/>
              <w:left w:val="single" w:sz="2" w:space="0" w:color="C9D6BC"/>
              <w:bottom w:val="single" w:sz="2" w:space="0" w:color="C9D6BC"/>
              <w:right w:val="single" w:sz="2" w:space="0" w:color="C9D6BC"/>
            </w:tcBorders>
          </w:tcPr>
          <w:p w14:paraId="79E51761" w14:textId="77777777" w:rsidR="00570271" w:rsidRDefault="00C213F8">
            <w:pPr>
              <w:spacing w:after="40" w:line="250" w:lineRule="exact"/>
            </w:pPr>
            <w:r>
              <w:rPr>
                <w:sz w:val="18"/>
                <w:szCs w:val="18"/>
              </w:rPr>
              <w:t>Spec + org</w:t>
            </w:r>
          </w:p>
        </w:tc>
        <w:tc>
          <w:tcPr>
            <w:tcW w:w="1401" w:type="dxa"/>
            <w:tcBorders>
              <w:top w:val="single" w:sz="2" w:space="0" w:color="C9D6BC"/>
              <w:left w:val="single" w:sz="2" w:space="0" w:color="C9D6BC"/>
              <w:bottom w:val="single" w:sz="2" w:space="0" w:color="C9D6BC"/>
              <w:right w:val="single" w:sz="2" w:space="0" w:color="C9D6BC"/>
            </w:tcBorders>
          </w:tcPr>
          <w:p w14:paraId="79E51762" w14:textId="77777777" w:rsidR="00570271" w:rsidRDefault="00C213F8">
            <w:pPr>
              <w:spacing w:after="40" w:line="250" w:lineRule="exact"/>
            </w:pPr>
            <w:r>
              <w:rPr>
                <w:sz w:val="18"/>
                <w:szCs w:val="18"/>
              </w:rPr>
              <w:t>Clinical</w:t>
            </w:r>
          </w:p>
        </w:tc>
        <w:tc>
          <w:tcPr>
            <w:tcW w:w="3126" w:type="dxa"/>
            <w:tcBorders>
              <w:top w:val="single" w:sz="2" w:space="0" w:color="C9D6BC"/>
              <w:left w:val="single" w:sz="2" w:space="0" w:color="C9D6BC"/>
              <w:bottom w:val="single" w:sz="2" w:space="0" w:color="C9D6BC"/>
              <w:right w:val="single" w:sz="2" w:space="0" w:color="C9D6BC"/>
            </w:tcBorders>
          </w:tcPr>
          <w:p w14:paraId="79E51763" w14:textId="77777777" w:rsidR="00570271" w:rsidRDefault="00C213F8">
            <w:pPr>
              <w:spacing w:after="40" w:line="250" w:lineRule="exact"/>
            </w:pPr>
            <w:r>
              <w:rPr>
                <w:sz w:val="18"/>
                <w:szCs w:val="18"/>
              </w:rPr>
              <w:t>Authoring safety rules &amp; Library sign-off</w:t>
            </w:r>
          </w:p>
        </w:tc>
        <w:tc>
          <w:tcPr>
            <w:tcW w:w="500" w:type="dxa"/>
            <w:tcBorders>
              <w:top w:val="single" w:sz="2" w:space="0" w:color="C9D6BC"/>
              <w:left w:val="single" w:sz="2" w:space="0" w:color="C9D6BC"/>
              <w:bottom w:val="single" w:sz="2" w:space="0" w:color="C9D6BC"/>
              <w:right w:val="single" w:sz="4" w:space="0" w:color="C9D6BC"/>
            </w:tcBorders>
          </w:tcPr>
          <w:p w14:paraId="79E51764" w14:textId="77777777" w:rsidR="00570271" w:rsidRDefault="00C213F8">
            <w:pPr>
              <w:spacing w:after="40" w:line="250" w:lineRule="exact"/>
            </w:pPr>
            <w:r>
              <w:rPr>
                <w:sz w:val="18"/>
                <w:szCs w:val="18"/>
              </w:rPr>
              <w:t>P1</w:t>
            </w:r>
          </w:p>
        </w:tc>
      </w:tr>
      <w:tr w:rsidR="00570271" w14:paraId="79E5176B"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66" w14:textId="77777777" w:rsidR="00570271" w:rsidRDefault="00C213F8">
            <w:pPr>
              <w:spacing w:after="40" w:line="250" w:lineRule="exact"/>
            </w:pPr>
            <w:r>
              <w:rPr>
                <w:sz w:val="18"/>
                <w:szCs w:val="18"/>
              </w:rPr>
              <w:t>Model lifecycle governance</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67" w14:textId="77777777" w:rsidR="00570271" w:rsidRDefault="00C213F8">
            <w:pPr>
              <w:spacing w:after="40" w:line="250" w:lineRule="exact"/>
            </w:pPr>
            <w:r>
              <w:rPr>
                <w:sz w:val="18"/>
                <w:szCs w:val="18"/>
              </w:rPr>
              <w:t>Spec</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68" w14:textId="77777777" w:rsidR="00570271" w:rsidRDefault="00C213F8">
            <w:pPr>
              <w:spacing w:after="40" w:line="250" w:lineRule="exact"/>
            </w:pPr>
            <w:r>
              <w:rPr>
                <w:sz w:val="18"/>
                <w:szCs w:val="18"/>
              </w:rPr>
              <w:t>Eng + Clinical</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69" w14:textId="77777777" w:rsidR="00570271" w:rsidRDefault="00C213F8">
            <w:pPr>
              <w:spacing w:after="40" w:line="250" w:lineRule="exact"/>
            </w:pPr>
            <w:r>
              <w:rPr>
                <w:sz w:val="18"/>
                <w:szCs w:val="18"/>
              </w:rPr>
              <w:t>Any model change reaching users safely</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6A" w14:textId="77777777" w:rsidR="00570271" w:rsidRDefault="00C213F8">
            <w:pPr>
              <w:spacing w:after="40" w:line="250" w:lineRule="exact"/>
            </w:pPr>
            <w:r>
              <w:rPr>
                <w:sz w:val="18"/>
                <w:szCs w:val="18"/>
              </w:rPr>
              <w:t>P1</w:t>
            </w:r>
          </w:p>
        </w:tc>
      </w:tr>
      <w:tr w:rsidR="00570271" w14:paraId="79E51771" w14:textId="77777777">
        <w:tc>
          <w:tcPr>
            <w:tcW w:w="2249" w:type="dxa"/>
            <w:tcBorders>
              <w:top w:val="single" w:sz="2" w:space="0" w:color="C9D6BC"/>
              <w:left w:val="single" w:sz="4" w:space="0" w:color="C9D6BC"/>
              <w:bottom w:val="single" w:sz="2" w:space="0" w:color="C9D6BC"/>
              <w:right w:val="single" w:sz="2" w:space="0" w:color="C9D6BC"/>
            </w:tcBorders>
          </w:tcPr>
          <w:p w14:paraId="79E5176C" w14:textId="77777777" w:rsidR="00570271" w:rsidRDefault="00C213F8">
            <w:pPr>
              <w:spacing w:after="40" w:line="250" w:lineRule="exact"/>
            </w:pPr>
            <w:r>
              <w:rPr>
                <w:sz w:val="18"/>
                <w:szCs w:val="18"/>
              </w:rPr>
              <w:t>Learning governance</w:t>
            </w:r>
          </w:p>
        </w:tc>
        <w:tc>
          <w:tcPr>
            <w:tcW w:w="1150" w:type="dxa"/>
            <w:tcBorders>
              <w:top w:val="single" w:sz="2" w:space="0" w:color="C9D6BC"/>
              <w:left w:val="single" w:sz="2" w:space="0" w:color="C9D6BC"/>
              <w:bottom w:val="single" w:sz="2" w:space="0" w:color="C9D6BC"/>
              <w:right w:val="single" w:sz="2" w:space="0" w:color="C9D6BC"/>
            </w:tcBorders>
          </w:tcPr>
          <w:p w14:paraId="79E5176D" w14:textId="77777777" w:rsidR="00570271" w:rsidRDefault="00C213F8">
            <w:pPr>
              <w:spacing w:after="40" w:line="250" w:lineRule="exact"/>
            </w:pPr>
            <w:r>
              <w:rPr>
                <w:sz w:val="18"/>
                <w:szCs w:val="18"/>
              </w:rPr>
              <w:t>Spec</w:t>
            </w:r>
          </w:p>
        </w:tc>
        <w:tc>
          <w:tcPr>
            <w:tcW w:w="1401" w:type="dxa"/>
            <w:tcBorders>
              <w:top w:val="single" w:sz="2" w:space="0" w:color="C9D6BC"/>
              <w:left w:val="single" w:sz="2" w:space="0" w:color="C9D6BC"/>
              <w:bottom w:val="single" w:sz="2" w:space="0" w:color="C9D6BC"/>
              <w:right w:val="single" w:sz="2" w:space="0" w:color="C9D6BC"/>
            </w:tcBorders>
          </w:tcPr>
          <w:p w14:paraId="79E5176E" w14:textId="77777777" w:rsidR="00570271" w:rsidRDefault="00C213F8">
            <w:pPr>
              <w:spacing w:after="40" w:line="250" w:lineRule="exact"/>
            </w:pPr>
            <w:r>
              <w:rPr>
                <w:sz w:val="18"/>
                <w:szCs w:val="18"/>
              </w:rPr>
              <w:t>Eng + Clinical</w:t>
            </w:r>
          </w:p>
        </w:tc>
        <w:tc>
          <w:tcPr>
            <w:tcW w:w="3126" w:type="dxa"/>
            <w:tcBorders>
              <w:top w:val="single" w:sz="2" w:space="0" w:color="C9D6BC"/>
              <w:left w:val="single" w:sz="2" w:space="0" w:color="C9D6BC"/>
              <w:bottom w:val="single" w:sz="2" w:space="0" w:color="C9D6BC"/>
              <w:right w:val="single" w:sz="2" w:space="0" w:color="C9D6BC"/>
            </w:tcBorders>
          </w:tcPr>
          <w:p w14:paraId="79E5176F" w14:textId="77777777" w:rsidR="00570271" w:rsidRDefault="00C213F8">
            <w:pPr>
              <w:spacing w:after="40" w:line="250" w:lineRule="exact"/>
            </w:pPr>
            <w:r>
              <w:rPr>
                <w:sz w:val="18"/>
                <w:szCs w:val="18"/>
              </w:rPr>
              <w:t>Unsupervised drift of the system</w:t>
            </w:r>
          </w:p>
        </w:tc>
        <w:tc>
          <w:tcPr>
            <w:tcW w:w="500" w:type="dxa"/>
            <w:tcBorders>
              <w:top w:val="single" w:sz="2" w:space="0" w:color="C9D6BC"/>
              <w:left w:val="single" w:sz="2" w:space="0" w:color="C9D6BC"/>
              <w:bottom w:val="single" w:sz="2" w:space="0" w:color="C9D6BC"/>
              <w:right w:val="single" w:sz="4" w:space="0" w:color="C9D6BC"/>
            </w:tcBorders>
          </w:tcPr>
          <w:p w14:paraId="79E51770" w14:textId="77777777" w:rsidR="00570271" w:rsidRDefault="00C213F8">
            <w:pPr>
              <w:spacing w:after="40" w:line="250" w:lineRule="exact"/>
            </w:pPr>
            <w:r>
              <w:rPr>
                <w:sz w:val="18"/>
                <w:szCs w:val="18"/>
              </w:rPr>
              <w:t>P1</w:t>
            </w:r>
          </w:p>
        </w:tc>
      </w:tr>
      <w:tr w:rsidR="00570271" w14:paraId="79E51777"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72" w14:textId="77777777" w:rsidR="00570271" w:rsidRDefault="00C213F8">
            <w:pPr>
              <w:spacing w:after="40" w:line="250" w:lineRule="exact"/>
            </w:pPr>
            <w:r>
              <w:rPr>
                <w:sz w:val="18"/>
                <w:szCs w:val="18"/>
              </w:rPr>
              <w:lastRenderedPageBreak/>
              <w:t>Validation &amp; safety-assurance harness</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73" w14:textId="77777777" w:rsidR="00570271" w:rsidRDefault="00C213F8">
            <w:pPr>
              <w:spacing w:after="40" w:line="250" w:lineRule="exact"/>
            </w:pPr>
            <w:r>
              <w:rPr>
                <w:sz w:val="18"/>
                <w:szCs w:val="18"/>
              </w:rPr>
              <w:t>Spec + build</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74" w14:textId="77777777" w:rsidR="00570271" w:rsidRDefault="00C213F8">
            <w:pPr>
              <w:spacing w:after="40" w:line="250" w:lineRule="exact"/>
            </w:pPr>
            <w:r>
              <w:rPr>
                <w:sz w:val="18"/>
                <w:szCs w:val="18"/>
              </w:rPr>
              <w:t>Eng + Clinical</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75" w14:textId="77777777" w:rsidR="00570271" w:rsidRDefault="00C213F8">
            <w:pPr>
              <w:spacing w:after="40" w:line="250" w:lineRule="exact"/>
            </w:pPr>
            <w:r>
              <w:rPr>
                <w:sz w:val="18"/>
                <w:szCs w:val="18"/>
              </w:rPr>
              <w:t>Trusting it works; the evidence regulators demand</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76" w14:textId="77777777" w:rsidR="00570271" w:rsidRDefault="00C213F8">
            <w:pPr>
              <w:spacing w:after="40" w:line="250" w:lineRule="exact"/>
            </w:pPr>
            <w:r>
              <w:rPr>
                <w:sz w:val="18"/>
                <w:szCs w:val="18"/>
              </w:rPr>
              <w:t>P1</w:t>
            </w:r>
          </w:p>
        </w:tc>
      </w:tr>
      <w:tr w:rsidR="00570271" w14:paraId="79E5177D" w14:textId="77777777">
        <w:tc>
          <w:tcPr>
            <w:tcW w:w="2249" w:type="dxa"/>
            <w:tcBorders>
              <w:top w:val="single" w:sz="2" w:space="0" w:color="C9D6BC"/>
              <w:left w:val="single" w:sz="4" w:space="0" w:color="C9D6BC"/>
              <w:bottom w:val="single" w:sz="2" w:space="0" w:color="C9D6BC"/>
              <w:right w:val="single" w:sz="2" w:space="0" w:color="C9D6BC"/>
            </w:tcBorders>
          </w:tcPr>
          <w:p w14:paraId="79E51778" w14:textId="77777777" w:rsidR="00570271" w:rsidRDefault="00C213F8">
            <w:pPr>
              <w:spacing w:after="40" w:line="250" w:lineRule="exact"/>
            </w:pPr>
            <w:r>
              <w:rPr>
                <w:sz w:val="18"/>
                <w:szCs w:val="18"/>
              </w:rPr>
              <w:t>Security architecture (</w:t>
            </w:r>
            <w:proofErr w:type="gramStart"/>
            <w:r>
              <w:rPr>
                <w:sz w:val="18"/>
                <w:szCs w:val="18"/>
              </w:rPr>
              <w:t>special-category</w:t>
            </w:r>
            <w:proofErr w:type="gramEnd"/>
            <w:r>
              <w:rPr>
                <w:sz w:val="18"/>
                <w:szCs w:val="18"/>
              </w:rPr>
              <w:t>)</w:t>
            </w:r>
          </w:p>
        </w:tc>
        <w:tc>
          <w:tcPr>
            <w:tcW w:w="1150" w:type="dxa"/>
            <w:tcBorders>
              <w:top w:val="single" w:sz="2" w:space="0" w:color="C9D6BC"/>
              <w:left w:val="single" w:sz="2" w:space="0" w:color="C9D6BC"/>
              <w:bottom w:val="single" w:sz="2" w:space="0" w:color="C9D6BC"/>
              <w:right w:val="single" w:sz="2" w:space="0" w:color="C9D6BC"/>
            </w:tcBorders>
          </w:tcPr>
          <w:p w14:paraId="79E51779" w14:textId="77777777" w:rsidR="00570271" w:rsidRDefault="00C213F8">
            <w:pPr>
              <w:spacing w:after="40" w:line="250" w:lineRule="exact"/>
            </w:pPr>
            <w:r>
              <w:rPr>
                <w:sz w:val="18"/>
                <w:szCs w:val="18"/>
              </w:rPr>
              <w:t>Spec + build</w:t>
            </w:r>
          </w:p>
        </w:tc>
        <w:tc>
          <w:tcPr>
            <w:tcW w:w="1401" w:type="dxa"/>
            <w:tcBorders>
              <w:top w:val="single" w:sz="2" w:space="0" w:color="C9D6BC"/>
              <w:left w:val="single" w:sz="2" w:space="0" w:color="C9D6BC"/>
              <w:bottom w:val="single" w:sz="2" w:space="0" w:color="C9D6BC"/>
              <w:right w:val="single" w:sz="2" w:space="0" w:color="C9D6BC"/>
            </w:tcBorders>
          </w:tcPr>
          <w:p w14:paraId="79E5177A" w14:textId="77777777" w:rsidR="00570271" w:rsidRDefault="00C213F8">
            <w:pPr>
              <w:spacing w:after="40" w:line="250" w:lineRule="exact"/>
            </w:pPr>
            <w:r>
              <w:rPr>
                <w:sz w:val="18"/>
                <w:szCs w:val="18"/>
              </w:rPr>
              <w:t>Security</w:t>
            </w:r>
          </w:p>
        </w:tc>
        <w:tc>
          <w:tcPr>
            <w:tcW w:w="3126" w:type="dxa"/>
            <w:tcBorders>
              <w:top w:val="single" w:sz="2" w:space="0" w:color="C9D6BC"/>
              <w:left w:val="single" w:sz="2" w:space="0" w:color="C9D6BC"/>
              <w:bottom w:val="single" w:sz="2" w:space="0" w:color="C9D6BC"/>
              <w:right w:val="single" w:sz="2" w:space="0" w:color="C9D6BC"/>
            </w:tcBorders>
          </w:tcPr>
          <w:p w14:paraId="79E5177B" w14:textId="77777777" w:rsidR="00570271" w:rsidRDefault="00C213F8">
            <w:pPr>
              <w:spacing w:after="40" w:line="250" w:lineRule="exact"/>
            </w:pPr>
            <w:r>
              <w:rPr>
                <w:sz w:val="18"/>
                <w:szCs w:val="18"/>
              </w:rPr>
              <w:t>Handling health data lawfully and safely</w:t>
            </w:r>
          </w:p>
        </w:tc>
        <w:tc>
          <w:tcPr>
            <w:tcW w:w="500" w:type="dxa"/>
            <w:tcBorders>
              <w:top w:val="single" w:sz="2" w:space="0" w:color="C9D6BC"/>
              <w:left w:val="single" w:sz="2" w:space="0" w:color="C9D6BC"/>
              <w:bottom w:val="single" w:sz="2" w:space="0" w:color="C9D6BC"/>
              <w:right w:val="single" w:sz="4" w:space="0" w:color="C9D6BC"/>
            </w:tcBorders>
          </w:tcPr>
          <w:p w14:paraId="79E5177C" w14:textId="77777777" w:rsidR="00570271" w:rsidRDefault="00C213F8">
            <w:pPr>
              <w:spacing w:after="40" w:line="250" w:lineRule="exact"/>
            </w:pPr>
            <w:r>
              <w:rPr>
                <w:sz w:val="18"/>
                <w:szCs w:val="18"/>
              </w:rPr>
              <w:t>P1</w:t>
            </w:r>
          </w:p>
        </w:tc>
      </w:tr>
      <w:tr w:rsidR="00570271" w14:paraId="79E51783"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7E" w14:textId="77777777" w:rsidR="00570271" w:rsidRDefault="00C213F8">
            <w:pPr>
              <w:spacing w:after="40" w:line="250" w:lineRule="exact"/>
            </w:pPr>
            <w:r>
              <w:rPr>
                <w:sz w:val="18"/>
                <w:szCs w:val="18"/>
              </w:rPr>
              <w:t>Observability</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7F" w14:textId="77777777" w:rsidR="00570271" w:rsidRDefault="00C213F8">
            <w:pPr>
              <w:spacing w:after="40" w:line="250" w:lineRule="exact"/>
            </w:pPr>
            <w:r>
              <w:rPr>
                <w:sz w:val="18"/>
                <w:szCs w:val="18"/>
              </w:rPr>
              <w:t>Spec + build</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80" w14:textId="77777777" w:rsidR="00570271" w:rsidRDefault="00C213F8">
            <w:pPr>
              <w:spacing w:after="40" w:line="250" w:lineRule="exact"/>
            </w:pPr>
            <w:r>
              <w:rPr>
                <w:sz w:val="18"/>
                <w:szCs w:val="18"/>
              </w:rPr>
              <w:t>Eng</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81" w14:textId="77777777" w:rsidR="00570271" w:rsidRDefault="00C213F8">
            <w:pPr>
              <w:spacing w:after="40" w:line="250" w:lineRule="exact"/>
            </w:pPr>
            <w:r>
              <w:rPr>
                <w:sz w:val="18"/>
                <w:szCs w:val="18"/>
              </w:rPr>
              <w:t>Knowing the live system is behaving</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82" w14:textId="77777777" w:rsidR="00570271" w:rsidRDefault="00C213F8">
            <w:pPr>
              <w:spacing w:after="40" w:line="250" w:lineRule="exact"/>
            </w:pPr>
            <w:r>
              <w:rPr>
                <w:sz w:val="18"/>
                <w:szCs w:val="18"/>
              </w:rPr>
              <w:t>P2</w:t>
            </w:r>
          </w:p>
        </w:tc>
      </w:tr>
      <w:tr w:rsidR="00570271" w14:paraId="79E51789" w14:textId="77777777">
        <w:tc>
          <w:tcPr>
            <w:tcW w:w="2249" w:type="dxa"/>
            <w:tcBorders>
              <w:top w:val="single" w:sz="2" w:space="0" w:color="C9D6BC"/>
              <w:left w:val="single" w:sz="4" w:space="0" w:color="C9D6BC"/>
              <w:bottom w:val="single" w:sz="2" w:space="0" w:color="C9D6BC"/>
              <w:right w:val="single" w:sz="2" w:space="0" w:color="C9D6BC"/>
            </w:tcBorders>
          </w:tcPr>
          <w:p w14:paraId="79E51784" w14:textId="77777777" w:rsidR="00570271" w:rsidRDefault="00C213F8">
            <w:pPr>
              <w:spacing w:after="40" w:line="250" w:lineRule="exact"/>
            </w:pPr>
            <w:r>
              <w:rPr>
                <w:sz w:val="18"/>
                <w:szCs w:val="18"/>
              </w:rPr>
              <w:t xml:space="preserve">Degraded-mode </w:t>
            </w:r>
            <w:proofErr w:type="spellStart"/>
            <w:r>
              <w:rPr>
                <w:sz w:val="18"/>
                <w:szCs w:val="18"/>
              </w:rPr>
              <w:t>behaviour</w:t>
            </w:r>
            <w:proofErr w:type="spellEnd"/>
          </w:p>
        </w:tc>
        <w:tc>
          <w:tcPr>
            <w:tcW w:w="1150" w:type="dxa"/>
            <w:tcBorders>
              <w:top w:val="single" w:sz="2" w:space="0" w:color="C9D6BC"/>
              <w:left w:val="single" w:sz="2" w:space="0" w:color="C9D6BC"/>
              <w:bottom w:val="single" w:sz="2" w:space="0" w:color="C9D6BC"/>
              <w:right w:val="single" w:sz="2" w:space="0" w:color="C9D6BC"/>
            </w:tcBorders>
          </w:tcPr>
          <w:p w14:paraId="79E51785" w14:textId="77777777" w:rsidR="00570271" w:rsidRDefault="00C213F8">
            <w:pPr>
              <w:spacing w:after="40" w:line="250" w:lineRule="exact"/>
            </w:pPr>
            <w:r>
              <w:rPr>
                <w:sz w:val="18"/>
                <w:szCs w:val="18"/>
              </w:rPr>
              <w:t>Spec</w:t>
            </w:r>
          </w:p>
        </w:tc>
        <w:tc>
          <w:tcPr>
            <w:tcW w:w="1401" w:type="dxa"/>
            <w:tcBorders>
              <w:top w:val="single" w:sz="2" w:space="0" w:color="C9D6BC"/>
              <w:left w:val="single" w:sz="2" w:space="0" w:color="C9D6BC"/>
              <w:bottom w:val="single" w:sz="2" w:space="0" w:color="C9D6BC"/>
              <w:right w:val="single" w:sz="2" w:space="0" w:color="C9D6BC"/>
            </w:tcBorders>
          </w:tcPr>
          <w:p w14:paraId="79E51786" w14:textId="77777777" w:rsidR="00570271" w:rsidRDefault="00C213F8">
            <w:pPr>
              <w:spacing w:after="40" w:line="250" w:lineRule="exact"/>
            </w:pPr>
            <w:r>
              <w:rPr>
                <w:sz w:val="18"/>
                <w:szCs w:val="18"/>
              </w:rPr>
              <w:t>Eng</w:t>
            </w:r>
          </w:p>
        </w:tc>
        <w:tc>
          <w:tcPr>
            <w:tcW w:w="3126" w:type="dxa"/>
            <w:tcBorders>
              <w:top w:val="single" w:sz="2" w:space="0" w:color="C9D6BC"/>
              <w:left w:val="single" w:sz="2" w:space="0" w:color="C9D6BC"/>
              <w:bottom w:val="single" w:sz="2" w:space="0" w:color="C9D6BC"/>
              <w:right w:val="single" w:sz="2" w:space="0" w:color="C9D6BC"/>
            </w:tcBorders>
          </w:tcPr>
          <w:p w14:paraId="79E51787" w14:textId="77777777" w:rsidR="00570271" w:rsidRDefault="00C213F8">
            <w:pPr>
              <w:spacing w:after="40" w:line="250" w:lineRule="exact"/>
            </w:pPr>
            <w:r>
              <w:rPr>
                <w:sz w:val="18"/>
                <w:szCs w:val="18"/>
              </w:rPr>
              <w:t>Safety when the model or Library is unavailable</w:t>
            </w:r>
          </w:p>
        </w:tc>
        <w:tc>
          <w:tcPr>
            <w:tcW w:w="500" w:type="dxa"/>
            <w:tcBorders>
              <w:top w:val="single" w:sz="2" w:space="0" w:color="C9D6BC"/>
              <w:left w:val="single" w:sz="2" w:space="0" w:color="C9D6BC"/>
              <w:bottom w:val="single" w:sz="2" w:space="0" w:color="C9D6BC"/>
              <w:right w:val="single" w:sz="4" w:space="0" w:color="C9D6BC"/>
            </w:tcBorders>
          </w:tcPr>
          <w:p w14:paraId="79E51788" w14:textId="77777777" w:rsidR="00570271" w:rsidRDefault="00C213F8">
            <w:pPr>
              <w:spacing w:after="40" w:line="250" w:lineRule="exact"/>
            </w:pPr>
            <w:r>
              <w:rPr>
                <w:sz w:val="18"/>
                <w:szCs w:val="18"/>
              </w:rPr>
              <w:t>P1</w:t>
            </w:r>
          </w:p>
        </w:tc>
      </w:tr>
      <w:tr w:rsidR="00570271" w14:paraId="79E5178F" w14:textId="77777777">
        <w:tc>
          <w:tcPr>
            <w:tcW w:w="2249" w:type="dxa"/>
            <w:tcBorders>
              <w:top w:val="single" w:sz="2" w:space="0" w:color="C9D6BC"/>
              <w:left w:val="single" w:sz="4" w:space="0" w:color="C9D6BC"/>
              <w:bottom w:val="single" w:sz="2" w:space="0" w:color="C9D6BC"/>
              <w:right w:val="single" w:sz="2" w:space="0" w:color="C9D6BC"/>
            </w:tcBorders>
            <w:shd w:val="clear" w:color="auto" w:fill="EEF2E9"/>
          </w:tcPr>
          <w:p w14:paraId="79E5178A" w14:textId="77777777" w:rsidR="00570271" w:rsidRDefault="00C213F8">
            <w:pPr>
              <w:spacing w:after="40" w:line="250" w:lineRule="exact"/>
            </w:pPr>
            <w:r>
              <w:rPr>
                <w:sz w:val="18"/>
                <w:szCs w:val="18"/>
              </w:rPr>
              <w:t>User agency (corrections, contest, constrain)</w:t>
            </w:r>
          </w:p>
        </w:tc>
        <w:tc>
          <w:tcPr>
            <w:tcW w:w="1150" w:type="dxa"/>
            <w:tcBorders>
              <w:top w:val="single" w:sz="2" w:space="0" w:color="C9D6BC"/>
              <w:left w:val="single" w:sz="2" w:space="0" w:color="C9D6BC"/>
              <w:bottom w:val="single" w:sz="2" w:space="0" w:color="C9D6BC"/>
              <w:right w:val="single" w:sz="2" w:space="0" w:color="C9D6BC"/>
            </w:tcBorders>
            <w:shd w:val="clear" w:color="auto" w:fill="EEF2E9"/>
          </w:tcPr>
          <w:p w14:paraId="79E5178B" w14:textId="77777777" w:rsidR="00570271" w:rsidRDefault="00C213F8">
            <w:pPr>
              <w:spacing w:after="40" w:line="250" w:lineRule="exact"/>
            </w:pPr>
            <w:r>
              <w:rPr>
                <w:sz w:val="18"/>
                <w:szCs w:val="18"/>
              </w:rPr>
              <w:t>Spec</w:t>
            </w:r>
          </w:p>
        </w:tc>
        <w:tc>
          <w:tcPr>
            <w:tcW w:w="1401" w:type="dxa"/>
            <w:tcBorders>
              <w:top w:val="single" w:sz="2" w:space="0" w:color="C9D6BC"/>
              <w:left w:val="single" w:sz="2" w:space="0" w:color="C9D6BC"/>
              <w:bottom w:val="single" w:sz="2" w:space="0" w:color="C9D6BC"/>
              <w:right w:val="single" w:sz="2" w:space="0" w:color="C9D6BC"/>
            </w:tcBorders>
            <w:shd w:val="clear" w:color="auto" w:fill="EEF2E9"/>
          </w:tcPr>
          <w:p w14:paraId="79E5178C" w14:textId="77777777" w:rsidR="00570271" w:rsidRDefault="00C213F8">
            <w:pPr>
              <w:spacing w:after="40" w:line="250" w:lineRule="exact"/>
            </w:pPr>
            <w:r>
              <w:rPr>
                <w:sz w:val="18"/>
                <w:szCs w:val="18"/>
              </w:rPr>
              <w:t>Product + Eng</w:t>
            </w:r>
          </w:p>
        </w:tc>
        <w:tc>
          <w:tcPr>
            <w:tcW w:w="3126" w:type="dxa"/>
            <w:tcBorders>
              <w:top w:val="single" w:sz="2" w:space="0" w:color="C9D6BC"/>
              <w:left w:val="single" w:sz="2" w:space="0" w:color="C9D6BC"/>
              <w:bottom w:val="single" w:sz="2" w:space="0" w:color="C9D6BC"/>
              <w:right w:val="single" w:sz="2" w:space="0" w:color="C9D6BC"/>
            </w:tcBorders>
            <w:shd w:val="clear" w:color="auto" w:fill="EEF2E9"/>
          </w:tcPr>
          <w:p w14:paraId="79E5178D" w14:textId="77777777" w:rsidR="00570271" w:rsidRDefault="00C213F8">
            <w:pPr>
              <w:spacing w:after="40" w:line="250" w:lineRule="exact"/>
            </w:pPr>
            <w:r>
              <w:rPr>
                <w:sz w:val="18"/>
                <w:szCs w:val="18"/>
              </w:rPr>
              <w:t>Trust, ethics, retention</w:t>
            </w:r>
          </w:p>
        </w:tc>
        <w:tc>
          <w:tcPr>
            <w:tcW w:w="500" w:type="dxa"/>
            <w:tcBorders>
              <w:top w:val="single" w:sz="2" w:space="0" w:color="C9D6BC"/>
              <w:left w:val="single" w:sz="2" w:space="0" w:color="C9D6BC"/>
              <w:bottom w:val="single" w:sz="2" w:space="0" w:color="C9D6BC"/>
              <w:right w:val="single" w:sz="4" w:space="0" w:color="C9D6BC"/>
            </w:tcBorders>
            <w:shd w:val="clear" w:color="auto" w:fill="EEF2E9"/>
          </w:tcPr>
          <w:p w14:paraId="79E5178E" w14:textId="77777777" w:rsidR="00570271" w:rsidRDefault="00C213F8">
            <w:pPr>
              <w:spacing w:after="40" w:line="250" w:lineRule="exact"/>
            </w:pPr>
            <w:r>
              <w:rPr>
                <w:sz w:val="18"/>
                <w:szCs w:val="18"/>
              </w:rPr>
              <w:t>P1</w:t>
            </w:r>
          </w:p>
        </w:tc>
      </w:tr>
      <w:tr w:rsidR="00570271" w14:paraId="79E51795" w14:textId="77777777">
        <w:tc>
          <w:tcPr>
            <w:tcW w:w="2249" w:type="dxa"/>
            <w:tcBorders>
              <w:top w:val="single" w:sz="2" w:space="0" w:color="C9D6BC"/>
              <w:left w:val="single" w:sz="4" w:space="0" w:color="C9D6BC"/>
              <w:bottom w:val="single" w:sz="4" w:space="0" w:color="C9D6BC"/>
              <w:right w:val="single" w:sz="2" w:space="0" w:color="C9D6BC"/>
            </w:tcBorders>
          </w:tcPr>
          <w:p w14:paraId="79E51790" w14:textId="77777777" w:rsidR="00570271" w:rsidRDefault="00C213F8">
            <w:pPr>
              <w:spacing w:after="40" w:line="250" w:lineRule="exact"/>
            </w:pPr>
            <w:r>
              <w:rPr>
                <w:sz w:val="18"/>
                <w:szCs w:val="18"/>
              </w:rPr>
              <w:t>Safety never paywalled</w:t>
            </w:r>
          </w:p>
        </w:tc>
        <w:tc>
          <w:tcPr>
            <w:tcW w:w="1150" w:type="dxa"/>
            <w:tcBorders>
              <w:top w:val="single" w:sz="2" w:space="0" w:color="C9D6BC"/>
              <w:left w:val="single" w:sz="2" w:space="0" w:color="C9D6BC"/>
              <w:bottom w:val="single" w:sz="4" w:space="0" w:color="C9D6BC"/>
              <w:right w:val="single" w:sz="2" w:space="0" w:color="C9D6BC"/>
            </w:tcBorders>
          </w:tcPr>
          <w:p w14:paraId="79E51791" w14:textId="77777777" w:rsidR="00570271" w:rsidRDefault="00C213F8">
            <w:pPr>
              <w:spacing w:after="40" w:line="250" w:lineRule="exact"/>
            </w:pPr>
            <w:r>
              <w:rPr>
                <w:sz w:val="18"/>
                <w:szCs w:val="18"/>
              </w:rPr>
              <w:t>Principle</w:t>
            </w:r>
          </w:p>
        </w:tc>
        <w:tc>
          <w:tcPr>
            <w:tcW w:w="1401" w:type="dxa"/>
            <w:tcBorders>
              <w:top w:val="single" w:sz="2" w:space="0" w:color="C9D6BC"/>
              <w:left w:val="single" w:sz="2" w:space="0" w:color="C9D6BC"/>
              <w:bottom w:val="single" w:sz="4" w:space="0" w:color="C9D6BC"/>
              <w:right w:val="single" w:sz="2" w:space="0" w:color="C9D6BC"/>
            </w:tcBorders>
          </w:tcPr>
          <w:p w14:paraId="79E51792" w14:textId="77777777" w:rsidR="00570271" w:rsidRDefault="00C213F8">
            <w:pPr>
              <w:spacing w:after="40" w:line="250" w:lineRule="exact"/>
            </w:pPr>
            <w:r>
              <w:rPr>
                <w:sz w:val="18"/>
                <w:szCs w:val="18"/>
              </w:rPr>
              <w:t>Founder</w:t>
            </w:r>
          </w:p>
        </w:tc>
        <w:tc>
          <w:tcPr>
            <w:tcW w:w="3126" w:type="dxa"/>
            <w:tcBorders>
              <w:top w:val="single" w:sz="2" w:space="0" w:color="C9D6BC"/>
              <w:left w:val="single" w:sz="2" w:space="0" w:color="C9D6BC"/>
              <w:bottom w:val="single" w:sz="4" w:space="0" w:color="C9D6BC"/>
              <w:right w:val="single" w:sz="2" w:space="0" w:color="C9D6BC"/>
            </w:tcBorders>
          </w:tcPr>
          <w:p w14:paraId="79E51793" w14:textId="77777777" w:rsidR="00570271" w:rsidRDefault="00C213F8">
            <w:pPr>
              <w:spacing w:after="40" w:line="250" w:lineRule="exact"/>
            </w:pPr>
            <w:r>
              <w:rPr>
                <w:sz w:val="18"/>
                <w:szCs w:val="18"/>
              </w:rPr>
              <w:t>A liability and values exposure in tiering</w:t>
            </w:r>
          </w:p>
        </w:tc>
        <w:tc>
          <w:tcPr>
            <w:tcW w:w="500" w:type="dxa"/>
            <w:tcBorders>
              <w:top w:val="single" w:sz="2" w:space="0" w:color="C9D6BC"/>
              <w:left w:val="single" w:sz="2" w:space="0" w:color="C9D6BC"/>
              <w:bottom w:val="single" w:sz="4" w:space="0" w:color="C9D6BC"/>
              <w:right w:val="single" w:sz="4" w:space="0" w:color="C9D6BC"/>
            </w:tcBorders>
          </w:tcPr>
          <w:p w14:paraId="79E51794" w14:textId="77777777" w:rsidR="00570271" w:rsidRDefault="00C213F8">
            <w:pPr>
              <w:spacing w:after="40" w:line="250" w:lineRule="exact"/>
            </w:pPr>
            <w:r>
              <w:rPr>
                <w:sz w:val="18"/>
                <w:szCs w:val="18"/>
              </w:rPr>
              <w:t>P1</w:t>
            </w:r>
          </w:p>
        </w:tc>
      </w:tr>
    </w:tbl>
    <w:p w14:paraId="79E51796" w14:textId="77777777" w:rsidR="00570271" w:rsidRDefault="00C213F8">
      <w:pPr>
        <w:spacing w:after="120" w:line="276" w:lineRule="exact"/>
      </w:pPr>
      <w:r>
        <w:rPr>
          <w:b/>
          <w:bCs/>
        </w:rPr>
        <w:t xml:space="preserve">The three to design in now or regret later.  </w:t>
      </w:r>
      <w:r>
        <w:t xml:space="preserve">Most of these can be built in sequence. Three cannot be deferred, because retrofitting them into a running system is disproportionately expensive: the </w:t>
      </w:r>
      <w:r>
        <w:rPr>
          <w:b/>
          <w:bCs/>
        </w:rPr>
        <w:t>Canonical Scientific Library</w:t>
      </w:r>
      <w:r>
        <w:t xml:space="preserve"> (everything grounded depends on it), the </w:t>
      </w:r>
      <w:r>
        <w:rPr>
          <w:b/>
          <w:bCs/>
        </w:rPr>
        <w:t>erasure-vs-immutability</w:t>
      </w:r>
      <w:r>
        <w:t xml:space="preserve"> resolution (it sits inside the event-sourcing core), and the </w:t>
      </w:r>
      <w:r>
        <w:rPr>
          <w:b/>
          <w:bCs/>
        </w:rPr>
        <w:t>FHIR/LOINC schema decision</w:t>
      </w:r>
      <w:r>
        <w:t xml:space="preserve"> (it shapes every ingestion driver and the DHM's canonical values). These are the P0 items and the reason this document leads </w:t>
      </w:r>
      <w:proofErr w:type="gramStart"/>
      <w:r>
        <w:t>with</w:t>
      </w:r>
      <w:proofErr w:type="gramEnd"/>
      <w:r>
        <w:t xml:space="preserve"> them.</w:t>
      </w:r>
    </w:p>
    <w:p w14:paraId="79E51797" w14:textId="77777777" w:rsidR="00570271" w:rsidRDefault="00C213F8">
      <w:r>
        <w:br w:type="page"/>
      </w:r>
    </w:p>
    <w:p w14:paraId="79E51798" w14:textId="77777777" w:rsidR="00570271" w:rsidRDefault="00C213F8">
      <w:pPr>
        <w:pStyle w:val="Heading1"/>
        <w:spacing w:before="0" w:after="140"/>
      </w:pPr>
      <w:bookmarkStart w:id="3" w:name="_Toc234486199"/>
      <w:r>
        <w:rPr>
          <w:b/>
          <w:bCs/>
          <w:color w:val="6F8E5A"/>
          <w:sz w:val="30"/>
          <w:szCs w:val="30"/>
        </w:rPr>
        <w:lastRenderedPageBreak/>
        <w:t xml:space="preserve">Part </w:t>
      </w:r>
      <w:proofErr w:type="gramStart"/>
      <w:r>
        <w:rPr>
          <w:b/>
          <w:bCs/>
          <w:color w:val="6F8E5A"/>
          <w:sz w:val="30"/>
          <w:szCs w:val="30"/>
        </w:rPr>
        <w:t>II  ·</w:t>
      </w:r>
      <w:proofErr w:type="gramEnd"/>
      <w:r>
        <w:rPr>
          <w:b/>
          <w:bCs/>
          <w:color w:val="6F8E5A"/>
          <w:sz w:val="30"/>
          <w:szCs w:val="30"/>
        </w:rPr>
        <w:t xml:space="preserve">  Foundational dependencies</w:t>
      </w:r>
      <w:bookmarkEnd w:id="3"/>
    </w:p>
    <w:p w14:paraId="79E51799" w14:textId="77777777" w:rsidR="00570271" w:rsidRDefault="00C213F8">
      <w:pPr>
        <w:pStyle w:val="Heading2"/>
        <w:spacing w:before="260" w:after="100"/>
      </w:pPr>
      <w:bookmarkStart w:id="4" w:name="_Toc234486200"/>
      <w:r>
        <w:rPr>
          <w:b/>
          <w:bCs/>
          <w:color w:val="1F2A1C"/>
          <w:sz w:val="25"/>
          <w:szCs w:val="25"/>
        </w:rPr>
        <w:t>2</w:t>
      </w:r>
      <w:proofErr w:type="gramStart"/>
      <w:r>
        <w:rPr>
          <w:b/>
          <w:bCs/>
          <w:color w:val="1F2A1C"/>
          <w:sz w:val="25"/>
          <w:szCs w:val="25"/>
        </w:rPr>
        <w:t>.  The</w:t>
      </w:r>
      <w:proofErr w:type="gramEnd"/>
      <w:r>
        <w:rPr>
          <w:b/>
          <w:bCs/>
          <w:color w:val="1F2A1C"/>
          <w:sz w:val="25"/>
          <w:szCs w:val="25"/>
        </w:rPr>
        <w:t xml:space="preserve"> Canonical Scientific Library</w:t>
      </w:r>
      <w:bookmarkEnd w:id="4"/>
    </w:p>
    <w:p w14:paraId="79E5179A" w14:textId="77777777" w:rsidR="00570271" w:rsidRDefault="00C213F8">
      <w:pPr>
        <w:spacing w:after="120" w:line="276" w:lineRule="exact"/>
      </w:pPr>
      <w:r>
        <w:t xml:space="preserve">Both prior documents lean on the </w:t>
      </w:r>
      <w:proofErr w:type="gramStart"/>
      <w:r>
        <w:t>Library</w:t>
      </w:r>
      <w:proofErr w:type="gramEnd"/>
      <w:r>
        <w:t xml:space="preserve"> as the grounding oracle — the thing that makes “no scientific claim from parametric memory” enforceable. Neither specifies how it is built, graded, versioned or governed. It is the largest unbuilt dependency in </w:t>
      </w:r>
      <w:proofErr w:type="gramStart"/>
      <w:r>
        <w:t>the design</w:t>
      </w:r>
      <w:proofErr w:type="gramEnd"/>
      <w:r>
        <w:t xml:space="preserve">, and grounding — the single most important rule in </w:t>
      </w:r>
      <w:proofErr w:type="gramStart"/>
      <w:r>
        <w:t>the architecture —</w:t>
      </w:r>
      <w:proofErr w:type="gramEnd"/>
      <w:r>
        <w:t xml:space="preserve"> is unenforceable until it exists. It is not a static reference file; it is a living, curated, evidence-graded knowledge base with its own governance.</w:t>
      </w:r>
    </w:p>
    <w:p w14:paraId="79E5179B" w14:textId="77777777" w:rsidR="00570271" w:rsidRDefault="00C213F8">
      <w:pPr>
        <w:pStyle w:val="Heading3"/>
        <w:spacing w:before="180" w:after="80"/>
      </w:pPr>
      <w:proofErr w:type="gramStart"/>
      <w:r>
        <w:rPr>
          <w:b/>
          <w:bCs/>
          <w:color w:val="6F8E5A"/>
          <w:sz w:val="22"/>
          <w:szCs w:val="22"/>
        </w:rPr>
        <w:t>2.1  Entry</w:t>
      </w:r>
      <w:proofErr w:type="gramEnd"/>
      <w:r>
        <w:rPr>
          <w:b/>
          <w:bCs/>
          <w:color w:val="6F8E5A"/>
          <w:sz w:val="22"/>
          <w:szCs w:val="22"/>
        </w:rPr>
        <w:t xml:space="preserve"> structure</w:t>
      </w:r>
    </w:p>
    <w:p w14:paraId="79E5179C" w14:textId="77777777" w:rsidR="00570271" w:rsidRDefault="00C213F8">
      <w:pPr>
        <w:shd w:val="clear" w:color="auto" w:fill="EEF2E9"/>
        <w:spacing w:line="250" w:lineRule="exact"/>
        <w:ind w:left="200" w:right="200"/>
      </w:pPr>
      <w:proofErr w:type="spellStart"/>
      <w:r>
        <w:rPr>
          <w:rFonts w:ascii="Courier New" w:eastAsia="Courier New" w:hAnsi="Courier New" w:cs="Courier New"/>
          <w:sz w:val="19"/>
          <w:szCs w:val="19"/>
        </w:rPr>
        <w:t>LibraryEntry</w:t>
      </w:r>
      <w:proofErr w:type="spellEnd"/>
    </w:p>
    <w:p w14:paraId="79E5179D"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id, version, </w:t>
      </w:r>
      <w:proofErr w:type="gramStart"/>
      <w:r>
        <w:rPr>
          <w:rFonts w:ascii="Courier New" w:eastAsia="Courier New" w:hAnsi="Courier New" w:cs="Courier New"/>
          <w:sz w:val="19"/>
          <w:szCs w:val="19"/>
        </w:rPr>
        <w:t xml:space="preserve">status,   </w:t>
      </w:r>
      <w:proofErr w:type="gramEnd"/>
      <w:r>
        <w:rPr>
          <w:rFonts w:ascii="Courier New" w:eastAsia="Courier New" w:hAnsi="Courier New" w:cs="Courier New"/>
          <w:sz w:val="19"/>
          <w:szCs w:val="19"/>
        </w:rPr>
        <w:t>// active | superseded | retired</w:t>
      </w:r>
    </w:p>
    <w:p w14:paraId="79E5179E"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claim </w:t>
      </w:r>
      <w:proofErr w:type="gramStart"/>
      <w:r>
        <w:rPr>
          <w:rFonts w:ascii="Courier New" w:eastAsia="Courier New" w:hAnsi="Courier New" w:cs="Courier New"/>
          <w:sz w:val="19"/>
          <w:szCs w:val="19"/>
        </w:rPr>
        <w:t>{ subject</w:t>
      </w:r>
      <w:proofErr w:type="gramEnd"/>
      <w:r>
        <w:rPr>
          <w:rFonts w:ascii="Courier New" w:eastAsia="Courier New" w:hAnsi="Courier New" w:cs="Courier New"/>
          <w:sz w:val="19"/>
          <w:szCs w:val="19"/>
        </w:rPr>
        <w:t>, relation, object,</w:t>
      </w:r>
    </w:p>
    <w:p w14:paraId="79E5179F"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population,   </w:t>
      </w:r>
      <w:proofErr w:type="gramEnd"/>
      <w:r>
        <w:rPr>
          <w:rFonts w:ascii="Courier New" w:eastAsia="Courier New" w:hAnsi="Courier New" w:cs="Courier New"/>
          <w:sz w:val="19"/>
          <w:szCs w:val="19"/>
        </w:rPr>
        <w:t xml:space="preserve">         // who this applies to</w:t>
      </w:r>
    </w:p>
    <w:p w14:paraId="79E517A0"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conditions }</w:t>
      </w:r>
      <w:proofErr w:type="gramEnd"/>
      <w:r>
        <w:rPr>
          <w:rFonts w:ascii="Courier New" w:eastAsia="Courier New" w:hAnsi="Courier New" w:cs="Courier New"/>
          <w:sz w:val="19"/>
          <w:szCs w:val="19"/>
        </w:rPr>
        <w:t>,          // when it holds</w:t>
      </w:r>
    </w:p>
    <w:p w14:paraId="79E517A1"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evidence_</w:t>
      </w:r>
      <w:proofErr w:type="gramStart"/>
      <w:r>
        <w:rPr>
          <w:rFonts w:ascii="Courier New" w:eastAsia="Courier New" w:hAnsi="Courier New" w:cs="Courier New"/>
          <w:sz w:val="19"/>
          <w:szCs w:val="19"/>
        </w:rPr>
        <w:t>grade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ordinal; see 2.2</w:t>
      </w:r>
    </w:p>
    <w:p w14:paraId="79E517A2"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effect </w:t>
      </w:r>
      <w:proofErr w:type="gramStart"/>
      <w:r>
        <w:rPr>
          <w:rFonts w:ascii="Courier New" w:eastAsia="Courier New" w:hAnsi="Courier New" w:cs="Courier New"/>
          <w:sz w:val="19"/>
          <w:szCs w:val="19"/>
        </w:rPr>
        <w:t>{ direction</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magnitude?,</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uncertainty }</w:t>
      </w:r>
      <w:proofErr w:type="gramEnd"/>
      <w:r>
        <w:rPr>
          <w:rFonts w:ascii="Courier New" w:eastAsia="Courier New" w:hAnsi="Courier New" w:cs="Courier New"/>
          <w:sz w:val="19"/>
          <w:szCs w:val="19"/>
        </w:rPr>
        <w:t>,</w:t>
      </w:r>
    </w:p>
    <w:p w14:paraId="79E517A3"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sources[</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citation</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study_type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year }</w:t>
      </w:r>
      <w:proofErr w:type="gramEnd"/>
      <w:r>
        <w:rPr>
          <w:rFonts w:ascii="Courier New" w:eastAsia="Courier New" w:hAnsi="Courier New" w:cs="Courier New"/>
          <w:sz w:val="19"/>
          <w:szCs w:val="19"/>
        </w:rPr>
        <w:t>,</w:t>
      </w:r>
    </w:p>
    <w:p w14:paraId="79E517A4"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applicability_</w:t>
      </w:r>
      <w:proofErr w:type="gramStart"/>
      <w:r>
        <w:rPr>
          <w:rFonts w:ascii="Courier New" w:eastAsia="Courier New" w:hAnsi="Courier New" w:cs="Courier New"/>
          <w:sz w:val="19"/>
          <w:szCs w:val="19"/>
        </w:rPr>
        <w:t>constraints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e.g. age, sex, comorbidity</w:t>
      </w:r>
    </w:p>
    <w:p w14:paraId="79E517A5"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caveats[</w:t>
      </w:r>
      <w:proofErr w:type="gramEnd"/>
      <w:r>
        <w:rPr>
          <w:rFonts w:ascii="Courier New" w:eastAsia="Courier New" w:hAnsi="Courier New" w:cs="Courier New"/>
          <w:sz w:val="19"/>
          <w:szCs w:val="19"/>
        </w:rPr>
        <w:t>],</w:t>
      </w:r>
    </w:p>
    <w:p w14:paraId="79E517A6"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supersedes -&gt; id, </w:t>
      </w:r>
      <w:proofErr w:type="spellStart"/>
      <w:r>
        <w:rPr>
          <w:rFonts w:ascii="Courier New" w:eastAsia="Courier New" w:hAnsi="Courier New" w:cs="Courier New"/>
          <w:sz w:val="19"/>
          <w:szCs w:val="19"/>
        </w:rPr>
        <w:t>superseded_by</w:t>
      </w:r>
      <w:proofErr w:type="spellEnd"/>
      <w:r>
        <w:rPr>
          <w:rFonts w:ascii="Courier New" w:eastAsia="Courier New" w:hAnsi="Courier New" w:cs="Courier New"/>
          <w:sz w:val="19"/>
          <w:szCs w:val="19"/>
        </w:rPr>
        <w:t xml:space="preserve"> -&gt; id,</w:t>
      </w:r>
    </w:p>
    <w:p w14:paraId="79E517A7" w14:textId="77777777" w:rsidR="00570271" w:rsidRDefault="00C213F8">
      <w:pPr>
        <w:shd w:val="clear" w:color="auto" w:fill="EEF2E9"/>
        <w:spacing w:after="140"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reviewed_by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review_date</w:t>
      </w:r>
      <w:proofErr w:type="spellEnd"/>
      <w:r>
        <w:rPr>
          <w:rFonts w:ascii="Courier New" w:eastAsia="Courier New" w:hAnsi="Courier New" w:cs="Courier New"/>
          <w:sz w:val="19"/>
          <w:szCs w:val="19"/>
        </w:rPr>
        <w:t>, provenance</w:t>
      </w:r>
    </w:p>
    <w:p w14:paraId="79E517A8" w14:textId="77777777" w:rsidR="00570271" w:rsidRDefault="00C213F8">
      <w:pPr>
        <w:spacing w:after="120" w:line="276" w:lineRule="exact"/>
      </w:pPr>
      <w:r>
        <w:t xml:space="preserve">The claim is </w:t>
      </w:r>
      <w:r>
        <w:rPr>
          <w:b/>
          <w:bCs/>
        </w:rPr>
        <w:t>structured, not prose</w:t>
      </w:r>
      <w:r>
        <w:t xml:space="preserve">, so the retrieval layer can match it to an </w:t>
      </w:r>
      <w:proofErr w:type="gramStart"/>
      <w:r>
        <w:t>observation</w:t>
      </w:r>
      <w:proofErr w:type="gramEnd"/>
      <w:r>
        <w:t xml:space="preserve"> and the review layer can verify grounding mechanically. Every entry carries its population and applicability so stages S2–S3 can down-weight when the individual does not match the studied population — the commonest way population evidence is misapplied to a person.</w:t>
      </w:r>
    </w:p>
    <w:p w14:paraId="79E517A9" w14:textId="77777777" w:rsidR="00570271" w:rsidRDefault="00C213F8">
      <w:pPr>
        <w:pStyle w:val="Heading3"/>
        <w:spacing w:before="180" w:after="80"/>
      </w:pPr>
      <w:proofErr w:type="gramStart"/>
      <w:r>
        <w:rPr>
          <w:b/>
          <w:bCs/>
          <w:color w:val="6F8E5A"/>
          <w:sz w:val="22"/>
          <w:szCs w:val="22"/>
        </w:rPr>
        <w:t>2.2  Evidence</w:t>
      </w:r>
      <w:proofErr w:type="gramEnd"/>
      <w:r>
        <w:rPr>
          <w:b/>
          <w:bCs/>
          <w:color w:val="6F8E5A"/>
          <w:sz w:val="22"/>
          <w:szCs w:val="22"/>
        </w:rPr>
        <w:t xml:space="preserve"> grading reuses the Constitution's hierarchy</w:t>
      </w:r>
    </w:p>
    <w:p w14:paraId="79E517AA" w14:textId="77777777" w:rsidR="00570271" w:rsidRDefault="00C213F8">
      <w:pPr>
        <w:spacing w:after="120" w:line="276" w:lineRule="exact"/>
      </w:pPr>
      <w:r>
        <w:t xml:space="preserve">The </w:t>
      </w:r>
      <w:proofErr w:type="gramStart"/>
      <w:r>
        <w:t>Library</w:t>
      </w:r>
      <w:proofErr w:type="gramEnd"/>
      <w:r>
        <w:t xml:space="preserve"> grades evidence on the same ordinal hierarchy the Constitution already defines (Appendix C: meta-analysis / systematic review at the top, through RCTs, cohort and case-control studies, down to mechanistic and anecdotal). Reusing one scale means the </w:t>
      </w:r>
      <w:proofErr w:type="gramStart"/>
      <w:r>
        <w:t>Library</w:t>
      </w:r>
      <w:proofErr w:type="gramEnd"/>
      <w:r>
        <w:t xml:space="preserve"> and the reasoning engine share a single evidence vocabulary, and the confidence calculus (ER-16) can consume an entry's grade directly as its scientific-confidence input.</w:t>
      </w:r>
    </w:p>
    <w:p w14:paraId="79E517AB" w14:textId="77777777" w:rsidR="00570271" w:rsidRDefault="00C213F8">
      <w:pPr>
        <w:spacing w:after="120" w:line="276" w:lineRule="exact"/>
      </w:pPr>
      <w:r>
        <w:rPr>
          <w:b/>
          <w:bCs/>
        </w:rPr>
        <w:t xml:space="preserve">ER-24 </w:t>
      </w:r>
      <w:r>
        <w:t>(</w:t>
      </w:r>
      <w:r>
        <w:rPr>
          <w:rFonts w:ascii="Courier New" w:eastAsia="Courier New" w:hAnsi="Courier New" w:cs="Courier New"/>
          <w:sz w:val="19"/>
          <w:szCs w:val="19"/>
        </w:rPr>
        <w:t>Ch 1.4, 8.5; RA ER-15</w:t>
      </w:r>
      <w:r>
        <w:t xml:space="preserve">).  Every user-facing scientific claim </w:t>
      </w:r>
      <w:proofErr w:type="gramStart"/>
      <w:r>
        <w:t>resolves</w:t>
      </w:r>
      <w:proofErr w:type="gramEnd"/>
      <w:r>
        <w:t xml:space="preserve"> to a structured, graded, versioned Library entry. No entry may exist without at least one cited source and an evidence grade. Facts generated by a language model may never enter the </w:t>
      </w:r>
      <w:proofErr w:type="gramStart"/>
      <w:r>
        <w:t>Library</w:t>
      </w:r>
      <w:proofErr w:type="gramEnd"/>
      <w:r>
        <w:t xml:space="preserve"> without human clinical validation.</w:t>
      </w:r>
    </w:p>
    <w:p w14:paraId="79E517AC" w14:textId="77777777" w:rsidR="00570271" w:rsidRDefault="00C213F8">
      <w:pPr>
        <w:pStyle w:val="Heading3"/>
        <w:spacing w:before="180" w:after="80"/>
      </w:pPr>
      <w:proofErr w:type="gramStart"/>
      <w:r>
        <w:rPr>
          <w:b/>
          <w:bCs/>
          <w:color w:val="6F8E5A"/>
          <w:sz w:val="22"/>
          <w:szCs w:val="22"/>
        </w:rPr>
        <w:t>2.3  Conflicting</w:t>
      </w:r>
      <w:proofErr w:type="gramEnd"/>
      <w:r>
        <w:rPr>
          <w:b/>
          <w:bCs/>
          <w:color w:val="6F8E5A"/>
          <w:sz w:val="22"/>
          <w:szCs w:val="22"/>
        </w:rPr>
        <w:t xml:space="preserve"> evidence is represented, not silently resolved</w:t>
      </w:r>
    </w:p>
    <w:p w14:paraId="79E517AD" w14:textId="77777777" w:rsidR="00570271" w:rsidRDefault="00C213F8">
      <w:pPr>
        <w:spacing w:after="120" w:line="276" w:lineRule="exact"/>
      </w:pPr>
      <w:r>
        <w:t xml:space="preserve">When two well-run studies disagree, the </w:t>
      </w:r>
      <w:proofErr w:type="gramStart"/>
      <w:r>
        <w:t>Library</w:t>
      </w:r>
      <w:proofErr w:type="gramEnd"/>
      <w:r>
        <w:t xml:space="preserve"> must not pick a winner behind the scenes. An entry can hold competing findings, each with its own grade and sources, and expose that disagreement to the reasoning engine so the resulting interpretation inherits the uncertainty rather than laundering it into false confidence.</w:t>
      </w:r>
    </w:p>
    <w:p w14:paraId="79E517AE" w14:textId="77777777" w:rsidR="00570271" w:rsidRDefault="00C213F8">
      <w:pPr>
        <w:spacing w:after="120" w:line="276" w:lineRule="exact"/>
      </w:pPr>
      <w:r>
        <w:rPr>
          <w:b/>
          <w:bCs/>
        </w:rPr>
        <w:t xml:space="preserve">ER-25 </w:t>
      </w:r>
      <w:r>
        <w:t>(</w:t>
      </w:r>
      <w:r>
        <w:rPr>
          <w:rFonts w:ascii="Courier New" w:eastAsia="Courier New" w:hAnsi="Courier New" w:cs="Courier New"/>
          <w:sz w:val="19"/>
          <w:szCs w:val="19"/>
        </w:rPr>
        <w:t>Ch 3.4, 15.x</w:t>
      </w:r>
      <w:r>
        <w:t xml:space="preserve">).  Where the evidence </w:t>
      </w:r>
      <w:proofErr w:type="gramStart"/>
      <w:r>
        <w:t>base</w:t>
      </w:r>
      <w:proofErr w:type="gramEnd"/>
      <w:r>
        <w:t xml:space="preserve"> genuinely conflicts, the </w:t>
      </w:r>
      <w:proofErr w:type="gramStart"/>
      <w:r>
        <w:t>Library</w:t>
      </w:r>
      <w:proofErr w:type="gramEnd"/>
      <w:r>
        <w:t xml:space="preserve"> represents the conflict explicitly. The reasoning engine must surface the resulting uncertainty rather than presenting one side as settled.</w:t>
      </w:r>
    </w:p>
    <w:p w14:paraId="79E517AF" w14:textId="77777777" w:rsidR="00570271" w:rsidRDefault="00C213F8">
      <w:pPr>
        <w:pStyle w:val="Heading3"/>
        <w:spacing w:before="180" w:after="80"/>
      </w:pPr>
      <w:proofErr w:type="gramStart"/>
      <w:r>
        <w:rPr>
          <w:b/>
          <w:bCs/>
          <w:color w:val="6F8E5A"/>
          <w:sz w:val="22"/>
          <w:szCs w:val="22"/>
        </w:rPr>
        <w:t>2.4  Versioning</w:t>
      </w:r>
      <w:proofErr w:type="gramEnd"/>
      <w:r>
        <w:rPr>
          <w:b/>
          <w:bCs/>
          <w:color w:val="6F8E5A"/>
          <w:sz w:val="22"/>
          <w:szCs w:val="22"/>
        </w:rPr>
        <w:t>, retention and the link to belief revision</w:t>
      </w:r>
    </w:p>
    <w:p w14:paraId="79E517B0" w14:textId="77777777" w:rsidR="00570271" w:rsidRDefault="00C213F8">
      <w:pPr>
        <w:spacing w:after="120" w:line="276" w:lineRule="exact"/>
      </w:pPr>
      <w:r>
        <w:t xml:space="preserve">Every change to an entry creates a new version; prior versions are retained, because interpretations pin to the version that produced them (RA ER-10). A past explanation is a fact about what </w:t>
      </w:r>
      <w:proofErr w:type="spellStart"/>
      <w:r>
        <w:t>BioSense</w:t>
      </w:r>
      <w:proofErr w:type="spellEnd"/>
      <w:r>
        <w:t xml:space="preserve"> believed </w:t>
      </w:r>
      <w:proofErr w:type="gramStart"/>
      <w:r>
        <w:t>then, and</w:t>
      </w:r>
      <w:proofErr w:type="gramEnd"/>
      <w:r>
        <w:t xml:space="preserve"> must not be silently rewritten. Retiring or superseding an entry does not alter pinned history — </w:t>
      </w:r>
      <w:r>
        <w:lastRenderedPageBreak/>
        <w:t xml:space="preserve">but it does trigger the truth-maintenance machinery: any </w:t>
      </w:r>
      <w:r>
        <w:rPr>
          <w:b/>
          <w:bCs/>
        </w:rPr>
        <w:t>active</w:t>
      </w:r>
      <w:r>
        <w:t xml:space="preserve"> hypothesis whose scientific basis referenced the retired entry is flagged for re-evaluation.</w:t>
      </w:r>
    </w:p>
    <w:p w14:paraId="79E517B1" w14:textId="77777777" w:rsidR="00570271" w:rsidRDefault="00C213F8">
      <w:pPr>
        <w:spacing w:after="120" w:line="276" w:lineRule="exact"/>
      </w:pPr>
      <w:r>
        <w:rPr>
          <w:b/>
          <w:bCs/>
        </w:rPr>
        <w:t xml:space="preserve">ER-26 </w:t>
      </w:r>
      <w:r>
        <w:t>(</w:t>
      </w:r>
      <w:r>
        <w:rPr>
          <w:rFonts w:ascii="Courier New" w:eastAsia="Courier New" w:hAnsi="Courier New" w:cs="Courier New"/>
          <w:sz w:val="19"/>
          <w:szCs w:val="19"/>
        </w:rPr>
        <w:t>RA ER-10, ER-13</w:t>
      </w:r>
      <w:r>
        <w:t>).  Library entries are versioned and immutable once published; superseding creates a new version and retains the old. Retiring an entry flags every active hypothesis that depended on it for re-evaluation, so the user's understanding cannot silently rest on withdrawn science.</w:t>
      </w:r>
    </w:p>
    <w:p w14:paraId="79E517B2" w14:textId="77777777" w:rsidR="00570271" w:rsidRDefault="00C213F8">
      <w:pPr>
        <w:pStyle w:val="Heading3"/>
        <w:spacing w:before="180" w:after="80"/>
      </w:pPr>
      <w:proofErr w:type="gramStart"/>
      <w:r>
        <w:rPr>
          <w:b/>
          <w:bCs/>
          <w:color w:val="6F8E5A"/>
          <w:sz w:val="22"/>
          <w:szCs w:val="22"/>
        </w:rPr>
        <w:t>2.5  Curation</w:t>
      </w:r>
      <w:proofErr w:type="gramEnd"/>
      <w:r>
        <w:rPr>
          <w:b/>
          <w:bCs/>
          <w:color w:val="6F8E5A"/>
          <w:sz w:val="22"/>
          <w:szCs w:val="22"/>
        </w:rPr>
        <w:t xml:space="preserve"> governance and the retrieval contract</w:t>
      </w:r>
    </w:p>
    <w:p w14:paraId="79E517B3" w14:textId="77777777" w:rsidR="00570271" w:rsidRDefault="00C213F8">
      <w:pPr>
        <w:spacing w:after="120" w:line="276" w:lineRule="exact"/>
      </w:pPr>
      <w:r>
        <w:t>Authority to add or change entries rests with the clinical/scientific review function (§6), with recorded sign-off. Retrieval is a structured query by metric and relation returning entries with their versions and grades; the grounding token attached to any downstream claim carries the entry id and version so Review can resolve it deterministically.</w:t>
      </w:r>
    </w:p>
    <w:p w14:paraId="79E517B4" w14:textId="77777777" w:rsidR="00570271" w:rsidRDefault="00C213F8">
      <w:pPr>
        <w:spacing w:after="120" w:line="276" w:lineRule="exact"/>
      </w:pPr>
      <w:r>
        <w:rPr>
          <w:b/>
          <w:bCs/>
        </w:rPr>
        <w:t xml:space="preserve">ER-27 </w:t>
      </w:r>
      <w:r>
        <w:t>(</w:t>
      </w:r>
      <w:r>
        <w:rPr>
          <w:rFonts w:ascii="Courier New" w:eastAsia="Courier New" w:hAnsi="Courier New" w:cs="Courier New"/>
          <w:sz w:val="19"/>
          <w:szCs w:val="19"/>
        </w:rPr>
        <w:t>Ch 21.7; RA ER-19</w:t>
      </w:r>
      <w:r>
        <w:t>).  Only the clinical review function may publish or retire Library entries, with recorded sign-off. The retrieval contract returns entry id + version + grade; grounding tokens carry id + version so the review layer can verify every claim mechanically.</w:t>
      </w:r>
    </w:p>
    <w:p w14:paraId="79E517B5" w14:textId="77777777" w:rsidR="00570271" w:rsidRDefault="00C213F8">
      <w:pPr>
        <w:pStyle w:val="Heading3"/>
        <w:spacing w:before="180" w:after="80"/>
      </w:pPr>
      <w:proofErr w:type="gramStart"/>
      <w:r>
        <w:rPr>
          <w:b/>
          <w:bCs/>
          <w:color w:val="6F8E5A"/>
          <w:sz w:val="22"/>
          <w:szCs w:val="22"/>
        </w:rPr>
        <w:t>2.6  Bootstrapping</w:t>
      </w:r>
      <w:proofErr w:type="gramEnd"/>
      <w:r>
        <w:rPr>
          <w:b/>
          <w:bCs/>
          <w:color w:val="6F8E5A"/>
          <w:sz w:val="22"/>
          <w:szCs w:val="22"/>
        </w:rPr>
        <w:t xml:space="preserve"> is a real cost, not a given</w:t>
      </w:r>
    </w:p>
    <w:p w14:paraId="79E517B6" w14:textId="77777777" w:rsidR="00570271" w:rsidRDefault="00C213F8">
      <w:pPr>
        <w:spacing w:after="120" w:line="276" w:lineRule="exact"/>
      </w:pPr>
      <w:r>
        <w:t xml:space="preserve">Populating v1 is a </w:t>
      </w:r>
      <w:proofErr w:type="gramStart"/>
      <w:r>
        <w:t>project in itself</w:t>
      </w:r>
      <w:proofErr w:type="gramEnd"/>
      <w:r>
        <w:t>. The realistic options are to license an existing curated medical knowledge base, to build the initial corpus through clinical partnership, or to extract structured claims from published guidelines under human validation — most likely a combination. This effort should be planned and resourced explicitly; it is on the critical path to any grounded output.</w:t>
      </w:r>
    </w:p>
    <w:p w14:paraId="79E517B7" w14:textId="77777777" w:rsidR="00570271" w:rsidRDefault="00C213F8">
      <w:pPr>
        <w:pBdr>
          <w:left w:val="single" w:sz="18" w:space="8" w:color="C6A15B"/>
        </w:pBdr>
        <w:spacing w:before="60" w:after="140"/>
        <w:ind w:left="200"/>
      </w:pPr>
      <w:r>
        <w:rPr>
          <w:b/>
          <w:bCs/>
          <w:color w:val="9A7B2E"/>
          <w:sz w:val="20"/>
          <w:szCs w:val="20"/>
        </w:rPr>
        <w:t xml:space="preserve">Decision required: </w:t>
      </w:r>
      <w:r>
        <w:rPr>
          <w:sz w:val="20"/>
          <w:szCs w:val="20"/>
        </w:rPr>
        <w:t>Canonical Library bootstrap strategy — license, partner, or extract-and-validate (or a mix). Blocks all grounded output; see D3.</w:t>
      </w:r>
    </w:p>
    <w:p w14:paraId="79E517B8" w14:textId="77777777" w:rsidR="00570271" w:rsidRDefault="00C213F8">
      <w:pPr>
        <w:pBdr>
          <w:left w:val="single" w:sz="18" w:space="8" w:color="6F8E5A"/>
        </w:pBdr>
        <w:spacing w:after="130"/>
        <w:ind w:left="200"/>
      </w:pPr>
      <w:r>
        <w:rPr>
          <w:b/>
          <w:bCs/>
          <w:color w:val="6F8E5A"/>
          <w:sz w:val="19"/>
          <w:szCs w:val="19"/>
        </w:rPr>
        <w:t xml:space="preserve">Constitutional basis: </w:t>
      </w:r>
      <w:r>
        <w:rPr>
          <w:i/>
          <w:iCs/>
          <w:color w:val="6B6B6B"/>
          <w:sz w:val="19"/>
          <w:szCs w:val="19"/>
        </w:rPr>
        <w:t>Constitution Ch 1.4 (three layers of truth), Appendix C (evidence hierarchy), Ch 21.4 (Library as Level Three authority), Ch 21.7 (medical advisory).</w:t>
      </w:r>
    </w:p>
    <w:p w14:paraId="79E517B9" w14:textId="77777777" w:rsidR="00570271" w:rsidRDefault="00C213F8">
      <w:r>
        <w:br w:type="page"/>
      </w:r>
    </w:p>
    <w:p w14:paraId="79E517BA" w14:textId="77777777" w:rsidR="00570271" w:rsidRDefault="00C213F8">
      <w:pPr>
        <w:pStyle w:val="Heading2"/>
        <w:spacing w:before="0" w:after="100"/>
      </w:pPr>
      <w:bookmarkStart w:id="5" w:name="_Toc234486201"/>
      <w:r>
        <w:rPr>
          <w:b/>
          <w:bCs/>
          <w:color w:val="1F2A1C"/>
          <w:sz w:val="25"/>
          <w:szCs w:val="25"/>
        </w:rPr>
        <w:lastRenderedPageBreak/>
        <w:t>3.  Data lifecycle: the erasure–immutability resolution</w:t>
      </w:r>
      <w:bookmarkEnd w:id="5"/>
    </w:p>
    <w:p w14:paraId="79E517BB" w14:textId="77777777" w:rsidR="00570271" w:rsidRDefault="00C213F8">
      <w:pPr>
        <w:spacing w:after="120" w:line="276" w:lineRule="exact"/>
      </w:pPr>
      <w:r>
        <w:t xml:space="preserve">This is the sharpest hidden conflict in the design. The Reasoning Architecture makes the DHM an </w:t>
      </w:r>
      <w:r>
        <w:rPr>
          <w:b/>
          <w:bCs/>
        </w:rPr>
        <w:t>append-only, immutable event log</w:t>
      </w:r>
      <w:r>
        <w:t xml:space="preserve"> — that is what powers “why did we change our mind, by replay.” But UAE PDPL, and </w:t>
      </w:r>
      <w:proofErr w:type="gramStart"/>
      <w:r>
        <w:t>GDPR</w:t>
      </w:r>
      <w:proofErr w:type="gramEnd"/>
      <w:r>
        <w:t xml:space="preserve"> the moment there are EU users, grant a right to erasure over what is special-category health data. Immutable-by-design and erasable-on-request are in direct opposition. It is </w:t>
      </w:r>
      <w:proofErr w:type="gramStart"/>
      <w:r>
        <w:t>actually a</w:t>
      </w:r>
      <w:proofErr w:type="gramEnd"/>
      <w:r>
        <w:t xml:space="preserve"> three-way tension between auditability-by-replay, erasure, and the ability to reconstruct belief state — and each naive fix sacrifices one of the three.</w:t>
      </w:r>
    </w:p>
    <w:p w14:paraId="79E517BC" w14:textId="77777777" w:rsidR="00570271" w:rsidRDefault="00C213F8">
      <w:pPr>
        <w:pStyle w:val="Heading3"/>
        <w:spacing w:before="180" w:after="80"/>
      </w:pPr>
      <w:proofErr w:type="gramStart"/>
      <w:r>
        <w:rPr>
          <w:b/>
          <w:bCs/>
          <w:color w:val="6F8E5A"/>
          <w:sz w:val="22"/>
          <w:szCs w:val="22"/>
        </w:rPr>
        <w:t>3.1  The</w:t>
      </w:r>
      <w:proofErr w:type="gramEnd"/>
      <w:r>
        <w:rPr>
          <w:b/>
          <w:bCs/>
          <w:color w:val="6F8E5A"/>
          <w:sz w:val="22"/>
          <w:szCs w:val="22"/>
        </w:rPr>
        <w:t xml:space="preserve"> options and their costs</w:t>
      </w:r>
    </w:p>
    <w:p w14:paraId="79E517BD" w14:textId="77777777" w:rsidR="00570271" w:rsidRDefault="00C213F8">
      <w:pPr>
        <w:pStyle w:val="ListParagraph"/>
        <w:numPr>
          <w:ilvl w:val="0"/>
          <w:numId w:val="3"/>
        </w:numPr>
        <w:spacing w:after="70" w:line="270" w:lineRule="exact"/>
      </w:pPr>
      <w:r>
        <w:rPr>
          <w:b/>
          <w:bCs/>
        </w:rPr>
        <w:t xml:space="preserve">Tombstoning / logical delete.  </w:t>
      </w:r>
      <w:r>
        <w:t>Insufficient for legal erasure — the data still exists.</w:t>
      </w:r>
    </w:p>
    <w:p w14:paraId="79E517BE" w14:textId="77777777" w:rsidR="00570271" w:rsidRDefault="00C213F8">
      <w:pPr>
        <w:pStyle w:val="ListParagraph"/>
        <w:numPr>
          <w:ilvl w:val="0"/>
          <w:numId w:val="1"/>
        </w:numPr>
        <w:spacing w:after="70" w:line="270" w:lineRule="exact"/>
      </w:pPr>
      <w:r>
        <w:rPr>
          <w:b/>
          <w:bCs/>
        </w:rPr>
        <w:t xml:space="preserve">Per-user crypto-shredding.  </w:t>
      </w:r>
      <w:r>
        <w:t>Each user's data is encrypted under a per-user key; destroying the key renders their data permanently unrecoverable. Clean legal erasure. Cost: replay for that user is lost — which, for an erased user, is the correct and intended outcome.</w:t>
      </w:r>
    </w:p>
    <w:p w14:paraId="79E517BF" w14:textId="77777777" w:rsidR="00570271" w:rsidRDefault="00C213F8">
      <w:pPr>
        <w:pStyle w:val="ListParagraph"/>
        <w:numPr>
          <w:ilvl w:val="0"/>
          <w:numId w:val="1"/>
        </w:numPr>
        <w:spacing w:after="70" w:line="270" w:lineRule="exact"/>
      </w:pPr>
      <w:r>
        <w:rPr>
          <w:b/>
          <w:bCs/>
        </w:rPr>
        <w:t xml:space="preserve">Segregated logs.  </w:t>
      </w:r>
      <w:r>
        <w:t>Separate erasable raw observations from de-identified reasoning events. Hard in practice because reasoning events reference the observations, and the belief state derived from them may itself be personal.</w:t>
      </w:r>
    </w:p>
    <w:p w14:paraId="79E517C0" w14:textId="77777777" w:rsidR="00570271" w:rsidRDefault="00C213F8">
      <w:pPr>
        <w:pStyle w:val="Heading3"/>
        <w:spacing w:before="180" w:after="80"/>
      </w:pPr>
      <w:proofErr w:type="gramStart"/>
      <w:r>
        <w:rPr>
          <w:b/>
          <w:bCs/>
          <w:color w:val="6F8E5A"/>
          <w:sz w:val="22"/>
          <w:szCs w:val="22"/>
        </w:rPr>
        <w:t>3.2  Recommended</w:t>
      </w:r>
      <w:proofErr w:type="gramEnd"/>
      <w:r>
        <w:rPr>
          <w:b/>
          <w:bCs/>
          <w:color w:val="6F8E5A"/>
          <w:sz w:val="22"/>
          <w:szCs w:val="22"/>
        </w:rPr>
        <w:t xml:space="preserve"> architecture</w:t>
      </w:r>
    </w:p>
    <w:p w14:paraId="79E517C1" w14:textId="77777777" w:rsidR="00570271" w:rsidRDefault="00C213F8">
      <w:pPr>
        <w:spacing w:after="120" w:line="276" w:lineRule="exact"/>
      </w:pPr>
      <w:r>
        <w:t xml:space="preserve">Per-user crypto-shredding, plus a </w:t>
      </w:r>
      <w:r>
        <w:rPr>
          <w:b/>
          <w:bCs/>
        </w:rPr>
        <w:t>redaction event</w:t>
      </w:r>
      <w:r>
        <w:t xml:space="preserve"> appended to the log that records the fact and time of erasure without retaining any content — a meta-audit that erasure occurred, which is itself often a compliance requirement. Accept that replay is lost for erased users; that is the lawful result. Retain a calibration signal (RA ER-17) from erased users only if it is genuinely non-identifiable and consent covered it — otherwise it goes too. Derived belief </w:t>
      </w:r>
      <w:proofErr w:type="gramStart"/>
      <w:r>
        <w:t>state</w:t>
      </w:r>
      <w:proofErr w:type="gramEnd"/>
      <w:r>
        <w:t xml:space="preserve"> counts as personal data and is covered by the same key.</w:t>
      </w:r>
    </w:p>
    <w:p w14:paraId="79E517C2" w14:textId="77777777" w:rsidR="00570271" w:rsidRDefault="00C213F8">
      <w:pPr>
        <w:spacing w:after="120" w:line="276" w:lineRule="exact"/>
      </w:pPr>
      <w:r>
        <w:rPr>
          <w:b/>
          <w:bCs/>
        </w:rPr>
        <w:t xml:space="preserve">ER-28 </w:t>
      </w:r>
      <w:r>
        <w:t>(</w:t>
      </w:r>
      <w:r>
        <w:rPr>
          <w:rFonts w:ascii="Courier New" w:eastAsia="Courier New" w:hAnsi="Courier New" w:cs="Courier New"/>
          <w:sz w:val="19"/>
          <w:szCs w:val="19"/>
        </w:rPr>
        <w:t>Ch 11.x; PDPL / GDPR erasure</w:t>
      </w:r>
      <w:r>
        <w:t>).  The DHM supports erasure by per-user crypto-shredding. Erasure destroys the user's key (rendering observations and derived belief state unrecoverable) and appends a content-free redaction event for audit. The architecture accepts loss of replay for erased users as the correct outcome, and this trade-off is a ratified design decision, not an accident.</w:t>
      </w:r>
    </w:p>
    <w:p w14:paraId="79E517C3" w14:textId="77777777" w:rsidR="00570271" w:rsidRDefault="00C213F8">
      <w:pPr>
        <w:pStyle w:val="Heading3"/>
        <w:spacing w:before="180" w:after="80"/>
      </w:pPr>
      <w:proofErr w:type="gramStart"/>
      <w:r>
        <w:rPr>
          <w:b/>
          <w:bCs/>
          <w:color w:val="6F8E5A"/>
          <w:sz w:val="22"/>
          <w:szCs w:val="22"/>
        </w:rPr>
        <w:t>3.3  Consent</w:t>
      </w:r>
      <w:proofErr w:type="gramEnd"/>
      <w:r>
        <w:rPr>
          <w:b/>
          <w:bCs/>
          <w:color w:val="6F8E5A"/>
          <w:sz w:val="22"/>
          <w:szCs w:val="22"/>
        </w:rPr>
        <w:t>, residency and retention are first-class</w:t>
      </w:r>
    </w:p>
    <w:p w14:paraId="79E517C4" w14:textId="77777777" w:rsidR="00570271" w:rsidRDefault="00C213F8">
      <w:pPr>
        <w:spacing w:after="120" w:line="276" w:lineRule="exact"/>
      </w:pPr>
      <w:r>
        <w:t>Consent is granular per data source and revocable (this extends the WHOOP “insights only, no model training” position already established); revoking a source's consent stops ingestion and can trigger erasure of that source's contribution. Data residency and cross-border-transfer rules differ by market and must be designed in, not bolted on. Retention schedules are explicit per data class.</w:t>
      </w:r>
    </w:p>
    <w:p w14:paraId="79E517C5" w14:textId="77777777" w:rsidR="00570271" w:rsidRDefault="00C213F8">
      <w:pPr>
        <w:spacing w:after="120" w:line="276" w:lineRule="exact"/>
      </w:pPr>
      <w:r>
        <w:rPr>
          <w:b/>
          <w:bCs/>
        </w:rPr>
        <w:t xml:space="preserve">ER-29 </w:t>
      </w:r>
      <w:r>
        <w:t>(</w:t>
      </w:r>
      <w:r>
        <w:rPr>
          <w:rFonts w:ascii="Courier New" w:eastAsia="Courier New" w:hAnsi="Courier New" w:cs="Courier New"/>
          <w:sz w:val="19"/>
          <w:szCs w:val="19"/>
        </w:rPr>
        <w:t>Ch 21.x; PDPL</w:t>
      </w:r>
      <w:r>
        <w:t>).  Consent is a first-class, granular, revocable record per data source. Ingestion, reasoning and retention all check consent state. Data residency and retention schedules are configured per launch market and enforced in the data layer.</w:t>
      </w:r>
    </w:p>
    <w:p w14:paraId="79E517C6" w14:textId="77777777" w:rsidR="00570271" w:rsidRDefault="00C213F8">
      <w:pPr>
        <w:pBdr>
          <w:left w:val="single" w:sz="18" w:space="8" w:color="C6A15B"/>
        </w:pBdr>
        <w:spacing w:before="60" w:after="140"/>
        <w:ind w:left="200"/>
      </w:pPr>
      <w:r>
        <w:rPr>
          <w:b/>
          <w:bCs/>
          <w:color w:val="9A7B2E"/>
          <w:sz w:val="20"/>
          <w:szCs w:val="20"/>
        </w:rPr>
        <w:t xml:space="preserve">Decision required: </w:t>
      </w:r>
      <w:r>
        <w:rPr>
          <w:sz w:val="20"/>
          <w:szCs w:val="20"/>
        </w:rPr>
        <w:t>Erasure architecture (crypto-shred + accept replay loss is recommended) and the consent / data-residency model per launch market. Confirm with counsel. See D2, D8. Not legal advice.</w:t>
      </w:r>
    </w:p>
    <w:p w14:paraId="79E517C7" w14:textId="77777777" w:rsidR="00570271" w:rsidRDefault="00C213F8">
      <w:pPr>
        <w:pBdr>
          <w:left w:val="single" w:sz="18" w:space="8" w:color="6F8E5A"/>
        </w:pBdr>
        <w:spacing w:after="130"/>
        <w:ind w:left="200"/>
      </w:pPr>
      <w:r>
        <w:rPr>
          <w:b/>
          <w:bCs/>
          <w:color w:val="6F8E5A"/>
          <w:sz w:val="19"/>
          <w:szCs w:val="19"/>
        </w:rPr>
        <w:t xml:space="preserve">Constitutional basis: </w:t>
      </w:r>
      <w:r>
        <w:rPr>
          <w:i/>
          <w:iCs/>
          <w:color w:val="6B6B6B"/>
          <w:sz w:val="19"/>
          <w:szCs w:val="19"/>
        </w:rPr>
        <w:t>Constitution Ch 11 (memory), Ch 21 (governance); prior WHOOP-compliant Privacy Policy work (insights only, no training on Connected Service data).</w:t>
      </w:r>
    </w:p>
    <w:p w14:paraId="79E517C8" w14:textId="77777777" w:rsidR="00570271" w:rsidRDefault="00C213F8">
      <w:r>
        <w:br w:type="page"/>
      </w:r>
    </w:p>
    <w:p w14:paraId="79E517C9" w14:textId="77777777" w:rsidR="00570271" w:rsidRDefault="00C213F8">
      <w:pPr>
        <w:pStyle w:val="Heading2"/>
        <w:spacing w:before="0" w:after="100"/>
      </w:pPr>
      <w:bookmarkStart w:id="6" w:name="_Toc234486202"/>
      <w:r>
        <w:rPr>
          <w:b/>
          <w:bCs/>
          <w:color w:val="1F2A1C"/>
          <w:sz w:val="25"/>
          <w:szCs w:val="25"/>
        </w:rPr>
        <w:lastRenderedPageBreak/>
        <w:t>4</w:t>
      </w:r>
      <w:proofErr w:type="gramStart"/>
      <w:r>
        <w:rPr>
          <w:b/>
          <w:bCs/>
          <w:color w:val="1F2A1C"/>
          <w:sz w:val="25"/>
          <w:szCs w:val="25"/>
        </w:rPr>
        <w:t>.  Ingestion</w:t>
      </w:r>
      <w:proofErr w:type="gramEnd"/>
      <w:r>
        <w:rPr>
          <w:b/>
          <w:bCs/>
          <w:color w:val="1F2A1C"/>
          <w:sz w:val="25"/>
          <w:szCs w:val="25"/>
        </w:rPr>
        <w:t xml:space="preserve"> drivers and the canonical schema</w:t>
      </w:r>
      <w:bookmarkEnd w:id="6"/>
    </w:p>
    <w:p w14:paraId="79E517CA" w14:textId="77777777" w:rsidR="00570271" w:rsidRDefault="00C213F8">
      <w:pPr>
        <w:spacing w:after="120" w:line="276" w:lineRule="exact"/>
      </w:pPr>
      <w:r>
        <w:t xml:space="preserve">The Reasoning Architecture treats ingestion as solved by “Canonical Translation” (S1). It is in fact a substantial subsystem: connectors, per-source reliability, temporal alignment across devices and </w:t>
      </w:r>
      <w:proofErr w:type="spellStart"/>
      <w:r>
        <w:t>timezones</w:t>
      </w:r>
      <w:proofErr w:type="spellEnd"/>
      <w:r>
        <w:t>, and the handling of gaps and device-off periods. The most consequential decision here is the canonical schema itself.</w:t>
      </w:r>
    </w:p>
    <w:p w14:paraId="79E517CB" w14:textId="77777777" w:rsidR="00570271" w:rsidRDefault="00C213F8">
      <w:pPr>
        <w:pStyle w:val="Heading3"/>
        <w:spacing w:before="180" w:after="80"/>
      </w:pPr>
      <w:proofErr w:type="gramStart"/>
      <w:r>
        <w:rPr>
          <w:b/>
          <w:bCs/>
          <w:color w:val="6F8E5A"/>
          <w:sz w:val="22"/>
          <w:szCs w:val="22"/>
        </w:rPr>
        <w:t>4.1  Align</w:t>
      </w:r>
      <w:proofErr w:type="gramEnd"/>
      <w:r>
        <w:rPr>
          <w:b/>
          <w:bCs/>
          <w:color w:val="6F8E5A"/>
          <w:sz w:val="22"/>
          <w:szCs w:val="22"/>
        </w:rPr>
        <w:t xml:space="preserve"> to FHIR and LOINC rather than inventing a schema</w:t>
      </w:r>
    </w:p>
    <w:p w14:paraId="79E517CC" w14:textId="77777777" w:rsidR="00570271" w:rsidRDefault="00C213F8">
      <w:pPr>
        <w:spacing w:after="120" w:line="276" w:lineRule="exact"/>
      </w:pPr>
      <w:r>
        <w:t xml:space="preserve">A bespoke canonical schema is a liability: it is not clinically interoperable, not credible to a clinician or regulator, and a wall between </w:t>
      </w:r>
      <w:proofErr w:type="spellStart"/>
      <w:r>
        <w:t>BioSense</w:t>
      </w:r>
      <w:proofErr w:type="spellEnd"/>
      <w:r>
        <w:t xml:space="preserve"> and any future clinical integration. Aligning the canonical representation to </w:t>
      </w:r>
      <w:r>
        <w:rPr>
          <w:b/>
          <w:bCs/>
        </w:rPr>
        <w:t>FHIR</w:t>
      </w:r>
      <w:r>
        <w:t xml:space="preserve"> resources (Observation, </w:t>
      </w:r>
      <w:proofErr w:type="spellStart"/>
      <w:r>
        <w:t>DiagnosticReport</w:t>
      </w:r>
      <w:proofErr w:type="spellEnd"/>
      <w:r>
        <w:t xml:space="preserve">, Patient) and coding lab results to </w:t>
      </w:r>
      <w:r>
        <w:rPr>
          <w:b/>
          <w:bCs/>
        </w:rPr>
        <w:t>LOINC</w:t>
      </w:r>
      <w:r>
        <w:t xml:space="preserve"> makes the platform interoperable and clinically legible from the start, at modest additional early cost.</w:t>
      </w:r>
    </w:p>
    <w:p w14:paraId="79E517CD" w14:textId="77777777" w:rsidR="00570271" w:rsidRDefault="00C213F8">
      <w:pPr>
        <w:spacing w:after="120" w:line="276" w:lineRule="exact"/>
      </w:pPr>
      <w:r>
        <w:rPr>
          <w:b/>
          <w:bCs/>
        </w:rPr>
        <w:t xml:space="preserve">ER-30 </w:t>
      </w:r>
      <w:r>
        <w:t>(</w:t>
      </w:r>
      <w:r>
        <w:rPr>
          <w:rFonts w:ascii="Courier New" w:eastAsia="Courier New" w:hAnsi="Courier New" w:cs="Courier New"/>
          <w:sz w:val="19"/>
          <w:szCs w:val="19"/>
        </w:rPr>
        <w:t>RA S1</w:t>
      </w:r>
      <w:r>
        <w:t xml:space="preserve">).  The canonical schema </w:t>
      </w:r>
      <w:proofErr w:type="gramStart"/>
      <w:r>
        <w:t>aligns to</w:t>
      </w:r>
      <w:proofErr w:type="gramEnd"/>
      <w:r>
        <w:t xml:space="preserve"> FHIR resources and codes clinical measurements with standard terminologies (LOINC for labs). Every ingestion driver maps its source to this canonical representation; the DHM stores canonical values in it.</w:t>
      </w:r>
    </w:p>
    <w:p w14:paraId="79E517CE" w14:textId="77777777" w:rsidR="00570271" w:rsidRDefault="00C213F8">
      <w:pPr>
        <w:pStyle w:val="Heading3"/>
        <w:spacing w:before="180" w:after="80"/>
      </w:pPr>
      <w:proofErr w:type="gramStart"/>
      <w:r>
        <w:rPr>
          <w:b/>
          <w:bCs/>
          <w:color w:val="6F8E5A"/>
          <w:sz w:val="22"/>
          <w:szCs w:val="22"/>
        </w:rPr>
        <w:t>4.2  Per</w:t>
      </w:r>
      <w:proofErr w:type="gramEnd"/>
      <w:r>
        <w:rPr>
          <w:b/>
          <w:bCs/>
          <w:color w:val="6F8E5A"/>
          <w:sz w:val="22"/>
          <w:szCs w:val="22"/>
        </w:rPr>
        <w:t>-source reliability and absence-of-data</w:t>
      </w:r>
    </w:p>
    <w:p w14:paraId="79E517CF" w14:textId="77777777" w:rsidR="00570271" w:rsidRDefault="00C213F8">
      <w:pPr>
        <w:spacing w:after="120" w:line="276" w:lineRule="exact"/>
      </w:pPr>
      <w:r>
        <w:t xml:space="preserve">Each source is a driver with a </w:t>
      </w:r>
      <w:r>
        <w:rPr>
          <w:b/>
          <w:bCs/>
        </w:rPr>
        <w:t>reliability profile</w:t>
      </w:r>
      <w:r>
        <w:t xml:space="preserve"> — device accuracy priors that feed the data-confidence assigned at S1, so a consumer wearable's reading and a clinical </w:t>
      </w:r>
      <w:proofErr w:type="gramStart"/>
      <w:r>
        <w:t>lab's</w:t>
      </w:r>
      <w:proofErr w:type="gramEnd"/>
      <w:r>
        <w:t xml:space="preserve"> are not treated as equally trustworthy. Missing data is a reasoned state, not silence: a device worn intermittently, a gap in a stream, or an un-drawn panel must be handled explicitly, because “no data” must never be read as “normal.”</w:t>
      </w:r>
    </w:p>
    <w:p w14:paraId="79E517D0" w14:textId="77777777" w:rsidR="00570271" w:rsidRDefault="00C213F8">
      <w:pPr>
        <w:spacing w:after="120" w:line="276" w:lineRule="exact"/>
      </w:pPr>
      <w:r>
        <w:rPr>
          <w:b/>
          <w:bCs/>
        </w:rPr>
        <w:t xml:space="preserve">ER-31 </w:t>
      </w:r>
      <w:r>
        <w:t>(</w:t>
      </w:r>
      <w:r>
        <w:rPr>
          <w:rFonts w:ascii="Courier New" w:eastAsia="Courier New" w:hAnsi="Courier New" w:cs="Courier New"/>
          <w:sz w:val="19"/>
          <w:szCs w:val="19"/>
        </w:rPr>
        <w:t>RA S1, S6</w:t>
      </w:r>
      <w:r>
        <w:t xml:space="preserve">).  Every source carries a reliability profile that </w:t>
      </w:r>
      <w:proofErr w:type="spellStart"/>
      <w:r>
        <w:t>parameterises</w:t>
      </w:r>
      <w:proofErr w:type="spellEnd"/>
      <w:r>
        <w:t xml:space="preserve"> the data-confidence set at S1. Absence of data is represented and reasoned about explicitly; the engine never infers normality from missing data.</w:t>
      </w:r>
    </w:p>
    <w:p w14:paraId="79E517D1" w14:textId="77777777" w:rsidR="00570271" w:rsidRDefault="00C213F8">
      <w:pPr>
        <w:pBdr>
          <w:left w:val="single" w:sz="18" w:space="8" w:color="6F8E5A"/>
        </w:pBdr>
        <w:spacing w:after="130"/>
        <w:ind w:left="200"/>
      </w:pPr>
      <w:r>
        <w:rPr>
          <w:b/>
          <w:bCs/>
          <w:color w:val="6F8E5A"/>
          <w:sz w:val="19"/>
          <w:szCs w:val="19"/>
        </w:rPr>
        <w:t xml:space="preserve">Constitutional basis: </w:t>
      </w:r>
      <w:r>
        <w:rPr>
          <w:i/>
          <w:iCs/>
          <w:color w:val="6B6B6B"/>
          <w:sz w:val="19"/>
          <w:szCs w:val="19"/>
        </w:rPr>
        <w:t>Reasoning Architecture S1 (validation &amp; canonical translation), S6 (confidence).</w:t>
      </w:r>
    </w:p>
    <w:p w14:paraId="79E517D2" w14:textId="77777777" w:rsidR="00570271" w:rsidRDefault="00C213F8">
      <w:r>
        <w:br w:type="page"/>
      </w:r>
    </w:p>
    <w:p w14:paraId="79E517D3" w14:textId="77777777" w:rsidR="00570271" w:rsidRDefault="00C213F8">
      <w:pPr>
        <w:pStyle w:val="Heading1"/>
        <w:spacing w:before="0" w:after="140"/>
      </w:pPr>
      <w:bookmarkStart w:id="7" w:name="_Toc234486203"/>
      <w:r>
        <w:rPr>
          <w:b/>
          <w:bCs/>
          <w:color w:val="6F8E5A"/>
          <w:sz w:val="30"/>
          <w:szCs w:val="30"/>
        </w:rPr>
        <w:lastRenderedPageBreak/>
        <w:t xml:space="preserve">Part </w:t>
      </w:r>
      <w:proofErr w:type="gramStart"/>
      <w:r>
        <w:rPr>
          <w:b/>
          <w:bCs/>
          <w:color w:val="6F8E5A"/>
          <w:sz w:val="30"/>
          <w:szCs w:val="30"/>
        </w:rPr>
        <w:t>III  ·</w:t>
      </w:r>
      <w:proofErr w:type="gramEnd"/>
      <w:r>
        <w:rPr>
          <w:b/>
          <w:bCs/>
          <w:color w:val="6F8E5A"/>
          <w:sz w:val="30"/>
          <w:szCs w:val="30"/>
        </w:rPr>
        <w:t xml:space="preserve">  Governance layers</w:t>
      </w:r>
      <w:bookmarkEnd w:id="7"/>
    </w:p>
    <w:p w14:paraId="79E517D4" w14:textId="77777777" w:rsidR="00570271" w:rsidRDefault="00C213F8">
      <w:pPr>
        <w:pStyle w:val="Heading2"/>
        <w:spacing w:before="260" w:after="100"/>
      </w:pPr>
      <w:bookmarkStart w:id="8" w:name="_Toc234486204"/>
      <w:r>
        <w:rPr>
          <w:b/>
          <w:bCs/>
          <w:color w:val="1F2A1C"/>
          <w:sz w:val="25"/>
          <w:szCs w:val="25"/>
        </w:rPr>
        <w:t>5</w:t>
      </w:r>
      <w:proofErr w:type="gramStart"/>
      <w:r>
        <w:rPr>
          <w:b/>
          <w:bCs/>
          <w:color w:val="1F2A1C"/>
          <w:sz w:val="25"/>
          <w:szCs w:val="25"/>
        </w:rPr>
        <w:t>.  Regulatory</w:t>
      </w:r>
      <w:proofErr w:type="gramEnd"/>
      <w:r>
        <w:rPr>
          <w:b/>
          <w:bCs/>
          <w:color w:val="1F2A1C"/>
          <w:sz w:val="25"/>
          <w:szCs w:val="25"/>
        </w:rPr>
        <w:t xml:space="preserve"> and clinical positioning</w:t>
      </w:r>
      <w:bookmarkEnd w:id="8"/>
    </w:p>
    <w:p w14:paraId="79E517D5" w14:textId="77777777" w:rsidR="00570271" w:rsidRDefault="00C213F8">
      <w:pPr>
        <w:spacing w:after="120" w:line="276" w:lineRule="exact"/>
      </w:pPr>
      <w:r>
        <w:t xml:space="preserve">The line between “wellness insights” and a “medical device / diagnosis” is legally load-bearing, and the entire “insights, not diagnosis” stance is in part a regulatory strategy. That strategy </w:t>
      </w:r>
      <w:proofErr w:type="gramStart"/>
      <w:r>
        <w:t>has to</w:t>
      </w:r>
      <w:proofErr w:type="gramEnd"/>
      <w:r>
        <w:t xml:space="preserve"> be enforced </w:t>
      </w:r>
      <w:r>
        <w:rPr>
          <w:b/>
          <w:bCs/>
        </w:rPr>
        <w:t>architecturally</w:t>
      </w:r>
      <w:r>
        <w:t>, not merely stated: it shapes the safety engine's language, the disclaimers, what the system may assert, and where the human sits in the loop.</w:t>
      </w:r>
    </w:p>
    <w:p w14:paraId="79E517D6" w14:textId="77777777" w:rsidR="00570271" w:rsidRDefault="00C213F8">
      <w:pPr>
        <w:spacing w:after="120" w:line="276" w:lineRule="exact"/>
      </w:pPr>
      <w:r>
        <w:t xml:space="preserve">The determining question in most regimes is whether the software is intended to diagnose, treat, prevent or predict disease, or merely to provide general wellness information. </w:t>
      </w:r>
      <w:proofErr w:type="spellStart"/>
      <w:r>
        <w:t>BioSense's</w:t>
      </w:r>
      <w:proofErr w:type="spellEnd"/>
      <w:r>
        <w:t xml:space="preserve"> safety-escalation feature — “prompt a medical assessment” — sits close to that line and must be worded and bounded with care. Jurisdictions diverge: the UAE has its own medical-device and health-data framework; EU MDR may classify qualifying medical software as a device (potentially Class IIa under the software rule); the US distinguishes wellness enforcement discretion from regulated clinical-decision-support and SaMD. These are not equivalent, and the platform will touch several.</w:t>
      </w:r>
    </w:p>
    <w:p w14:paraId="79E517D7" w14:textId="77777777" w:rsidR="00570271" w:rsidRDefault="00C213F8">
      <w:pPr>
        <w:spacing w:after="120" w:line="276" w:lineRule="exact"/>
      </w:pPr>
      <w:r>
        <w:rPr>
          <w:b/>
          <w:bCs/>
        </w:rPr>
        <w:t xml:space="preserve">ER-32 </w:t>
      </w:r>
      <w:r>
        <w:t>(</w:t>
      </w:r>
      <w:r>
        <w:rPr>
          <w:rFonts w:ascii="Courier New" w:eastAsia="Courier New" w:hAnsi="Courier New" w:cs="Courier New"/>
          <w:sz w:val="19"/>
          <w:szCs w:val="19"/>
        </w:rPr>
        <w:t>Ch 4.6, 5.2; regulatory</w:t>
      </w:r>
      <w:r>
        <w:t xml:space="preserve">).  The regulatory stance is an architectural input. </w:t>
      </w:r>
      <w:proofErr w:type="spellStart"/>
      <w:r>
        <w:t>BioSense</w:t>
      </w:r>
      <w:proofErr w:type="spellEnd"/>
      <w:r>
        <w:t xml:space="preserve"> is designed to the most conservative market it will touch: the safety engine's language, the disclaimers, and the human-in-the-loop boundary are set so the system informs and escalates but does not diagnose. A formal, written classification opinion is obtained per launch market before general availability.</w:t>
      </w:r>
    </w:p>
    <w:p w14:paraId="79E517D8" w14:textId="77777777" w:rsidR="00570271" w:rsidRDefault="00C213F8">
      <w:pPr>
        <w:pBdr>
          <w:left w:val="single" w:sz="18" w:space="8" w:color="C6A15B"/>
        </w:pBdr>
        <w:spacing w:before="60" w:after="140"/>
        <w:ind w:left="200"/>
      </w:pPr>
      <w:r>
        <w:rPr>
          <w:b/>
          <w:bCs/>
          <w:color w:val="9A7B2E"/>
          <w:sz w:val="20"/>
          <w:szCs w:val="20"/>
        </w:rPr>
        <w:t xml:space="preserve">Decision required: </w:t>
      </w:r>
      <w:r>
        <w:rPr>
          <w:sz w:val="20"/>
          <w:szCs w:val="20"/>
        </w:rPr>
        <w:t>Formal regulatory classification per market (UAE first; EU/US on expansion). Blocks GA scope and fixes the safety-engine language. Engage regulatory counsel. See D1. This document is not legal advice.</w:t>
      </w:r>
    </w:p>
    <w:p w14:paraId="79E517D9" w14:textId="77777777" w:rsidR="00570271" w:rsidRDefault="00C213F8">
      <w:pPr>
        <w:pStyle w:val="Heading2"/>
        <w:spacing w:before="260" w:after="100"/>
      </w:pPr>
      <w:bookmarkStart w:id="9" w:name="_Toc234486205"/>
      <w:r>
        <w:rPr>
          <w:b/>
          <w:bCs/>
          <w:color w:val="1F2A1C"/>
          <w:sz w:val="25"/>
          <w:szCs w:val="25"/>
        </w:rPr>
        <w:t>6</w:t>
      </w:r>
      <w:proofErr w:type="gramStart"/>
      <w:r>
        <w:rPr>
          <w:b/>
          <w:bCs/>
          <w:color w:val="1F2A1C"/>
          <w:sz w:val="25"/>
          <w:szCs w:val="25"/>
        </w:rPr>
        <w:t>.  Clinical</w:t>
      </w:r>
      <w:proofErr w:type="gramEnd"/>
      <w:r>
        <w:rPr>
          <w:b/>
          <w:bCs/>
          <w:color w:val="1F2A1C"/>
          <w:sz w:val="25"/>
          <w:szCs w:val="25"/>
        </w:rPr>
        <w:t xml:space="preserve"> governance and adverse events</w:t>
      </w:r>
      <w:bookmarkEnd w:id="9"/>
    </w:p>
    <w:p w14:paraId="79E517DA" w14:textId="77777777" w:rsidR="00570271" w:rsidRDefault="00C213F8">
      <w:pPr>
        <w:spacing w:after="120" w:line="276" w:lineRule="exact"/>
      </w:pPr>
      <w:r>
        <w:t xml:space="preserve">The Constitution names a medical advisory function (21.7) but never </w:t>
      </w:r>
      <w:proofErr w:type="spellStart"/>
      <w:r>
        <w:t>operationalises</w:t>
      </w:r>
      <w:proofErr w:type="spellEnd"/>
      <w:r>
        <w:t xml:space="preserve"> it. A health platform needs a standing clinical governance layer with real authority and a real feedback loop.</w:t>
      </w:r>
    </w:p>
    <w:p w14:paraId="79E517DB" w14:textId="77777777" w:rsidR="00570271" w:rsidRDefault="00C213F8">
      <w:pPr>
        <w:pStyle w:val="ListParagraph"/>
        <w:numPr>
          <w:ilvl w:val="0"/>
          <w:numId w:val="1"/>
        </w:numPr>
        <w:spacing w:after="70" w:line="270" w:lineRule="exact"/>
      </w:pPr>
      <w:r>
        <w:rPr>
          <w:b/>
          <w:bCs/>
        </w:rPr>
        <w:t xml:space="preserve">Authority.  </w:t>
      </w:r>
      <w:r>
        <w:t>A clinical review board owns the safety rules (§7 below / RA 7.1), signs off Library entries (ER-27) and clears model releases (§7).</w:t>
      </w:r>
    </w:p>
    <w:p w14:paraId="79E517DC" w14:textId="77777777" w:rsidR="00570271" w:rsidRDefault="00C213F8">
      <w:pPr>
        <w:pStyle w:val="ListParagraph"/>
        <w:numPr>
          <w:ilvl w:val="0"/>
          <w:numId w:val="1"/>
        </w:numPr>
        <w:spacing w:after="70" w:line="270" w:lineRule="exact"/>
      </w:pPr>
      <w:r>
        <w:rPr>
          <w:b/>
          <w:bCs/>
        </w:rPr>
        <w:t xml:space="preserve">Adverse-event capture.  </w:t>
      </w:r>
      <w:r>
        <w:t>Users can report harm or a near-miss; every report is triaged and reviewed within a defined SLA, in a pharmacovigilance-style loop.</w:t>
      </w:r>
    </w:p>
    <w:p w14:paraId="79E517DD" w14:textId="77777777" w:rsidR="00570271" w:rsidRDefault="00C213F8">
      <w:pPr>
        <w:pStyle w:val="ListParagraph"/>
        <w:numPr>
          <w:ilvl w:val="0"/>
          <w:numId w:val="1"/>
        </w:numPr>
        <w:spacing w:after="70" w:line="270" w:lineRule="exact"/>
      </w:pPr>
      <w:r>
        <w:rPr>
          <w:b/>
          <w:bCs/>
        </w:rPr>
        <w:t xml:space="preserve">Feedback.  </w:t>
      </w:r>
      <w:r>
        <w:t>Findings from adverse events feed back into safety rules, Library entries and the validation harness — the system learns from its failures under human control.</w:t>
      </w:r>
    </w:p>
    <w:p w14:paraId="79E517DE" w14:textId="77777777" w:rsidR="00570271" w:rsidRDefault="00C213F8">
      <w:pPr>
        <w:spacing w:after="120" w:line="276" w:lineRule="exact"/>
      </w:pPr>
      <w:r>
        <w:rPr>
          <w:b/>
          <w:bCs/>
        </w:rPr>
        <w:t xml:space="preserve">ER-33 </w:t>
      </w:r>
      <w:r>
        <w:t>(</w:t>
      </w:r>
      <w:r>
        <w:rPr>
          <w:rFonts w:ascii="Courier New" w:eastAsia="Courier New" w:hAnsi="Courier New" w:cs="Courier New"/>
          <w:sz w:val="19"/>
          <w:szCs w:val="19"/>
        </w:rPr>
        <w:t>Ch 21.7</w:t>
      </w:r>
      <w:r>
        <w:t>).  A clinical review board holds sign-off authority over safety rules, Library entries and model releases. An adverse-event and near-miss reporting pathway exists, with defined triage and review SLAs, and its findings feed back into the safety rules and the validation harness.</w:t>
      </w:r>
    </w:p>
    <w:p w14:paraId="79E517DF" w14:textId="77777777" w:rsidR="00570271" w:rsidRDefault="00C213F8">
      <w:r>
        <w:br w:type="page"/>
      </w:r>
    </w:p>
    <w:p w14:paraId="79E517E0" w14:textId="77777777" w:rsidR="00570271" w:rsidRDefault="00C213F8">
      <w:pPr>
        <w:pStyle w:val="Heading2"/>
        <w:spacing w:before="0" w:after="100"/>
      </w:pPr>
      <w:bookmarkStart w:id="10" w:name="_Toc234486206"/>
      <w:r>
        <w:rPr>
          <w:b/>
          <w:bCs/>
          <w:color w:val="1F2A1C"/>
          <w:sz w:val="25"/>
          <w:szCs w:val="25"/>
        </w:rPr>
        <w:lastRenderedPageBreak/>
        <w:t>7</w:t>
      </w:r>
      <w:proofErr w:type="gramStart"/>
      <w:r>
        <w:rPr>
          <w:b/>
          <w:bCs/>
          <w:color w:val="1F2A1C"/>
          <w:sz w:val="25"/>
          <w:szCs w:val="25"/>
        </w:rPr>
        <w:t>.  Model</w:t>
      </w:r>
      <w:proofErr w:type="gramEnd"/>
      <w:r>
        <w:rPr>
          <w:b/>
          <w:bCs/>
          <w:color w:val="1F2A1C"/>
          <w:sz w:val="25"/>
          <w:szCs w:val="25"/>
        </w:rPr>
        <w:t xml:space="preserve"> lifecycle governance (the kernel-upgrade process)</w:t>
      </w:r>
      <w:bookmarkEnd w:id="10"/>
    </w:p>
    <w:p w14:paraId="79E517E1" w14:textId="77777777" w:rsidR="00570271" w:rsidRDefault="00C213F8">
      <w:pPr>
        <w:spacing w:after="120" w:line="276" w:lineRule="exact"/>
      </w:pPr>
      <w:r>
        <w:t xml:space="preserve">The architecture version-pins the </w:t>
      </w:r>
      <w:proofErr w:type="gramStart"/>
      <w:r>
        <w:t>Library</w:t>
      </w:r>
      <w:proofErr w:type="gramEnd"/>
      <w:r>
        <w:t xml:space="preserve"> and the belief state, but not the reasoning model itself. The substrate is a language model that will be upgraded, swapped or deprecated by its provider — and when it changes, interpretations change, which silently breaks the promise that understanding evolves coherently rather than lurching. This is the kernel-upgrade process of the OS, and it is currently absent.</w:t>
      </w:r>
    </w:p>
    <w:p w14:paraId="79E517E2" w14:textId="77777777" w:rsidR="00570271" w:rsidRDefault="00C213F8">
      <w:pPr>
        <w:spacing w:after="120" w:line="276" w:lineRule="exact"/>
      </w:pPr>
      <w:r>
        <w:rPr>
          <w:b/>
          <w:bCs/>
        </w:rPr>
        <w:t xml:space="preserve">ER-34 </w:t>
      </w:r>
      <w:r>
        <w:t>(</w:t>
      </w:r>
      <w:r>
        <w:rPr>
          <w:rFonts w:ascii="Courier New" w:eastAsia="Courier New" w:hAnsi="Courier New" w:cs="Courier New"/>
          <w:sz w:val="19"/>
          <w:szCs w:val="19"/>
        </w:rPr>
        <w:t>RA 7.5, ER-21</w:t>
      </w:r>
      <w:r>
        <w:t>).  No model reaches users without passing the validation harness (§9), including a non-regression check on safety escalation: a candidate model that regresses on fail-to-escalate cases cannot ship, full stop.</w:t>
      </w:r>
    </w:p>
    <w:p w14:paraId="79E517E3" w14:textId="77777777" w:rsidR="00570271" w:rsidRDefault="00C213F8">
      <w:pPr>
        <w:spacing w:after="120" w:line="276" w:lineRule="exact"/>
      </w:pPr>
      <w:r>
        <w:rPr>
          <w:b/>
          <w:bCs/>
        </w:rPr>
        <w:t xml:space="preserve">ER-35 </w:t>
      </w:r>
      <w:r>
        <w:t>(</w:t>
      </w:r>
      <w:r>
        <w:rPr>
          <w:rFonts w:ascii="Courier New" w:eastAsia="Courier New" w:hAnsi="Courier New" w:cs="Courier New"/>
          <w:sz w:val="19"/>
          <w:szCs w:val="19"/>
        </w:rPr>
        <w:t>Ch 8.5, 16.x</w:t>
      </w:r>
      <w:r>
        <w:t xml:space="preserve">).  Before a model change reaches </w:t>
      </w:r>
      <w:proofErr w:type="gramStart"/>
      <w:r>
        <w:t>users</w:t>
      </w:r>
      <w:proofErr w:type="gramEnd"/>
      <w:r>
        <w:t xml:space="preserve"> it is compared against the incumbent on a holdout (shadow deployment). Where the new model materially shifts existing users' belief states, the change is gated and the shift is communicated rather than applied silently. Rollback is always available, and the model version is recorded in every reasoning trace.</w:t>
      </w:r>
    </w:p>
    <w:p w14:paraId="79E517E4" w14:textId="77777777" w:rsidR="00570271" w:rsidRDefault="00C213F8">
      <w:pPr>
        <w:spacing w:after="120" w:line="276" w:lineRule="exact"/>
      </w:pPr>
      <w:r>
        <w:rPr>
          <w:b/>
          <w:bCs/>
        </w:rPr>
        <w:t xml:space="preserve">ER-36 </w:t>
      </w:r>
      <w:r>
        <w:t>(</w:t>
      </w:r>
      <w:r>
        <w:rPr>
          <w:rFonts w:ascii="Courier New" w:eastAsia="Courier New" w:hAnsi="Courier New" w:cs="Courier New"/>
          <w:sz w:val="19"/>
          <w:szCs w:val="19"/>
        </w:rPr>
        <w:t>resilience</w:t>
      </w:r>
      <w:r>
        <w:t xml:space="preserve">).  The reasoning substrate sits behind an abstraction so </w:t>
      </w:r>
      <w:proofErr w:type="spellStart"/>
      <w:r>
        <w:t>BioSense</w:t>
      </w:r>
      <w:proofErr w:type="spellEnd"/>
      <w:r>
        <w:t xml:space="preserve"> is not locked to a single provider and can meet the continuity its multi-year promise to users implies.</w:t>
      </w:r>
    </w:p>
    <w:p w14:paraId="79E517E5" w14:textId="77777777" w:rsidR="00570271" w:rsidRDefault="00C213F8">
      <w:pPr>
        <w:pBdr>
          <w:left w:val="single" w:sz="18" w:space="8" w:color="C6A15B"/>
        </w:pBdr>
        <w:spacing w:before="60" w:after="140"/>
        <w:ind w:left="200"/>
      </w:pPr>
      <w:r>
        <w:rPr>
          <w:b/>
          <w:bCs/>
          <w:color w:val="9A7B2E"/>
          <w:sz w:val="20"/>
          <w:szCs w:val="20"/>
        </w:rPr>
        <w:t xml:space="preserve">Decision required: </w:t>
      </w:r>
      <w:r>
        <w:rPr>
          <w:sz w:val="20"/>
          <w:szCs w:val="20"/>
        </w:rPr>
        <w:t>Model-provider abstraction and multi-vendor stance (how much portability to engineer now). See D5.</w:t>
      </w:r>
    </w:p>
    <w:p w14:paraId="79E517E6" w14:textId="77777777" w:rsidR="00570271" w:rsidRDefault="00C213F8">
      <w:pPr>
        <w:pStyle w:val="Heading2"/>
        <w:spacing w:before="260" w:after="100"/>
      </w:pPr>
      <w:bookmarkStart w:id="11" w:name="_Toc234486207"/>
      <w:r>
        <w:rPr>
          <w:b/>
          <w:bCs/>
          <w:color w:val="1F2A1C"/>
          <w:sz w:val="25"/>
          <w:szCs w:val="25"/>
        </w:rPr>
        <w:t>8</w:t>
      </w:r>
      <w:proofErr w:type="gramStart"/>
      <w:r>
        <w:rPr>
          <w:b/>
          <w:bCs/>
          <w:color w:val="1F2A1C"/>
          <w:sz w:val="25"/>
          <w:szCs w:val="25"/>
        </w:rPr>
        <w:t>.  Learning</w:t>
      </w:r>
      <w:proofErr w:type="gramEnd"/>
      <w:r>
        <w:rPr>
          <w:b/>
          <w:bCs/>
          <w:color w:val="1F2A1C"/>
          <w:sz w:val="25"/>
          <w:szCs w:val="25"/>
        </w:rPr>
        <w:t xml:space="preserve"> governance</w:t>
      </w:r>
      <w:bookmarkEnd w:id="11"/>
    </w:p>
    <w:p w14:paraId="79E517E7" w14:textId="77777777" w:rsidR="00570271" w:rsidRDefault="00C213F8">
      <w:pPr>
        <w:spacing w:after="120" w:line="276" w:lineRule="exact"/>
      </w:pPr>
      <w:r>
        <w:t xml:space="preserve">The Constitution wants continuous improvement; that improvement must not drift unsupervised. The dividing line is simple and must be enforced: automated processes may </w:t>
      </w:r>
      <w:proofErr w:type="gramStart"/>
      <w:r>
        <w:t>refine, but</w:t>
      </w:r>
      <w:proofErr w:type="gramEnd"/>
      <w:r>
        <w:t xml:space="preserve"> may never alter a system-enforced component.</w:t>
      </w:r>
    </w:p>
    <w:tbl>
      <w:tblPr>
        <w:tblW w:w="9026" w:type="dxa"/>
        <w:tblLayout w:type="fixed"/>
        <w:tblCellMar>
          <w:top w:w="60" w:type="dxa"/>
          <w:left w:w="90" w:type="dxa"/>
          <w:bottom w:w="60" w:type="dxa"/>
          <w:right w:w="90" w:type="dxa"/>
        </w:tblCellMar>
        <w:tblLook w:val="04A0" w:firstRow="1" w:lastRow="0" w:firstColumn="1" w:lastColumn="0" w:noHBand="0" w:noVBand="1"/>
      </w:tblPr>
      <w:tblGrid>
        <w:gridCol w:w="4400"/>
        <w:gridCol w:w="4626"/>
      </w:tblGrid>
      <w:tr w:rsidR="00570271" w14:paraId="79E517EA" w14:textId="77777777">
        <w:trPr>
          <w:tblHeader/>
        </w:trPr>
        <w:tc>
          <w:tcPr>
            <w:tcW w:w="4400" w:type="dxa"/>
            <w:tcBorders>
              <w:top w:val="single" w:sz="4" w:space="0" w:color="C9D6BC"/>
              <w:left w:val="single" w:sz="4" w:space="0" w:color="C9D6BC"/>
              <w:bottom w:val="single" w:sz="2" w:space="0" w:color="C9D6BC"/>
              <w:right w:val="single" w:sz="2" w:space="0" w:color="C9D6BC"/>
            </w:tcBorders>
            <w:shd w:val="clear" w:color="auto" w:fill="6F8E5A"/>
          </w:tcPr>
          <w:p w14:paraId="79E517E8" w14:textId="77777777" w:rsidR="00570271" w:rsidRDefault="00C213F8">
            <w:pPr>
              <w:spacing w:after="40" w:line="250" w:lineRule="exact"/>
            </w:pPr>
            <w:r>
              <w:rPr>
                <w:b/>
                <w:bCs/>
                <w:color w:val="FFFFFF"/>
                <w:sz w:val="19"/>
                <w:szCs w:val="19"/>
              </w:rPr>
              <w:t>May update automatically</w:t>
            </w:r>
          </w:p>
        </w:tc>
        <w:tc>
          <w:tcPr>
            <w:tcW w:w="4625" w:type="dxa"/>
            <w:tcBorders>
              <w:top w:val="single" w:sz="4" w:space="0" w:color="C9D6BC"/>
              <w:left w:val="single" w:sz="2" w:space="0" w:color="C9D6BC"/>
              <w:bottom w:val="single" w:sz="2" w:space="0" w:color="C9D6BC"/>
              <w:right w:val="single" w:sz="4" w:space="0" w:color="C9D6BC"/>
            </w:tcBorders>
            <w:shd w:val="clear" w:color="auto" w:fill="6F8E5A"/>
          </w:tcPr>
          <w:p w14:paraId="79E517E9" w14:textId="77777777" w:rsidR="00570271" w:rsidRDefault="00C213F8">
            <w:pPr>
              <w:spacing w:after="40" w:line="250" w:lineRule="exact"/>
            </w:pPr>
            <w:r>
              <w:rPr>
                <w:b/>
                <w:bCs/>
                <w:color w:val="FFFFFF"/>
                <w:sz w:val="19"/>
                <w:szCs w:val="19"/>
              </w:rPr>
              <w:t>Requires human sign-off</w:t>
            </w:r>
          </w:p>
        </w:tc>
      </w:tr>
      <w:tr w:rsidR="00570271" w14:paraId="79E517ED" w14:textId="77777777">
        <w:tc>
          <w:tcPr>
            <w:tcW w:w="4400" w:type="dxa"/>
            <w:tcBorders>
              <w:top w:val="single" w:sz="2" w:space="0" w:color="C9D6BC"/>
              <w:left w:val="single" w:sz="4" w:space="0" w:color="C9D6BC"/>
              <w:bottom w:val="single" w:sz="2" w:space="0" w:color="C9D6BC"/>
              <w:right w:val="single" w:sz="2" w:space="0" w:color="C9D6BC"/>
            </w:tcBorders>
          </w:tcPr>
          <w:p w14:paraId="79E517EB" w14:textId="77777777" w:rsidR="00570271" w:rsidRDefault="00C213F8">
            <w:pPr>
              <w:spacing w:after="40" w:line="250" w:lineRule="exact"/>
            </w:pPr>
            <w:r>
              <w:rPr>
                <w:sz w:val="18"/>
                <w:szCs w:val="18"/>
              </w:rPr>
              <w:t xml:space="preserve">Baseline </w:t>
            </w:r>
            <w:proofErr w:type="spellStart"/>
            <w:r>
              <w:rPr>
                <w:sz w:val="18"/>
                <w:szCs w:val="18"/>
              </w:rPr>
              <w:t>recomputation</w:t>
            </w:r>
            <w:proofErr w:type="spellEnd"/>
            <w:r>
              <w:rPr>
                <w:sz w:val="18"/>
                <w:szCs w:val="18"/>
              </w:rPr>
              <w:t xml:space="preserve"> from new observations</w:t>
            </w:r>
          </w:p>
        </w:tc>
        <w:tc>
          <w:tcPr>
            <w:tcW w:w="4625" w:type="dxa"/>
            <w:tcBorders>
              <w:top w:val="single" w:sz="2" w:space="0" w:color="C9D6BC"/>
              <w:left w:val="single" w:sz="2" w:space="0" w:color="C9D6BC"/>
              <w:bottom w:val="single" w:sz="2" w:space="0" w:color="C9D6BC"/>
              <w:right w:val="single" w:sz="4" w:space="0" w:color="C9D6BC"/>
            </w:tcBorders>
          </w:tcPr>
          <w:p w14:paraId="79E517EC" w14:textId="77777777" w:rsidR="00570271" w:rsidRDefault="00C213F8">
            <w:pPr>
              <w:spacing w:after="40" w:line="250" w:lineRule="exact"/>
            </w:pPr>
            <w:r>
              <w:rPr>
                <w:sz w:val="18"/>
                <w:szCs w:val="18"/>
              </w:rPr>
              <w:t>Safety rules (clinical board)</w:t>
            </w:r>
          </w:p>
        </w:tc>
      </w:tr>
      <w:tr w:rsidR="00570271" w14:paraId="79E517F0" w14:textId="77777777">
        <w:tc>
          <w:tcPr>
            <w:tcW w:w="4400" w:type="dxa"/>
            <w:tcBorders>
              <w:top w:val="single" w:sz="2" w:space="0" w:color="C9D6BC"/>
              <w:left w:val="single" w:sz="4" w:space="0" w:color="C9D6BC"/>
              <w:bottom w:val="single" w:sz="2" w:space="0" w:color="C9D6BC"/>
              <w:right w:val="single" w:sz="2" w:space="0" w:color="C9D6BC"/>
            </w:tcBorders>
            <w:shd w:val="clear" w:color="auto" w:fill="EEF2E9"/>
          </w:tcPr>
          <w:p w14:paraId="79E517EE" w14:textId="77777777" w:rsidR="00570271" w:rsidRDefault="00C213F8">
            <w:pPr>
              <w:spacing w:after="40" w:line="250" w:lineRule="exact"/>
            </w:pPr>
            <w:r>
              <w:rPr>
                <w:sz w:val="18"/>
                <w:szCs w:val="18"/>
              </w:rPr>
              <w:t>Calibration monitoring and drift alerts (alert, do not auto-adjust)</w:t>
            </w:r>
          </w:p>
        </w:tc>
        <w:tc>
          <w:tcPr>
            <w:tcW w:w="4625" w:type="dxa"/>
            <w:tcBorders>
              <w:top w:val="single" w:sz="2" w:space="0" w:color="C9D6BC"/>
              <w:left w:val="single" w:sz="2" w:space="0" w:color="C9D6BC"/>
              <w:bottom w:val="single" w:sz="2" w:space="0" w:color="C9D6BC"/>
              <w:right w:val="single" w:sz="4" w:space="0" w:color="C9D6BC"/>
            </w:tcBorders>
            <w:shd w:val="clear" w:color="auto" w:fill="EEF2E9"/>
          </w:tcPr>
          <w:p w14:paraId="79E517EF" w14:textId="77777777" w:rsidR="00570271" w:rsidRDefault="00C213F8">
            <w:pPr>
              <w:spacing w:after="40" w:line="250" w:lineRule="exact"/>
            </w:pPr>
            <w:r>
              <w:rPr>
                <w:sz w:val="18"/>
                <w:szCs w:val="18"/>
              </w:rPr>
              <w:t>Library entries (clinical board)</w:t>
            </w:r>
          </w:p>
        </w:tc>
      </w:tr>
      <w:tr w:rsidR="00570271" w14:paraId="79E517F3" w14:textId="77777777">
        <w:tc>
          <w:tcPr>
            <w:tcW w:w="4400" w:type="dxa"/>
            <w:tcBorders>
              <w:top w:val="single" w:sz="2" w:space="0" w:color="C9D6BC"/>
              <w:left w:val="single" w:sz="4" w:space="0" w:color="C9D6BC"/>
              <w:bottom w:val="single" w:sz="2" w:space="0" w:color="C9D6BC"/>
              <w:right w:val="single" w:sz="2" w:space="0" w:color="C9D6BC"/>
            </w:tcBorders>
          </w:tcPr>
          <w:p w14:paraId="79E517F1" w14:textId="77777777" w:rsidR="00570271" w:rsidRDefault="00C213F8">
            <w:pPr>
              <w:spacing w:after="40" w:line="250" w:lineRule="exact"/>
            </w:pPr>
            <w:r>
              <w:rPr>
                <w:sz w:val="18"/>
                <w:szCs w:val="18"/>
              </w:rPr>
              <w:t>Rolling statistics and expected-variation bands within configured limits</w:t>
            </w:r>
          </w:p>
        </w:tc>
        <w:tc>
          <w:tcPr>
            <w:tcW w:w="4625" w:type="dxa"/>
            <w:tcBorders>
              <w:top w:val="single" w:sz="2" w:space="0" w:color="C9D6BC"/>
              <w:left w:val="single" w:sz="2" w:space="0" w:color="C9D6BC"/>
              <w:bottom w:val="single" w:sz="2" w:space="0" w:color="C9D6BC"/>
              <w:right w:val="single" w:sz="4" w:space="0" w:color="C9D6BC"/>
            </w:tcBorders>
          </w:tcPr>
          <w:p w14:paraId="79E517F2" w14:textId="77777777" w:rsidR="00570271" w:rsidRDefault="00C213F8">
            <w:pPr>
              <w:spacing w:after="40" w:line="250" w:lineRule="exact"/>
            </w:pPr>
            <w:r>
              <w:rPr>
                <w:sz w:val="18"/>
                <w:szCs w:val="18"/>
              </w:rPr>
              <w:t>Model releases and the prompt derivative</w:t>
            </w:r>
          </w:p>
        </w:tc>
      </w:tr>
      <w:tr w:rsidR="00570271" w14:paraId="79E517F6" w14:textId="77777777">
        <w:tc>
          <w:tcPr>
            <w:tcW w:w="4400" w:type="dxa"/>
            <w:tcBorders>
              <w:top w:val="single" w:sz="2" w:space="0" w:color="C9D6BC"/>
              <w:left w:val="single" w:sz="4" w:space="0" w:color="C9D6BC"/>
              <w:bottom w:val="single" w:sz="4" w:space="0" w:color="C9D6BC"/>
              <w:right w:val="single" w:sz="2" w:space="0" w:color="C9D6BC"/>
            </w:tcBorders>
            <w:shd w:val="clear" w:color="auto" w:fill="EEF2E9"/>
          </w:tcPr>
          <w:p w14:paraId="79E517F4" w14:textId="77777777" w:rsidR="00570271" w:rsidRDefault="00C213F8">
            <w:pPr>
              <w:spacing w:after="40" w:line="250" w:lineRule="exact"/>
            </w:pPr>
            <w:r>
              <w:rPr>
                <w:sz w:val="18"/>
                <w:szCs w:val="18"/>
              </w:rPr>
              <w:t>Per-user belief-state updates via the normal reasoning path</w:t>
            </w:r>
          </w:p>
        </w:tc>
        <w:tc>
          <w:tcPr>
            <w:tcW w:w="4625" w:type="dxa"/>
            <w:tcBorders>
              <w:top w:val="single" w:sz="2" w:space="0" w:color="C9D6BC"/>
              <w:left w:val="single" w:sz="2" w:space="0" w:color="C9D6BC"/>
              <w:bottom w:val="single" w:sz="4" w:space="0" w:color="C9D6BC"/>
              <w:right w:val="single" w:sz="4" w:space="0" w:color="C9D6BC"/>
            </w:tcBorders>
            <w:shd w:val="clear" w:color="auto" w:fill="EEF2E9"/>
          </w:tcPr>
          <w:p w14:paraId="79E517F5" w14:textId="77777777" w:rsidR="00570271" w:rsidRDefault="00C213F8">
            <w:pPr>
              <w:spacing w:after="40" w:line="250" w:lineRule="exact"/>
            </w:pPr>
            <w:r>
              <w:rPr>
                <w:sz w:val="18"/>
                <w:szCs w:val="18"/>
              </w:rPr>
              <w:t>The confidence calculus and thresholds θ</w:t>
            </w:r>
          </w:p>
        </w:tc>
      </w:tr>
    </w:tbl>
    <w:p w14:paraId="79E517F7" w14:textId="77777777" w:rsidR="00570271" w:rsidRDefault="00C213F8">
      <w:pPr>
        <w:spacing w:after="120" w:line="276" w:lineRule="exact"/>
      </w:pPr>
      <w:r>
        <w:rPr>
          <w:b/>
          <w:bCs/>
        </w:rPr>
        <w:t xml:space="preserve">ER-37 </w:t>
      </w:r>
      <w:r>
        <w:t>(</w:t>
      </w:r>
      <w:r>
        <w:rPr>
          <w:rFonts w:ascii="Courier New" w:eastAsia="Courier New" w:hAnsi="Courier New" w:cs="Courier New"/>
          <w:sz w:val="19"/>
          <w:szCs w:val="19"/>
        </w:rPr>
        <w:t>RA §2, ER-16</w:t>
      </w:r>
      <w:r>
        <w:t>).  No automated process may modify a system-enforced component (safety rules, grounding, confidence calculus, review gates). Learning is confined to the model-taught and derived-data layers; changes to enforced components require human sign-off.</w:t>
      </w:r>
    </w:p>
    <w:p w14:paraId="79E517F8" w14:textId="77777777" w:rsidR="00570271" w:rsidRDefault="00C213F8">
      <w:pPr>
        <w:spacing w:after="120" w:line="276" w:lineRule="exact"/>
      </w:pPr>
      <w:r>
        <w:rPr>
          <w:b/>
          <w:bCs/>
        </w:rPr>
        <w:t xml:space="preserve">ER-38 </w:t>
      </w:r>
      <w:r>
        <w:t>(</w:t>
      </w:r>
      <w:r>
        <w:rPr>
          <w:rFonts w:ascii="Courier New" w:eastAsia="Courier New" w:hAnsi="Courier New" w:cs="Courier New"/>
          <w:sz w:val="19"/>
          <w:szCs w:val="19"/>
        </w:rPr>
        <w:t>WHOOP privacy position</w:t>
      </w:r>
      <w:r>
        <w:t>).  Learning loops respect the data boundary: Connected Service data covered by the “no training” commitment is barred from any training or fine-tuning pipeline. Calibration on such data is permitted only where consent and contract allow and only in de-identified form.</w:t>
      </w:r>
    </w:p>
    <w:p w14:paraId="79E517F9" w14:textId="77777777" w:rsidR="00570271" w:rsidRDefault="00C213F8">
      <w:r>
        <w:br w:type="page"/>
      </w:r>
    </w:p>
    <w:p w14:paraId="79E517FA" w14:textId="77777777" w:rsidR="00570271" w:rsidRDefault="00C213F8">
      <w:pPr>
        <w:pStyle w:val="Heading1"/>
        <w:spacing w:before="0" w:after="140"/>
      </w:pPr>
      <w:bookmarkStart w:id="12" w:name="_Toc234486208"/>
      <w:r>
        <w:rPr>
          <w:b/>
          <w:bCs/>
          <w:color w:val="6F8E5A"/>
          <w:sz w:val="30"/>
          <w:szCs w:val="30"/>
        </w:rPr>
        <w:lastRenderedPageBreak/>
        <w:t xml:space="preserve">Part </w:t>
      </w:r>
      <w:proofErr w:type="gramStart"/>
      <w:r>
        <w:rPr>
          <w:b/>
          <w:bCs/>
          <w:color w:val="6F8E5A"/>
          <w:sz w:val="30"/>
          <w:szCs w:val="30"/>
        </w:rPr>
        <w:t>IV  ·</w:t>
      </w:r>
      <w:proofErr w:type="gramEnd"/>
      <w:r>
        <w:rPr>
          <w:b/>
          <w:bCs/>
          <w:color w:val="6F8E5A"/>
          <w:sz w:val="30"/>
          <w:szCs w:val="30"/>
        </w:rPr>
        <w:t xml:space="preserve">  Assurance and operations</w:t>
      </w:r>
      <w:bookmarkEnd w:id="12"/>
    </w:p>
    <w:p w14:paraId="79E517FB" w14:textId="77777777" w:rsidR="00570271" w:rsidRDefault="00C213F8">
      <w:pPr>
        <w:pStyle w:val="Heading2"/>
        <w:spacing w:before="260" w:after="100"/>
      </w:pPr>
      <w:bookmarkStart w:id="13" w:name="_Toc234486209"/>
      <w:r>
        <w:rPr>
          <w:b/>
          <w:bCs/>
          <w:color w:val="1F2A1C"/>
          <w:sz w:val="25"/>
          <w:szCs w:val="25"/>
        </w:rPr>
        <w:t>9</w:t>
      </w:r>
      <w:proofErr w:type="gramStart"/>
      <w:r>
        <w:rPr>
          <w:b/>
          <w:bCs/>
          <w:color w:val="1F2A1C"/>
          <w:sz w:val="25"/>
          <w:szCs w:val="25"/>
        </w:rPr>
        <w:t>.  Validation</w:t>
      </w:r>
      <w:proofErr w:type="gramEnd"/>
      <w:r>
        <w:rPr>
          <w:b/>
          <w:bCs/>
          <w:color w:val="1F2A1C"/>
          <w:sz w:val="25"/>
          <w:szCs w:val="25"/>
        </w:rPr>
        <w:t xml:space="preserve"> and safety-assurance harness</w:t>
      </w:r>
      <w:bookmarkEnd w:id="13"/>
    </w:p>
    <w:p w14:paraId="79E517FC" w14:textId="77777777" w:rsidR="00570271" w:rsidRDefault="00C213F8">
      <w:pPr>
        <w:spacing w:after="120" w:line="276" w:lineRule="exact"/>
      </w:pPr>
      <w:r>
        <w:t xml:space="preserve">The calibration loop (RA ER-17) is one instrument, not a validation </w:t>
      </w:r>
      <w:proofErr w:type="spellStart"/>
      <w:r>
        <w:t>programme</w:t>
      </w:r>
      <w:proofErr w:type="spellEnd"/>
      <w:r>
        <w:t>. Distinct from “how it reasons” you need “how we know it is correct and safe.” For a health AI this is the difference between a product and a liability, and it is the evidence a regulator or an acquirer will demand.</w:t>
      </w:r>
    </w:p>
    <w:p w14:paraId="79E517FD" w14:textId="77777777" w:rsidR="00570271" w:rsidRDefault="00C213F8">
      <w:pPr>
        <w:pStyle w:val="ListParagraph"/>
        <w:numPr>
          <w:ilvl w:val="0"/>
          <w:numId w:val="1"/>
        </w:numPr>
        <w:spacing w:after="70" w:line="270" w:lineRule="exact"/>
      </w:pPr>
      <w:r>
        <w:rPr>
          <w:b/>
          <w:bCs/>
        </w:rPr>
        <w:t xml:space="preserve">Golden cases.  </w:t>
      </w:r>
      <w:r>
        <w:t>A curated library of known inputs with expected reasoning and expected escalation, run as a regression suite.</w:t>
      </w:r>
    </w:p>
    <w:p w14:paraId="79E517FE" w14:textId="77777777" w:rsidR="00570271" w:rsidRDefault="00C213F8">
      <w:pPr>
        <w:pStyle w:val="ListParagraph"/>
        <w:numPr>
          <w:ilvl w:val="0"/>
          <w:numId w:val="1"/>
        </w:numPr>
        <w:spacing w:after="70" w:line="270" w:lineRule="exact"/>
      </w:pPr>
      <w:r>
        <w:rPr>
          <w:b/>
          <w:bCs/>
        </w:rPr>
        <w:t xml:space="preserve">Adversarial fail-to-escalate suite.  </w:t>
      </w:r>
      <w:r>
        <w:t>The asymmetric risk in health is the false negative: failing to escalate something dangerous. A dedicated adversarial set probes specifically for this, because it is the catastrophic failure mode.</w:t>
      </w:r>
    </w:p>
    <w:p w14:paraId="79E517FF" w14:textId="77777777" w:rsidR="00570271" w:rsidRDefault="00C213F8">
      <w:pPr>
        <w:pStyle w:val="ListParagraph"/>
        <w:numPr>
          <w:ilvl w:val="0"/>
          <w:numId w:val="1"/>
        </w:numPr>
        <w:spacing w:after="70" w:line="270" w:lineRule="exact"/>
      </w:pPr>
      <w:r>
        <w:rPr>
          <w:b/>
          <w:bCs/>
        </w:rPr>
        <w:t xml:space="preserve">Release gates.  </w:t>
      </w:r>
      <w:r>
        <w:t>The harness runs before any model, Library or prompt change ships. A safety regression blocks the release automatically.</w:t>
      </w:r>
    </w:p>
    <w:p w14:paraId="79E51800" w14:textId="77777777" w:rsidR="00570271" w:rsidRDefault="00C213F8">
      <w:pPr>
        <w:pStyle w:val="ListParagraph"/>
        <w:numPr>
          <w:ilvl w:val="0"/>
          <w:numId w:val="1"/>
        </w:numPr>
        <w:spacing w:after="70" w:line="270" w:lineRule="exact"/>
      </w:pPr>
      <w:r>
        <w:rPr>
          <w:b/>
          <w:bCs/>
        </w:rPr>
        <w:t xml:space="preserve">Clinical validation.  </w:t>
      </w:r>
      <w:r>
        <w:t>Over time, a formal clinical validation study — the strongest evidence, and increasingly a regulatory expectation.</w:t>
      </w:r>
    </w:p>
    <w:p w14:paraId="79E51801" w14:textId="77777777" w:rsidR="00570271" w:rsidRDefault="00C213F8">
      <w:pPr>
        <w:spacing w:after="120" w:line="276" w:lineRule="exact"/>
      </w:pPr>
      <w:r>
        <w:rPr>
          <w:b/>
          <w:bCs/>
        </w:rPr>
        <w:t xml:space="preserve">ER-39 </w:t>
      </w:r>
      <w:r>
        <w:t>(</w:t>
      </w:r>
      <w:r>
        <w:rPr>
          <w:rFonts w:ascii="Courier New" w:eastAsia="Courier New" w:hAnsi="Courier New" w:cs="Courier New"/>
          <w:sz w:val="19"/>
          <w:szCs w:val="19"/>
        </w:rPr>
        <w:t>RA 7.1, 7.5</w:t>
      </w:r>
      <w:r>
        <w:t xml:space="preserve">).  A validation harness of golden and adversarial cases — with explicit fail-to-escalate coverage — gates every change to a model, the </w:t>
      </w:r>
      <w:proofErr w:type="gramStart"/>
      <w:r>
        <w:t>Library</w:t>
      </w:r>
      <w:proofErr w:type="gramEnd"/>
      <w:r>
        <w:t>, the safety rules or the prompt derivative. A safety regression is a hard release blocker.</w:t>
      </w:r>
    </w:p>
    <w:p w14:paraId="79E51802" w14:textId="77777777" w:rsidR="00570271" w:rsidRDefault="00C213F8">
      <w:pPr>
        <w:pStyle w:val="Heading2"/>
        <w:spacing w:before="260" w:after="100"/>
      </w:pPr>
      <w:bookmarkStart w:id="14" w:name="_Toc234486210"/>
      <w:r>
        <w:rPr>
          <w:b/>
          <w:bCs/>
          <w:color w:val="1F2A1C"/>
          <w:sz w:val="25"/>
          <w:szCs w:val="25"/>
        </w:rPr>
        <w:t>10</w:t>
      </w:r>
      <w:proofErr w:type="gramStart"/>
      <w:r>
        <w:rPr>
          <w:b/>
          <w:bCs/>
          <w:color w:val="1F2A1C"/>
          <w:sz w:val="25"/>
          <w:szCs w:val="25"/>
        </w:rPr>
        <w:t>.  Security</w:t>
      </w:r>
      <w:proofErr w:type="gramEnd"/>
      <w:r>
        <w:rPr>
          <w:b/>
          <w:bCs/>
          <w:color w:val="1F2A1C"/>
          <w:sz w:val="25"/>
          <w:szCs w:val="25"/>
        </w:rPr>
        <w:t xml:space="preserve"> architecture for special-category data</w:t>
      </w:r>
      <w:bookmarkEnd w:id="14"/>
    </w:p>
    <w:p w14:paraId="79E51803" w14:textId="77777777" w:rsidR="00570271" w:rsidRDefault="00C213F8">
      <w:pPr>
        <w:spacing w:after="120" w:line="276" w:lineRule="exact"/>
      </w:pPr>
      <w:r>
        <w:t xml:space="preserve">Health data is special-category, and the platform's promises about it must be enforced as data-flow boundaries, not policy sentences. Baseline: encryption in transit and at rest, per-user keys (which also enable the crypto-shred erasure of §3), </w:t>
      </w:r>
      <w:proofErr w:type="gramStart"/>
      <w:r>
        <w:t>least-privilege</w:t>
      </w:r>
      <w:proofErr w:type="gramEnd"/>
      <w:r>
        <w:t xml:space="preserve"> access with audited access to health data, a defined breach-response process, secrets management and a maintained threat model with periodic penetration testing.</w:t>
      </w:r>
    </w:p>
    <w:p w14:paraId="79E51804" w14:textId="77777777" w:rsidR="00570271" w:rsidRDefault="00C213F8">
      <w:pPr>
        <w:spacing w:after="120" w:line="276" w:lineRule="exact"/>
      </w:pPr>
      <w:r>
        <w:rPr>
          <w:b/>
          <w:bCs/>
        </w:rPr>
        <w:t xml:space="preserve">ER-40 </w:t>
      </w:r>
      <w:r>
        <w:t>(</w:t>
      </w:r>
      <w:r>
        <w:rPr>
          <w:rFonts w:ascii="Courier New" w:eastAsia="Courier New" w:hAnsi="Courier New" w:cs="Courier New"/>
          <w:sz w:val="19"/>
          <w:szCs w:val="19"/>
        </w:rPr>
        <w:t>PDPL; WHOOP position</w:t>
      </w:r>
      <w:r>
        <w:t>).  Special-category data is encrypted with per-user keys, access is least-privilege and audited, and the “no training on Connected Service data” commitment is enforced as a tagged data-flow boundary that provably prevents such data from entering training pipelines — not merely a stated policy.</w:t>
      </w:r>
    </w:p>
    <w:p w14:paraId="79E51805" w14:textId="77777777" w:rsidR="00570271" w:rsidRDefault="00C213F8">
      <w:pPr>
        <w:pStyle w:val="Heading2"/>
        <w:spacing w:before="260" w:after="100"/>
      </w:pPr>
      <w:bookmarkStart w:id="15" w:name="_Toc234486211"/>
      <w:r>
        <w:rPr>
          <w:b/>
          <w:bCs/>
          <w:color w:val="1F2A1C"/>
          <w:sz w:val="25"/>
          <w:szCs w:val="25"/>
        </w:rPr>
        <w:t>11</w:t>
      </w:r>
      <w:proofErr w:type="gramStart"/>
      <w:r>
        <w:rPr>
          <w:b/>
          <w:bCs/>
          <w:color w:val="1F2A1C"/>
          <w:sz w:val="25"/>
          <w:szCs w:val="25"/>
        </w:rPr>
        <w:t>.  Operational</w:t>
      </w:r>
      <w:proofErr w:type="gramEnd"/>
      <w:r>
        <w:rPr>
          <w:b/>
          <w:bCs/>
          <w:color w:val="1F2A1C"/>
          <w:sz w:val="25"/>
          <w:szCs w:val="25"/>
        </w:rPr>
        <w:t xml:space="preserve"> observability</w:t>
      </w:r>
      <w:bookmarkEnd w:id="15"/>
    </w:p>
    <w:p w14:paraId="79E51806" w14:textId="77777777" w:rsidR="00570271" w:rsidRDefault="00C213F8">
      <w:pPr>
        <w:spacing w:after="120" w:line="276" w:lineRule="exact"/>
      </w:pPr>
      <w:r>
        <w:t xml:space="preserve">Beyond calibration, the live system needs instruments a clinical-grade platform cannot run </w:t>
      </w:r>
      <w:proofErr w:type="gramStart"/>
      <w:r>
        <w:t>without:</w:t>
      </w:r>
      <w:proofErr w:type="gramEnd"/>
      <w:r>
        <w:t xml:space="preserve"> cost and latency per reasoning path (the unit economics that make Section-4-scale real), input- and output-distribution drift detection, Library-staleness monitoring, and aggregate anomaly alarms — for example, an escalation-rate spike that is either a bug or a real-world signal, and you must know which.</w:t>
      </w:r>
    </w:p>
    <w:p w14:paraId="79E51807" w14:textId="77777777" w:rsidR="00570271" w:rsidRDefault="00C213F8">
      <w:pPr>
        <w:spacing w:after="120" w:line="276" w:lineRule="exact"/>
      </w:pPr>
      <w:r>
        <w:rPr>
          <w:b/>
          <w:bCs/>
        </w:rPr>
        <w:t xml:space="preserve">ER-41 </w:t>
      </w:r>
      <w:r>
        <w:t>(</w:t>
      </w:r>
      <w:r>
        <w:rPr>
          <w:rFonts w:ascii="Courier New" w:eastAsia="Courier New" w:hAnsi="Courier New" w:cs="Courier New"/>
          <w:sz w:val="19"/>
          <w:szCs w:val="19"/>
        </w:rPr>
        <w:t>RA §4; Ch 16.x</w:t>
      </w:r>
      <w:r>
        <w:t>).  The platform monitors, per path, cost and latency, input/output drift, Library staleness and aggregate safety-signal rates, with alarms on anomalous movement. These instruments are available to both the engineering and clinical functions.</w:t>
      </w:r>
    </w:p>
    <w:p w14:paraId="79E51808" w14:textId="77777777" w:rsidR="00570271" w:rsidRDefault="00C213F8">
      <w:pPr>
        <w:pStyle w:val="Heading2"/>
        <w:spacing w:before="260" w:after="100"/>
      </w:pPr>
      <w:bookmarkStart w:id="16" w:name="_Toc234486212"/>
      <w:r>
        <w:rPr>
          <w:b/>
          <w:bCs/>
          <w:color w:val="1F2A1C"/>
          <w:sz w:val="25"/>
          <w:szCs w:val="25"/>
        </w:rPr>
        <w:t>12</w:t>
      </w:r>
      <w:proofErr w:type="gramStart"/>
      <w:r>
        <w:rPr>
          <w:b/>
          <w:bCs/>
          <w:color w:val="1F2A1C"/>
          <w:sz w:val="25"/>
          <w:szCs w:val="25"/>
        </w:rPr>
        <w:t>.  Degraded</w:t>
      </w:r>
      <w:proofErr w:type="gramEnd"/>
      <w:r>
        <w:rPr>
          <w:b/>
          <w:bCs/>
          <w:color w:val="1F2A1C"/>
          <w:sz w:val="25"/>
          <w:szCs w:val="25"/>
        </w:rPr>
        <w:t xml:space="preserve">-mode </w:t>
      </w:r>
      <w:proofErr w:type="spellStart"/>
      <w:r>
        <w:rPr>
          <w:b/>
          <w:bCs/>
          <w:color w:val="1F2A1C"/>
          <w:sz w:val="25"/>
          <w:szCs w:val="25"/>
        </w:rPr>
        <w:t>behaviour</w:t>
      </w:r>
      <w:bookmarkEnd w:id="16"/>
      <w:proofErr w:type="spellEnd"/>
    </w:p>
    <w:p w14:paraId="79E51809" w14:textId="77777777" w:rsidR="00570271" w:rsidRDefault="00C213F8">
      <w:pPr>
        <w:spacing w:after="120" w:line="276" w:lineRule="exact"/>
      </w:pPr>
      <w:r>
        <w:t>What the system does when a dependency fails is, in health, a safety question rather than an uptime one. Two rules matter most.</w:t>
      </w:r>
    </w:p>
    <w:p w14:paraId="79E5180A" w14:textId="77777777" w:rsidR="00570271" w:rsidRDefault="00C213F8">
      <w:pPr>
        <w:spacing w:after="120" w:line="276" w:lineRule="exact"/>
      </w:pPr>
      <w:r>
        <w:rPr>
          <w:b/>
          <w:bCs/>
        </w:rPr>
        <w:t xml:space="preserve">ER-42 </w:t>
      </w:r>
      <w:r>
        <w:t>(</w:t>
      </w:r>
      <w:r>
        <w:rPr>
          <w:rFonts w:ascii="Courier New" w:eastAsia="Courier New" w:hAnsi="Courier New" w:cs="Courier New"/>
          <w:sz w:val="19"/>
          <w:szCs w:val="19"/>
        </w:rPr>
        <w:t>RA 7.1; Ch 4.6</w:t>
      </w:r>
      <w:r>
        <w:t xml:space="preserve">).  Safety escalation must not depend on the availability of the language model or the </w:t>
      </w:r>
      <w:proofErr w:type="gramStart"/>
      <w:r>
        <w:t>Library</w:t>
      </w:r>
      <w:proofErr w:type="gramEnd"/>
      <w:r>
        <w:t xml:space="preserve">. The safety rule engine is deterministic and remains operational even when the model is down; it is the last line that must never fail </w:t>
      </w:r>
      <w:proofErr w:type="gramStart"/>
      <w:r>
        <w:t>open</w:t>
      </w:r>
      <w:proofErr w:type="gramEnd"/>
      <w:r>
        <w:t>.</w:t>
      </w:r>
    </w:p>
    <w:p w14:paraId="79E5180B" w14:textId="77777777" w:rsidR="00570271" w:rsidRDefault="00C213F8">
      <w:pPr>
        <w:spacing w:after="120" w:line="276" w:lineRule="exact"/>
      </w:pPr>
      <w:r>
        <w:rPr>
          <w:b/>
          <w:bCs/>
        </w:rPr>
        <w:lastRenderedPageBreak/>
        <w:t xml:space="preserve">ER-43 </w:t>
      </w:r>
      <w:r>
        <w:t>(</w:t>
      </w:r>
      <w:r>
        <w:rPr>
          <w:rFonts w:ascii="Courier New" w:eastAsia="Courier New" w:hAnsi="Courier New" w:cs="Courier New"/>
          <w:sz w:val="19"/>
          <w:szCs w:val="19"/>
        </w:rPr>
        <w:t>RA 7.2, ER-15</w:t>
      </w:r>
      <w:r>
        <w:t xml:space="preserve">).  When the Library is unreachable, grounding cannot be verified, so the engine must not assert scientific claims: it falls back to safe, </w:t>
      </w:r>
      <w:proofErr w:type="gramStart"/>
      <w:r>
        <w:t>explicitly-hedged</w:t>
      </w:r>
      <w:proofErr w:type="gramEnd"/>
      <w:r>
        <w:t xml:space="preserve"> holding responses and never fabricates. When the model is unavailable, synchronous requests inform the user and asynchronous work queues.</w:t>
      </w:r>
    </w:p>
    <w:p w14:paraId="79E5180C" w14:textId="77777777" w:rsidR="00570271" w:rsidRDefault="00C213F8">
      <w:r>
        <w:br w:type="page"/>
      </w:r>
    </w:p>
    <w:p w14:paraId="79E5180D" w14:textId="77777777" w:rsidR="00570271" w:rsidRDefault="00C213F8">
      <w:pPr>
        <w:pStyle w:val="Heading1"/>
        <w:spacing w:before="0" w:after="140"/>
      </w:pPr>
      <w:bookmarkStart w:id="17" w:name="_Toc234486213"/>
      <w:r>
        <w:rPr>
          <w:b/>
          <w:bCs/>
          <w:color w:val="6F8E5A"/>
          <w:sz w:val="30"/>
          <w:szCs w:val="30"/>
        </w:rPr>
        <w:lastRenderedPageBreak/>
        <w:t xml:space="preserve">Part </w:t>
      </w:r>
      <w:proofErr w:type="gramStart"/>
      <w:r>
        <w:rPr>
          <w:b/>
          <w:bCs/>
          <w:color w:val="6F8E5A"/>
          <w:sz w:val="30"/>
          <w:szCs w:val="30"/>
        </w:rPr>
        <w:t>V  ·</w:t>
      </w:r>
      <w:proofErr w:type="gramEnd"/>
      <w:r>
        <w:rPr>
          <w:b/>
          <w:bCs/>
          <w:color w:val="6F8E5A"/>
          <w:sz w:val="30"/>
          <w:szCs w:val="30"/>
        </w:rPr>
        <w:t xml:space="preserve">  The human and the commitments</w:t>
      </w:r>
      <w:bookmarkEnd w:id="17"/>
    </w:p>
    <w:p w14:paraId="79E5180E" w14:textId="77777777" w:rsidR="00570271" w:rsidRDefault="00C213F8">
      <w:pPr>
        <w:pStyle w:val="Heading2"/>
        <w:spacing w:before="260" w:after="100"/>
      </w:pPr>
      <w:bookmarkStart w:id="18" w:name="_Toc234486214"/>
      <w:r>
        <w:rPr>
          <w:b/>
          <w:bCs/>
          <w:color w:val="1F2A1C"/>
          <w:sz w:val="25"/>
          <w:szCs w:val="25"/>
        </w:rPr>
        <w:t>13</w:t>
      </w:r>
      <w:proofErr w:type="gramStart"/>
      <w:r>
        <w:rPr>
          <w:b/>
          <w:bCs/>
          <w:color w:val="1F2A1C"/>
          <w:sz w:val="25"/>
          <w:szCs w:val="25"/>
        </w:rPr>
        <w:t>.  User</w:t>
      </w:r>
      <w:proofErr w:type="gramEnd"/>
      <w:r>
        <w:rPr>
          <w:b/>
          <w:bCs/>
          <w:color w:val="1F2A1C"/>
          <w:sz w:val="25"/>
          <w:szCs w:val="25"/>
        </w:rPr>
        <w:t xml:space="preserve"> agency</w:t>
      </w:r>
      <w:bookmarkEnd w:id="18"/>
    </w:p>
    <w:p w14:paraId="79E5180F" w14:textId="77777777" w:rsidR="00570271" w:rsidRDefault="00C213F8">
      <w:pPr>
        <w:spacing w:after="120" w:line="276" w:lineRule="exact"/>
      </w:pPr>
      <w:r>
        <w:t xml:space="preserve">As specified, the DHM treats the user as a data subject, not an actor. But people will disagree with conclusions, will hold context the sensors cannot see (“I was ill that week,” “that draw was botched,” “I’d just started a medication”), and will want to dispute or delete inferences. This is both an ethics requirement and a trust-and-retention one — the difference between a system done </w:t>
      </w:r>
      <w:r>
        <w:rPr>
          <w:i/>
          <w:iCs/>
        </w:rPr>
        <w:t>to</w:t>
      </w:r>
      <w:r>
        <w:t xml:space="preserve"> someone and one they take part in.</w:t>
      </w:r>
    </w:p>
    <w:p w14:paraId="79E51810" w14:textId="77777777" w:rsidR="00570271" w:rsidRDefault="00C213F8">
      <w:pPr>
        <w:shd w:val="clear" w:color="auto" w:fill="EEF2E9"/>
        <w:spacing w:line="250" w:lineRule="exact"/>
        <w:ind w:left="200" w:right="200"/>
      </w:pPr>
      <w:proofErr w:type="spellStart"/>
      <w:r>
        <w:rPr>
          <w:rFonts w:ascii="Courier New" w:eastAsia="Courier New" w:hAnsi="Courier New" w:cs="Courier New"/>
          <w:sz w:val="19"/>
          <w:szCs w:val="19"/>
        </w:rPr>
        <w:t>UserAssertion</w:t>
      </w:r>
      <w:proofErr w:type="spellEnd"/>
      <w:r>
        <w:rPr>
          <w:rFonts w:ascii="Courier New" w:eastAsia="Courier New" w:hAnsi="Courier New" w:cs="Courier New"/>
          <w:sz w:val="19"/>
          <w:szCs w:val="19"/>
        </w:rPr>
        <w:t xml:space="preserve">            // a first-class DHM input</w:t>
      </w:r>
    </w:p>
    <w:p w14:paraId="79E51811"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id,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kind,   </w:t>
      </w:r>
      <w:proofErr w:type="gramEnd"/>
      <w:r>
        <w:rPr>
          <w:rFonts w:ascii="Courier New" w:eastAsia="Courier New" w:hAnsi="Courier New" w:cs="Courier New"/>
          <w:sz w:val="19"/>
          <w:szCs w:val="19"/>
        </w:rPr>
        <w:t xml:space="preserve">  // context | correction | dispute</w:t>
      </w:r>
    </w:p>
    <w:p w14:paraId="79E51812"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statement, references -&gt; {</w:t>
      </w:r>
      <w:proofErr w:type="spellStart"/>
      <w:r>
        <w:rPr>
          <w:rFonts w:ascii="Courier New" w:eastAsia="Courier New" w:hAnsi="Courier New" w:cs="Courier New"/>
          <w:sz w:val="19"/>
          <w:szCs w:val="19"/>
        </w:rPr>
        <w:t>Observation|Hypothesis|Narrative</w:t>
      </w:r>
      <w:proofErr w:type="spellEnd"/>
      <w:r>
        <w:rPr>
          <w:rFonts w:ascii="Courier New" w:eastAsia="Courier New" w:hAnsi="Courier New" w:cs="Courier New"/>
          <w:sz w:val="19"/>
          <w:szCs w:val="19"/>
        </w:rPr>
        <w:t>},</w:t>
      </w:r>
    </w:p>
    <w:p w14:paraId="79E51813" w14:textId="77777777" w:rsidR="00570271" w:rsidRDefault="00C213F8">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confidence,   </w:t>
      </w:r>
      <w:proofErr w:type="gramEnd"/>
      <w:r>
        <w:rPr>
          <w:rFonts w:ascii="Courier New" w:eastAsia="Courier New" w:hAnsi="Courier New" w:cs="Courier New"/>
          <w:sz w:val="19"/>
          <w:szCs w:val="19"/>
        </w:rPr>
        <w:t xml:space="preserve">         // user-sourced, handled explicitly</w:t>
      </w:r>
    </w:p>
    <w:p w14:paraId="79E51814" w14:textId="77777777" w:rsidR="00570271" w:rsidRDefault="00C213F8">
      <w:pPr>
        <w:shd w:val="clear" w:color="auto" w:fill="EEF2E9"/>
        <w:spacing w:after="140"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provenance = 'user'</w:t>
      </w:r>
    </w:p>
    <w:p w14:paraId="79E51815" w14:textId="77777777" w:rsidR="00570271" w:rsidRDefault="00C213F8">
      <w:pPr>
        <w:spacing w:after="120" w:line="276" w:lineRule="exact"/>
      </w:pPr>
      <w:r>
        <w:t xml:space="preserve">A user correction or dispute enters the reasoning path as evidence like any </w:t>
      </w:r>
      <w:proofErr w:type="gramStart"/>
      <w:r>
        <w:t>other — a</w:t>
      </w:r>
      <w:proofErr w:type="gramEnd"/>
      <w:r>
        <w:t xml:space="preserve"> dispute is simply a contradicting-evidence event that triggers the truth-maintenance machinery (RA ER-13). The user can also </w:t>
      </w:r>
      <w:r>
        <w:rPr>
          <w:b/>
          <w:bCs/>
        </w:rPr>
        <w:t>see</w:t>
      </w:r>
      <w:r>
        <w:t xml:space="preserve"> what has been inferred, </w:t>
      </w:r>
      <w:r>
        <w:rPr>
          <w:b/>
          <w:bCs/>
        </w:rPr>
        <w:t>contest</w:t>
      </w:r>
      <w:r>
        <w:t xml:space="preserve"> it, and </w:t>
      </w:r>
      <w:r>
        <w:rPr>
          <w:b/>
          <w:bCs/>
        </w:rPr>
        <w:t>constrain</w:t>
      </w:r>
      <w:r>
        <w:t xml:space="preserve"> it (opt a source out, or suppress a topic).</w:t>
      </w:r>
    </w:p>
    <w:p w14:paraId="79E51816" w14:textId="77777777" w:rsidR="00570271" w:rsidRDefault="00C213F8">
      <w:pPr>
        <w:spacing w:after="120" w:line="276" w:lineRule="exact"/>
      </w:pPr>
      <w:r>
        <w:rPr>
          <w:b/>
          <w:bCs/>
        </w:rPr>
        <w:t xml:space="preserve">ER-44 </w:t>
      </w:r>
      <w:r>
        <w:t>(</w:t>
      </w:r>
      <w:r>
        <w:rPr>
          <w:rFonts w:ascii="Courier New" w:eastAsia="Courier New" w:hAnsi="Courier New" w:cs="Courier New"/>
          <w:sz w:val="19"/>
          <w:szCs w:val="19"/>
        </w:rPr>
        <w:t>Ch 9.x, 11.x; RA ER-13</w:t>
      </w:r>
      <w:r>
        <w:t>).  User-supplied context, corrections and disputes are first-class DHM inputs with their own confidence and provenance. A dispute is processed as contradicting evidence through the normal belief-revision path.</w:t>
      </w:r>
    </w:p>
    <w:p w14:paraId="79E51817" w14:textId="77777777" w:rsidR="00570271" w:rsidRDefault="00C213F8">
      <w:pPr>
        <w:spacing w:after="120" w:line="276" w:lineRule="exact"/>
      </w:pPr>
      <w:r>
        <w:rPr>
          <w:b/>
          <w:bCs/>
        </w:rPr>
        <w:t xml:space="preserve">ER-45 </w:t>
      </w:r>
      <w:r>
        <w:t>(</w:t>
      </w:r>
      <w:r>
        <w:rPr>
          <w:rFonts w:ascii="Courier New" w:eastAsia="Courier New" w:hAnsi="Courier New" w:cs="Courier New"/>
          <w:sz w:val="19"/>
          <w:szCs w:val="19"/>
        </w:rPr>
        <w:t>Ch 9.x transparency</w:t>
      </w:r>
      <w:r>
        <w:t>).  Users can see the inferences held about them, contest any inference (triggering re-evaluation), and constrain what is inferred — including opting a data source out or suppressing a topic.</w:t>
      </w:r>
    </w:p>
    <w:p w14:paraId="79E51818" w14:textId="77777777" w:rsidR="00570271" w:rsidRDefault="00C213F8">
      <w:pPr>
        <w:pStyle w:val="Heading2"/>
        <w:spacing w:before="260" w:after="100"/>
      </w:pPr>
      <w:bookmarkStart w:id="19" w:name="_Toc234486215"/>
      <w:r>
        <w:rPr>
          <w:b/>
          <w:bCs/>
          <w:color w:val="1F2A1C"/>
          <w:sz w:val="25"/>
          <w:szCs w:val="25"/>
        </w:rPr>
        <w:t>14</w:t>
      </w:r>
      <w:proofErr w:type="gramStart"/>
      <w:r>
        <w:rPr>
          <w:b/>
          <w:bCs/>
          <w:color w:val="1F2A1C"/>
          <w:sz w:val="25"/>
          <w:szCs w:val="25"/>
        </w:rPr>
        <w:t>.  A</w:t>
      </w:r>
      <w:proofErr w:type="gramEnd"/>
      <w:r>
        <w:rPr>
          <w:b/>
          <w:bCs/>
          <w:color w:val="1F2A1C"/>
          <w:sz w:val="25"/>
          <w:szCs w:val="25"/>
        </w:rPr>
        <w:t xml:space="preserve"> commitment to ratify: safety is never paywalled</w:t>
      </w:r>
      <w:bookmarkEnd w:id="19"/>
    </w:p>
    <w:p w14:paraId="79E51819" w14:textId="77777777" w:rsidR="00570271" w:rsidRDefault="00C213F8">
      <w:pPr>
        <w:spacing w:after="120" w:line="276" w:lineRule="exact"/>
      </w:pPr>
      <w:r>
        <w:t xml:space="preserve">Before the tiered plans (Free / Plus / Pro) harden, one principle should be written down. Safety-critical escalation is delivered in full to every user regardless of tier; only </w:t>
      </w:r>
      <w:proofErr w:type="spellStart"/>
      <w:r>
        <w:t>optimisation</w:t>
      </w:r>
      <w:proofErr w:type="spellEnd"/>
      <w:r>
        <w:t xml:space="preserve"> — depth, breadth, </w:t>
      </w:r>
      <w:proofErr w:type="spellStart"/>
      <w:r>
        <w:t>personalisation</w:t>
      </w:r>
      <w:proofErr w:type="spellEnd"/>
      <w:r>
        <w:t xml:space="preserve"> — is tiered. A Free user must receive the safety engine complete. This is a one-line constitutional commitment that closes both a values exposure and a liability exposure, and it is far cheaper to state now than to argue about later.</w:t>
      </w:r>
    </w:p>
    <w:p w14:paraId="79E5181A" w14:textId="77777777" w:rsidR="00570271" w:rsidRDefault="00C213F8">
      <w:pPr>
        <w:spacing w:after="120" w:line="276" w:lineRule="exact"/>
      </w:pPr>
      <w:r>
        <w:rPr>
          <w:b/>
          <w:bCs/>
        </w:rPr>
        <w:t xml:space="preserve">ER-46 </w:t>
      </w:r>
      <w:r>
        <w:t>(</w:t>
      </w:r>
      <w:r>
        <w:rPr>
          <w:rFonts w:ascii="Courier New" w:eastAsia="Courier New" w:hAnsi="Courier New" w:cs="Courier New"/>
          <w:sz w:val="19"/>
          <w:szCs w:val="19"/>
        </w:rPr>
        <w:t>Ch 4.6, 9.x; commercial</w:t>
      </w:r>
      <w:r>
        <w:t xml:space="preserve">).  Safety-critical escalation is provided in full to every user on every tier and is never gated behind payment. Tiering applies only to </w:t>
      </w:r>
      <w:proofErr w:type="spellStart"/>
      <w:r>
        <w:t>optimisation</w:t>
      </w:r>
      <w:proofErr w:type="spellEnd"/>
      <w:r>
        <w:t xml:space="preserve"> depth and breadth. Recommended for ratification into the Constitution.</w:t>
      </w:r>
    </w:p>
    <w:p w14:paraId="79E5181B" w14:textId="77777777" w:rsidR="00570271" w:rsidRDefault="00C213F8">
      <w:pPr>
        <w:pBdr>
          <w:left w:val="single" w:sz="18" w:space="8" w:color="C6A15B"/>
        </w:pBdr>
        <w:spacing w:before="60" w:after="140"/>
        <w:ind w:left="200"/>
      </w:pPr>
      <w:r>
        <w:rPr>
          <w:b/>
          <w:bCs/>
          <w:color w:val="9A7B2E"/>
          <w:sz w:val="20"/>
          <w:szCs w:val="20"/>
        </w:rPr>
        <w:t xml:space="preserve">Decision required: </w:t>
      </w:r>
      <w:r>
        <w:rPr>
          <w:sz w:val="20"/>
          <w:szCs w:val="20"/>
        </w:rPr>
        <w:t>Ratify “safety is never paywalled” into the Constitution (via the amendment procedure now defined in Ch 21). See D7.</w:t>
      </w:r>
    </w:p>
    <w:p w14:paraId="79E5181C" w14:textId="77777777" w:rsidR="00570271" w:rsidRDefault="00C213F8">
      <w:r>
        <w:br w:type="page"/>
      </w:r>
    </w:p>
    <w:p w14:paraId="79E5181D" w14:textId="77777777" w:rsidR="00570271" w:rsidRDefault="00C213F8">
      <w:pPr>
        <w:pStyle w:val="Heading1"/>
        <w:spacing w:before="0" w:after="140"/>
      </w:pPr>
      <w:bookmarkStart w:id="20" w:name="_Toc234486216"/>
      <w:r>
        <w:rPr>
          <w:b/>
          <w:bCs/>
          <w:color w:val="6F8E5A"/>
          <w:sz w:val="30"/>
          <w:szCs w:val="30"/>
        </w:rPr>
        <w:lastRenderedPageBreak/>
        <w:t xml:space="preserve">Part </w:t>
      </w:r>
      <w:proofErr w:type="gramStart"/>
      <w:r>
        <w:rPr>
          <w:b/>
          <w:bCs/>
          <w:color w:val="6F8E5A"/>
          <w:sz w:val="30"/>
          <w:szCs w:val="30"/>
        </w:rPr>
        <w:t>VI  ·</w:t>
      </w:r>
      <w:proofErr w:type="gramEnd"/>
      <w:r>
        <w:rPr>
          <w:b/>
          <w:bCs/>
          <w:color w:val="6F8E5A"/>
          <w:sz w:val="30"/>
          <w:szCs w:val="30"/>
        </w:rPr>
        <w:t xml:space="preserve">  Decisions requiring sign-off</w:t>
      </w:r>
      <w:bookmarkEnd w:id="20"/>
    </w:p>
    <w:p w14:paraId="79E5181E" w14:textId="77777777" w:rsidR="00570271" w:rsidRDefault="00C213F8">
      <w:pPr>
        <w:spacing w:after="120" w:line="276" w:lineRule="exact"/>
      </w:pPr>
      <w:r>
        <w:t xml:space="preserve">The points where completion needs a human decision, consolidated. Type marks who must own it. The first three are P0 — they </w:t>
      </w:r>
      <w:proofErr w:type="spellStart"/>
      <w:r>
        <w:t>gate</w:t>
      </w:r>
      <w:proofErr w:type="spellEnd"/>
      <w:r>
        <w:t xml:space="preserve"> the build.</w:t>
      </w:r>
    </w:p>
    <w:tbl>
      <w:tblPr>
        <w:tblW w:w="9026" w:type="dxa"/>
        <w:tblLayout w:type="fixed"/>
        <w:tblCellMar>
          <w:top w:w="60" w:type="dxa"/>
          <w:left w:w="90" w:type="dxa"/>
          <w:bottom w:w="60" w:type="dxa"/>
          <w:right w:w="90" w:type="dxa"/>
        </w:tblCellMar>
        <w:tblLook w:val="04A0" w:firstRow="1" w:lastRow="0" w:firstColumn="1" w:lastColumn="0" w:noHBand="0" w:noVBand="1"/>
      </w:tblPr>
      <w:tblGrid>
        <w:gridCol w:w="501"/>
        <w:gridCol w:w="3900"/>
        <w:gridCol w:w="3125"/>
        <w:gridCol w:w="1500"/>
      </w:tblGrid>
      <w:tr w:rsidR="00570271" w14:paraId="79E51823" w14:textId="77777777">
        <w:trPr>
          <w:tblHeader/>
        </w:trPr>
        <w:tc>
          <w:tcPr>
            <w:tcW w:w="500" w:type="dxa"/>
            <w:tcBorders>
              <w:top w:val="single" w:sz="4" w:space="0" w:color="C9D6BC"/>
              <w:left w:val="single" w:sz="4" w:space="0" w:color="C9D6BC"/>
              <w:bottom w:val="single" w:sz="2" w:space="0" w:color="C9D6BC"/>
              <w:right w:val="single" w:sz="2" w:space="0" w:color="C9D6BC"/>
            </w:tcBorders>
            <w:shd w:val="clear" w:color="auto" w:fill="6F8E5A"/>
          </w:tcPr>
          <w:p w14:paraId="79E5181F" w14:textId="77777777" w:rsidR="00570271" w:rsidRDefault="00C213F8">
            <w:pPr>
              <w:spacing w:after="40" w:line="250" w:lineRule="exact"/>
            </w:pPr>
            <w:r>
              <w:rPr>
                <w:b/>
                <w:bCs/>
                <w:color w:val="FFFFFF"/>
                <w:sz w:val="19"/>
                <w:szCs w:val="19"/>
              </w:rPr>
              <w:t>#</w:t>
            </w:r>
          </w:p>
        </w:tc>
        <w:tc>
          <w:tcPr>
            <w:tcW w:w="3900" w:type="dxa"/>
            <w:tcBorders>
              <w:top w:val="single" w:sz="4" w:space="0" w:color="C9D6BC"/>
              <w:left w:val="single" w:sz="2" w:space="0" w:color="C9D6BC"/>
              <w:bottom w:val="single" w:sz="2" w:space="0" w:color="C9D6BC"/>
              <w:right w:val="single" w:sz="2" w:space="0" w:color="C9D6BC"/>
            </w:tcBorders>
            <w:shd w:val="clear" w:color="auto" w:fill="6F8E5A"/>
          </w:tcPr>
          <w:p w14:paraId="79E51820" w14:textId="77777777" w:rsidR="00570271" w:rsidRDefault="00C213F8">
            <w:pPr>
              <w:spacing w:after="40" w:line="250" w:lineRule="exact"/>
            </w:pPr>
            <w:r>
              <w:rPr>
                <w:b/>
                <w:bCs/>
                <w:color w:val="FFFFFF"/>
                <w:sz w:val="19"/>
                <w:szCs w:val="19"/>
              </w:rPr>
              <w:t>Decision</w:t>
            </w:r>
          </w:p>
        </w:tc>
        <w:tc>
          <w:tcPr>
            <w:tcW w:w="3125" w:type="dxa"/>
            <w:tcBorders>
              <w:top w:val="single" w:sz="4" w:space="0" w:color="C9D6BC"/>
              <w:left w:val="single" w:sz="2" w:space="0" w:color="C9D6BC"/>
              <w:bottom w:val="single" w:sz="2" w:space="0" w:color="C9D6BC"/>
              <w:right w:val="single" w:sz="2" w:space="0" w:color="C9D6BC"/>
            </w:tcBorders>
            <w:shd w:val="clear" w:color="auto" w:fill="6F8E5A"/>
          </w:tcPr>
          <w:p w14:paraId="79E51821" w14:textId="77777777" w:rsidR="00570271" w:rsidRDefault="00C213F8">
            <w:pPr>
              <w:spacing w:after="40" w:line="250" w:lineRule="exact"/>
            </w:pPr>
            <w:r>
              <w:rPr>
                <w:b/>
                <w:bCs/>
                <w:color w:val="FFFFFF"/>
                <w:sz w:val="19"/>
                <w:szCs w:val="19"/>
              </w:rPr>
              <w:t>Recommendation</w:t>
            </w:r>
          </w:p>
        </w:tc>
        <w:tc>
          <w:tcPr>
            <w:tcW w:w="1500" w:type="dxa"/>
            <w:tcBorders>
              <w:top w:val="single" w:sz="4" w:space="0" w:color="C9D6BC"/>
              <w:left w:val="single" w:sz="2" w:space="0" w:color="C9D6BC"/>
              <w:bottom w:val="single" w:sz="2" w:space="0" w:color="C9D6BC"/>
              <w:right w:val="single" w:sz="4" w:space="0" w:color="C9D6BC"/>
            </w:tcBorders>
            <w:shd w:val="clear" w:color="auto" w:fill="6F8E5A"/>
          </w:tcPr>
          <w:p w14:paraId="79E51822" w14:textId="77777777" w:rsidR="00570271" w:rsidRDefault="00C213F8">
            <w:pPr>
              <w:spacing w:after="40" w:line="250" w:lineRule="exact"/>
            </w:pPr>
            <w:r>
              <w:rPr>
                <w:b/>
                <w:bCs/>
                <w:color w:val="FFFFFF"/>
                <w:sz w:val="19"/>
                <w:szCs w:val="19"/>
              </w:rPr>
              <w:t>Owner</w:t>
            </w:r>
          </w:p>
        </w:tc>
      </w:tr>
      <w:tr w:rsidR="00570271" w14:paraId="79E51828" w14:textId="77777777">
        <w:tc>
          <w:tcPr>
            <w:tcW w:w="500" w:type="dxa"/>
            <w:tcBorders>
              <w:top w:val="single" w:sz="2" w:space="0" w:color="C9D6BC"/>
              <w:left w:val="single" w:sz="4" w:space="0" w:color="C9D6BC"/>
              <w:bottom w:val="single" w:sz="2" w:space="0" w:color="C9D6BC"/>
              <w:right w:val="single" w:sz="2" w:space="0" w:color="C9D6BC"/>
            </w:tcBorders>
          </w:tcPr>
          <w:p w14:paraId="79E51824" w14:textId="77777777" w:rsidR="00570271" w:rsidRDefault="00C213F8">
            <w:pPr>
              <w:spacing w:after="40" w:line="250" w:lineRule="exact"/>
            </w:pPr>
            <w:r>
              <w:rPr>
                <w:sz w:val="18"/>
                <w:szCs w:val="18"/>
              </w:rPr>
              <w:t>D1</w:t>
            </w:r>
          </w:p>
        </w:tc>
        <w:tc>
          <w:tcPr>
            <w:tcW w:w="3900" w:type="dxa"/>
            <w:tcBorders>
              <w:top w:val="single" w:sz="2" w:space="0" w:color="C9D6BC"/>
              <w:left w:val="single" w:sz="2" w:space="0" w:color="C9D6BC"/>
              <w:bottom w:val="single" w:sz="2" w:space="0" w:color="C9D6BC"/>
              <w:right w:val="single" w:sz="2" w:space="0" w:color="C9D6BC"/>
            </w:tcBorders>
          </w:tcPr>
          <w:p w14:paraId="79E51825" w14:textId="77777777" w:rsidR="00570271" w:rsidRDefault="00C213F8">
            <w:pPr>
              <w:spacing w:after="40" w:line="250" w:lineRule="exact"/>
            </w:pPr>
            <w:r>
              <w:rPr>
                <w:sz w:val="18"/>
                <w:szCs w:val="18"/>
              </w:rPr>
              <w:t>Regulatory classification per launch market (wellness vs SaMD).</w:t>
            </w:r>
          </w:p>
        </w:tc>
        <w:tc>
          <w:tcPr>
            <w:tcW w:w="3125" w:type="dxa"/>
            <w:tcBorders>
              <w:top w:val="single" w:sz="2" w:space="0" w:color="C9D6BC"/>
              <w:left w:val="single" w:sz="2" w:space="0" w:color="C9D6BC"/>
              <w:bottom w:val="single" w:sz="2" w:space="0" w:color="C9D6BC"/>
              <w:right w:val="single" w:sz="2" w:space="0" w:color="C9D6BC"/>
            </w:tcBorders>
          </w:tcPr>
          <w:p w14:paraId="79E51826" w14:textId="77777777" w:rsidR="00570271" w:rsidRDefault="00C213F8">
            <w:pPr>
              <w:spacing w:after="40" w:line="250" w:lineRule="exact"/>
            </w:pPr>
            <w:r>
              <w:rPr>
                <w:sz w:val="18"/>
                <w:szCs w:val="18"/>
              </w:rPr>
              <w:t>Formal written opinion before GA; design to the most conservative market.</w:t>
            </w:r>
          </w:p>
        </w:tc>
        <w:tc>
          <w:tcPr>
            <w:tcW w:w="1500" w:type="dxa"/>
            <w:tcBorders>
              <w:top w:val="single" w:sz="2" w:space="0" w:color="C9D6BC"/>
              <w:left w:val="single" w:sz="2" w:space="0" w:color="C9D6BC"/>
              <w:bottom w:val="single" w:sz="2" w:space="0" w:color="C9D6BC"/>
              <w:right w:val="single" w:sz="4" w:space="0" w:color="C9D6BC"/>
            </w:tcBorders>
          </w:tcPr>
          <w:p w14:paraId="79E51827" w14:textId="77777777" w:rsidR="00570271" w:rsidRDefault="00C213F8">
            <w:pPr>
              <w:spacing w:after="40" w:line="250" w:lineRule="exact"/>
            </w:pPr>
            <w:r>
              <w:rPr>
                <w:sz w:val="18"/>
                <w:szCs w:val="18"/>
              </w:rPr>
              <w:t>Regulatory counsel</w:t>
            </w:r>
          </w:p>
        </w:tc>
      </w:tr>
      <w:tr w:rsidR="00570271" w14:paraId="79E5182D" w14:textId="77777777">
        <w:tc>
          <w:tcPr>
            <w:tcW w:w="500" w:type="dxa"/>
            <w:tcBorders>
              <w:top w:val="single" w:sz="2" w:space="0" w:color="C9D6BC"/>
              <w:left w:val="single" w:sz="4" w:space="0" w:color="C9D6BC"/>
              <w:bottom w:val="single" w:sz="2" w:space="0" w:color="C9D6BC"/>
              <w:right w:val="single" w:sz="2" w:space="0" w:color="C9D6BC"/>
            </w:tcBorders>
            <w:shd w:val="clear" w:color="auto" w:fill="EEF2E9"/>
          </w:tcPr>
          <w:p w14:paraId="79E51829" w14:textId="77777777" w:rsidR="00570271" w:rsidRDefault="00C213F8">
            <w:pPr>
              <w:spacing w:after="40" w:line="250" w:lineRule="exact"/>
            </w:pPr>
            <w:r>
              <w:rPr>
                <w:sz w:val="18"/>
                <w:szCs w:val="18"/>
              </w:rPr>
              <w:t>D2</w:t>
            </w:r>
          </w:p>
        </w:tc>
        <w:tc>
          <w:tcPr>
            <w:tcW w:w="3900" w:type="dxa"/>
            <w:tcBorders>
              <w:top w:val="single" w:sz="2" w:space="0" w:color="C9D6BC"/>
              <w:left w:val="single" w:sz="2" w:space="0" w:color="C9D6BC"/>
              <w:bottom w:val="single" w:sz="2" w:space="0" w:color="C9D6BC"/>
              <w:right w:val="single" w:sz="2" w:space="0" w:color="C9D6BC"/>
            </w:tcBorders>
            <w:shd w:val="clear" w:color="auto" w:fill="EEF2E9"/>
          </w:tcPr>
          <w:p w14:paraId="79E5182A" w14:textId="77777777" w:rsidR="00570271" w:rsidRDefault="00C213F8">
            <w:pPr>
              <w:spacing w:after="40" w:line="250" w:lineRule="exact"/>
            </w:pPr>
            <w:r>
              <w:rPr>
                <w:sz w:val="18"/>
                <w:szCs w:val="18"/>
              </w:rPr>
              <w:t>Erasure architecture within the immutable DHM.</w:t>
            </w:r>
          </w:p>
        </w:tc>
        <w:tc>
          <w:tcPr>
            <w:tcW w:w="3125" w:type="dxa"/>
            <w:tcBorders>
              <w:top w:val="single" w:sz="2" w:space="0" w:color="C9D6BC"/>
              <w:left w:val="single" w:sz="2" w:space="0" w:color="C9D6BC"/>
              <w:bottom w:val="single" w:sz="2" w:space="0" w:color="C9D6BC"/>
              <w:right w:val="single" w:sz="2" w:space="0" w:color="C9D6BC"/>
            </w:tcBorders>
            <w:shd w:val="clear" w:color="auto" w:fill="EEF2E9"/>
          </w:tcPr>
          <w:p w14:paraId="79E5182B" w14:textId="77777777" w:rsidR="00570271" w:rsidRDefault="00C213F8">
            <w:pPr>
              <w:spacing w:after="40" w:line="250" w:lineRule="exact"/>
            </w:pPr>
            <w:r>
              <w:rPr>
                <w:sz w:val="18"/>
                <w:szCs w:val="18"/>
              </w:rPr>
              <w:t>Per-user crypto-shred + redaction event; accept replay loss for erased users.</w:t>
            </w:r>
          </w:p>
        </w:tc>
        <w:tc>
          <w:tcPr>
            <w:tcW w:w="1500" w:type="dxa"/>
            <w:tcBorders>
              <w:top w:val="single" w:sz="2" w:space="0" w:color="C9D6BC"/>
              <w:left w:val="single" w:sz="2" w:space="0" w:color="C9D6BC"/>
              <w:bottom w:val="single" w:sz="2" w:space="0" w:color="C9D6BC"/>
              <w:right w:val="single" w:sz="4" w:space="0" w:color="C9D6BC"/>
            </w:tcBorders>
            <w:shd w:val="clear" w:color="auto" w:fill="EEF2E9"/>
          </w:tcPr>
          <w:p w14:paraId="79E5182C" w14:textId="77777777" w:rsidR="00570271" w:rsidRDefault="00C213F8">
            <w:pPr>
              <w:spacing w:after="40" w:line="250" w:lineRule="exact"/>
            </w:pPr>
            <w:r>
              <w:rPr>
                <w:sz w:val="18"/>
                <w:szCs w:val="18"/>
              </w:rPr>
              <w:t>Legal + Eng</w:t>
            </w:r>
          </w:p>
        </w:tc>
      </w:tr>
      <w:tr w:rsidR="00570271" w14:paraId="79E51832" w14:textId="77777777">
        <w:tc>
          <w:tcPr>
            <w:tcW w:w="500" w:type="dxa"/>
            <w:tcBorders>
              <w:top w:val="single" w:sz="2" w:space="0" w:color="C9D6BC"/>
              <w:left w:val="single" w:sz="4" w:space="0" w:color="C9D6BC"/>
              <w:bottom w:val="single" w:sz="2" w:space="0" w:color="C9D6BC"/>
              <w:right w:val="single" w:sz="2" w:space="0" w:color="C9D6BC"/>
            </w:tcBorders>
          </w:tcPr>
          <w:p w14:paraId="79E5182E" w14:textId="77777777" w:rsidR="00570271" w:rsidRDefault="00C213F8">
            <w:pPr>
              <w:spacing w:after="40" w:line="250" w:lineRule="exact"/>
            </w:pPr>
            <w:r>
              <w:rPr>
                <w:sz w:val="18"/>
                <w:szCs w:val="18"/>
              </w:rPr>
              <w:t>D3</w:t>
            </w:r>
          </w:p>
        </w:tc>
        <w:tc>
          <w:tcPr>
            <w:tcW w:w="3900" w:type="dxa"/>
            <w:tcBorders>
              <w:top w:val="single" w:sz="2" w:space="0" w:color="C9D6BC"/>
              <w:left w:val="single" w:sz="2" w:space="0" w:color="C9D6BC"/>
              <w:bottom w:val="single" w:sz="2" w:space="0" w:color="C9D6BC"/>
              <w:right w:val="single" w:sz="2" w:space="0" w:color="C9D6BC"/>
            </w:tcBorders>
          </w:tcPr>
          <w:p w14:paraId="79E5182F" w14:textId="77777777" w:rsidR="00570271" w:rsidRDefault="00C213F8">
            <w:pPr>
              <w:spacing w:after="40" w:line="250" w:lineRule="exact"/>
            </w:pPr>
            <w:r>
              <w:rPr>
                <w:sz w:val="18"/>
                <w:szCs w:val="18"/>
              </w:rPr>
              <w:t>Canonical Library bootstrap strategy.</w:t>
            </w:r>
          </w:p>
        </w:tc>
        <w:tc>
          <w:tcPr>
            <w:tcW w:w="3125" w:type="dxa"/>
            <w:tcBorders>
              <w:top w:val="single" w:sz="2" w:space="0" w:color="C9D6BC"/>
              <w:left w:val="single" w:sz="2" w:space="0" w:color="C9D6BC"/>
              <w:bottom w:val="single" w:sz="2" w:space="0" w:color="C9D6BC"/>
              <w:right w:val="single" w:sz="2" w:space="0" w:color="C9D6BC"/>
            </w:tcBorders>
          </w:tcPr>
          <w:p w14:paraId="79E51830" w14:textId="77777777" w:rsidR="00570271" w:rsidRDefault="00C213F8">
            <w:pPr>
              <w:spacing w:after="40" w:line="250" w:lineRule="exact"/>
            </w:pPr>
            <w:r>
              <w:rPr>
                <w:sz w:val="18"/>
                <w:szCs w:val="18"/>
              </w:rPr>
              <w:t>Combine licensing / clinical partnership / validated guideline extraction; resource explicitly.</w:t>
            </w:r>
          </w:p>
        </w:tc>
        <w:tc>
          <w:tcPr>
            <w:tcW w:w="1500" w:type="dxa"/>
            <w:tcBorders>
              <w:top w:val="single" w:sz="2" w:space="0" w:color="C9D6BC"/>
              <w:left w:val="single" w:sz="2" w:space="0" w:color="C9D6BC"/>
              <w:bottom w:val="single" w:sz="2" w:space="0" w:color="C9D6BC"/>
              <w:right w:val="single" w:sz="4" w:space="0" w:color="C9D6BC"/>
            </w:tcBorders>
          </w:tcPr>
          <w:p w14:paraId="79E51831" w14:textId="77777777" w:rsidR="00570271" w:rsidRDefault="00C213F8">
            <w:pPr>
              <w:spacing w:after="40" w:line="250" w:lineRule="exact"/>
            </w:pPr>
            <w:r>
              <w:rPr>
                <w:sz w:val="18"/>
                <w:szCs w:val="18"/>
              </w:rPr>
              <w:t>Clinical + Eng</w:t>
            </w:r>
          </w:p>
        </w:tc>
      </w:tr>
      <w:tr w:rsidR="00570271" w14:paraId="79E51837" w14:textId="77777777">
        <w:tc>
          <w:tcPr>
            <w:tcW w:w="500" w:type="dxa"/>
            <w:tcBorders>
              <w:top w:val="single" w:sz="2" w:space="0" w:color="C9D6BC"/>
              <w:left w:val="single" w:sz="4" w:space="0" w:color="C9D6BC"/>
              <w:bottom w:val="single" w:sz="2" w:space="0" w:color="C9D6BC"/>
              <w:right w:val="single" w:sz="2" w:space="0" w:color="C9D6BC"/>
            </w:tcBorders>
            <w:shd w:val="clear" w:color="auto" w:fill="EEF2E9"/>
          </w:tcPr>
          <w:p w14:paraId="79E51833" w14:textId="77777777" w:rsidR="00570271" w:rsidRDefault="00C213F8">
            <w:pPr>
              <w:spacing w:after="40" w:line="250" w:lineRule="exact"/>
            </w:pPr>
            <w:r>
              <w:rPr>
                <w:sz w:val="18"/>
                <w:szCs w:val="18"/>
              </w:rPr>
              <w:t>D4</w:t>
            </w:r>
          </w:p>
        </w:tc>
        <w:tc>
          <w:tcPr>
            <w:tcW w:w="3900" w:type="dxa"/>
            <w:tcBorders>
              <w:top w:val="single" w:sz="2" w:space="0" w:color="C9D6BC"/>
              <w:left w:val="single" w:sz="2" w:space="0" w:color="C9D6BC"/>
              <w:bottom w:val="single" w:sz="2" w:space="0" w:color="C9D6BC"/>
              <w:right w:val="single" w:sz="2" w:space="0" w:color="C9D6BC"/>
            </w:tcBorders>
            <w:shd w:val="clear" w:color="auto" w:fill="EEF2E9"/>
          </w:tcPr>
          <w:p w14:paraId="79E51834" w14:textId="77777777" w:rsidR="00570271" w:rsidRDefault="00C213F8">
            <w:pPr>
              <w:spacing w:after="40" w:line="250" w:lineRule="exact"/>
            </w:pPr>
            <w:r>
              <w:rPr>
                <w:sz w:val="18"/>
                <w:szCs w:val="18"/>
              </w:rPr>
              <w:t>Canonical schema: FHIR/LOINC vs bespoke.</w:t>
            </w:r>
          </w:p>
        </w:tc>
        <w:tc>
          <w:tcPr>
            <w:tcW w:w="3125" w:type="dxa"/>
            <w:tcBorders>
              <w:top w:val="single" w:sz="2" w:space="0" w:color="C9D6BC"/>
              <w:left w:val="single" w:sz="2" w:space="0" w:color="C9D6BC"/>
              <w:bottom w:val="single" w:sz="2" w:space="0" w:color="C9D6BC"/>
              <w:right w:val="single" w:sz="2" w:space="0" w:color="C9D6BC"/>
            </w:tcBorders>
            <w:shd w:val="clear" w:color="auto" w:fill="EEF2E9"/>
          </w:tcPr>
          <w:p w14:paraId="79E51835" w14:textId="77777777" w:rsidR="00570271" w:rsidRDefault="00C213F8">
            <w:pPr>
              <w:spacing w:after="40" w:line="250" w:lineRule="exact"/>
            </w:pPr>
            <w:r>
              <w:rPr>
                <w:sz w:val="18"/>
                <w:szCs w:val="18"/>
              </w:rPr>
              <w:t>Adopt FHIR/LOINC. Interoperability and clinical credibility outweigh early cost.</w:t>
            </w:r>
          </w:p>
        </w:tc>
        <w:tc>
          <w:tcPr>
            <w:tcW w:w="1500" w:type="dxa"/>
            <w:tcBorders>
              <w:top w:val="single" w:sz="2" w:space="0" w:color="C9D6BC"/>
              <w:left w:val="single" w:sz="2" w:space="0" w:color="C9D6BC"/>
              <w:bottom w:val="single" w:sz="2" w:space="0" w:color="C9D6BC"/>
              <w:right w:val="single" w:sz="4" w:space="0" w:color="C9D6BC"/>
            </w:tcBorders>
            <w:shd w:val="clear" w:color="auto" w:fill="EEF2E9"/>
          </w:tcPr>
          <w:p w14:paraId="79E51836" w14:textId="77777777" w:rsidR="00570271" w:rsidRDefault="00C213F8">
            <w:pPr>
              <w:spacing w:after="40" w:line="250" w:lineRule="exact"/>
            </w:pPr>
            <w:r>
              <w:rPr>
                <w:sz w:val="18"/>
                <w:szCs w:val="18"/>
              </w:rPr>
              <w:t>Eng + Clinical</w:t>
            </w:r>
          </w:p>
        </w:tc>
      </w:tr>
      <w:tr w:rsidR="00570271" w14:paraId="79E5183C" w14:textId="77777777">
        <w:tc>
          <w:tcPr>
            <w:tcW w:w="500" w:type="dxa"/>
            <w:tcBorders>
              <w:top w:val="single" w:sz="2" w:space="0" w:color="C9D6BC"/>
              <w:left w:val="single" w:sz="4" w:space="0" w:color="C9D6BC"/>
              <w:bottom w:val="single" w:sz="2" w:space="0" w:color="C9D6BC"/>
              <w:right w:val="single" w:sz="2" w:space="0" w:color="C9D6BC"/>
            </w:tcBorders>
          </w:tcPr>
          <w:p w14:paraId="79E51838" w14:textId="77777777" w:rsidR="00570271" w:rsidRDefault="00C213F8">
            <w:pPr>
              <w:spacing w:after="40" w:line="250" w:lineRule="exact"/>
            </w:pPr>
            <w:r>
              <w:rPr>
                <w:sz w:val="18"/>
                <w:szCs w:val="18"/>
              </w:rPr>
              <w:t>D5</w:t>
            </w:r>
          </w:p>
        </w:tc>
        <w:tc>
          <w:tcPr>
            <w:tcW w:w="3900" w:type="dxa"/>
            <w:tcBorders>
              <w:top w:val="single" w:sz="2" w:space="0" w:color="C9D6BC"/>
              <w:left w:val="single" w:sz="2" w:space="0" w:color="C9D6BC"/>
              <w:bottom w:val="single" w:sz="2" w:space="0" w:color="C9D6BC"/>
              <w:right w:val="single" w:sz="2" w:space="0" w:color="C9D6BC"/>
            </w:tcBorders>
          </w:tcPr>
          <w:p w14:paraId="79E51839" w14:textId="77777777" w:rsidR="00570271" w:rsidRDefault="00C213F8">
            <w:pPr>
              <w:spacing w:after="40" w:line="250" w:lineRule="exact"/>
            </w:pPr>
            <w:r>
              <w:rPr>
                <w:sz w:val="18"/>
                <w:szCs w:val="18"/>
              </w:rPr>
              <w:t>Model-provider abstraction / multi-vendor stance.</w:t>
            </w:r>
          </w:p>
        </w:tc>
        <w:tc>
          <w:tcPr>
            <w:tcW w:w="3125" w:type="dxa"/>
            <w:tcBorders>
              <w:top w:val="single" w:sz="2" w:space="0" w:color="C9D6BC"/>
              <w:left w:val="single" w:sz="2" w:space="0" w:color="C9D6BC"/>
              <w:bottom w:val="single" w:sz="2" w:space="0" w:color="C9D6BC"/>
              <w:right w:val="single" w:sz="2" w:space="0" w:color="C9D6BC"/>
            </w:tcBorders>
          </w:tcPr>
          <w:p w14:paraId="79E5183A" w14:textId="77777777" w:rsidR="00570271" w:rsidRDefault="00C213F8">
            <w:pPr>
              <w:spacing w:after="40" w:line="250" w:lineRule="exact"/>
            </w:pPr>
            <w:r>
              <w:rPr>
                <w:sz w:val="18"/>
                <w:szCs w:val="18"/>
              </w:rPr>
              <w:t>Abstract the substrate now; avoid single-vendor lock given the multi-year promise.</w:t>
            </w:r>
          </w:p>
        </w:tc>
        <w:tc>
          <w:tcPr>
            <w:tcW w:w="1500" w:type="dxa"/>
            <w:tcBorders>
              <w:top w:val="single" w:sz="2" w:space="0" w:color="C9D6BC"/>
              <w:left w:val="single" w:sz="2" w:space="0" w:color="C9D6BC"/>
              <w:bottom w:val="single" w:sz="2" w:space="0" w:color="C9D6BC"/>
              <w:right w:val="single" w:sz="4" w:space="0" w:color="C9D6BC"/>
            </w:tcBorders>
          </w:tcPr>
          <w:p w14:paraId="79E5183B" w14:textId="77777777" w:rsidR="00570271" w:rsidRDefault="00C213F8">
            <w:pPr>
              <w:spacing w:after="40" w:line="250" w:lineRule="exact"/>
            </w:pPr>
            <w:r>
              <w:rPr>
                <w:sz w:val="18"/>
                <w:szCs w:val="18"/>
              </w:rPr>
              <w:t>Eng</w:t>
            </w:r>
          </w:p>
        </w:tc>
      </w:tr>
      <w:tr w:rsidR="00570271" w14:paraId="79E51841" w14:textId="77777777">
        <w:tc>
          <w:tcPr>
            <w:tcW w:w="500" w:type="dxa"/>
            <w:tcBorders>
              <w:top w:val="single" w:sz="2" w:space="0" w:color="C9D6BC"/>
              <w:left w:val="single" w:sz="4" w:space="0" w:color="C9D6BC"/>
              <w:bottom w:val="single" w:sz="2" w:space="0" w:color="C9D6BC"/>
              <w:right w:val="single" w:sz="2" w:space="0" w:color="C9D6BC"/>
            </w:tcBorders>
            <w:shd w:val="clear" w:color="auto" w:fill="EEF2E9"/>
          </w:tcPr>
          <w:p w14:paraId="79E5183D" w14:textId="77777777" w:rsidR="00570271" w:rsidRDefault="00C213F8">
            <w:pPr>
              <w:spacing w:after="40" w:line="250" w:lineRule="exact"/>
            </w:pPr>
            <w:r>
              <w:rPr>
                <w:sz w:val="18"/>
                <w:szCs w:val="18"/>
              </w:rPr>
              <w:t>D6</w:t>
            </w:r>
          </w:p>
        </w:tc>
        <w:tc>
          <w:tcPr>
            <w:tcW w:w="3900" w:type="dxa"/>
            <w:tcBorders>
              <w:top w:val="single" w:sz="2" w:space="0" w:color="C9D6BC"/>
              <w:left w:val="single" w:sz="2" w:space="0" w:color="C9D6BC"/>
              <w:bottom w:val="single" w:sz="2" w:space="0" w:color="C9D6BC"/>
              <w:right w:val="single" w:sz="2" w:space="0" w:color="C9D6BC"/>
            </w:tcBorders>
            <w:shd w:val="clear" w:color="auto" w:fill="EEF2E9"/>
          </w:tcPr>
          <w:p w14:paraId="79E5183E" w14:textId="77777777" w:rsidR="00570271" w:rsidRDefault="00C213F8">
            <w:pPr>
              <w:spacing w:after="40" w:line="250" w:lineRule="exact"/>
            </w:pPr>
            <w:r>
              <w:rPr>
                <w:sz w:val="18"/>
                <w:szCs w:val="18"/>
              </w:rPr>
              <w:t>Clinical review board: composition and authority.</w:t>
            </w:r>
          </w:p>
        </w:tc>
        <w:tc>
          <w:tcPr>
            <w:tcW w:w="3125" w:type="dxa"/>
            <w:tcBorders>
              <w:top w:val="single" w:sz="2" w:space="0" w:color="C9D6BC"/>
              <w:left w:val="single" w:sz="2" w:space="0" w:color="C9D6BC"/>
              <w:bottom w:val="single" w:sz="2" w:space="0" w:color="C9D6BC"/>
              <w:right w:val="single" w:sz="2" w:space="0" w:color="C9D6BC"/>
            </w:tcBorders>
            <w:shd w:val="clear" w:color="auto" w:fill="EEF2E9"/>
          </w:tcPr>
          <w:p w14:paraId="79E5183F" w14:textId="77777777" w:rsidR="00570271" w:rsidRDefault="00C213F8">
            <w:pPr>
              <w:spacing w:after="40" w:line="250" w:lineRule="exact"/>
            </w:pPr>
            <w:r>
              <w:rPr>
                <w:sz w:val="18"/>
                <w:szCs w:val="18"/>
              </w:rPr>
              <w:t>Stand up before authoring safety rules; give it real sign-off over rules, Library, model releases.</w:t>
            </w:r>
          </w:p>
        </w:tc>
        <w:tc>
          <w:tcPr>
            <w:tcW w:w="1500" w:type="dxa"/>
            <w:tcBorders>
              <w:top w:val="single" w:sz="2" w:space="0" w:color="C9D6BC"/>
              <w:left w:val="single" w:sz="2" w:space="0" w:color="C9D6BC"/>
              <w:bottom w:val="single" w:sz="2" w:space="0" w:color="C9D6BC"/>
              <w:right w:val="single" w:sz="4" w:space="0" w:color="C9D6BC"/>
            </w:tcBorders>
            <w:shd w:val="clear" w:color="auto" w:fill="EEF2E9"/>
          </w:tcPr>
          <w:p w14:paraId="79E51840" w14:textId="77777777" w:rsidR="00570271" w:rsidRDefault="00C213F8">
            <w:pPr>
              <w:spacing w:after="40" w:line="250" w:lineRule="exact"/>
            </w:pPr>
            <w:r>
              <w:rPr>
                <w:sz w:val="18"/>
                <w:szCs w:val="18"/>
              </w:rPr>
              <w:t>Founder + Clinical</w:t>
            </w:r>
          </w:p>
        </w:tc>
      </w:tr>
      <w:tr w:rsidR="00570271" w14:paraId="79E51846" w14:textId="77777777">
        <w:tc>
          <w:tcPr>
            <w:tcW w:w="500" w:type="dxa"/>
            <w:tcBorders>
              <w:top w:val="single" w:sz="2" w:space="0" w:color="C9D6BC"/>
              <w:left w:val="single" w:sz="4" w:space="0" w:color="C9D6BC"/>
              <w:bottom w:val="single" w:sz="2" w:space="0" w:color="C9D6BC"/>
              <w:right w:val="single" w:sz="2" w:space="0" w:color="C9D6BC"/>
            </w:tcBorders>
          </w:tcPr>
          <w:p w14:paraId="79E51842" w14:textId="77777777" w:rsidR="00570271" w:rsidRDefault="00C213F8">
            <w:pPr>
              <w:spacing w:after="40" w:line="250" w:lineRule="exact"/>
            </w:pPr>
            <w:r>
              <w:rPr>
                <w:sz w:val="18"/>
                <w:szCs w:val="18"/>
              </w:rPr>
              <w:t>D7</w:t>
            </w:r>
          </w:p>
        </w:tc>
        <w:tc>
          <w:tcPr>
            <w:tcW w:w="3900" w:type="dxa"/>
            <w:tcBorders>
              <w:top w:val="single" w:sz="2" w:space="0" w:color="C9D6BC"/>
              <w:left w:val="single" w:sz="2" w:space="0" w:color="C9D6BC"/>
              <w:bottom w:val="single" w:sz="2" w:space="0" w:color="C9D6BC"/>
              <w:right w:val="single" w:sz="2" w:space="0" w:color="C9D6BC"/>
            </w:tcBorders>
          </w:tcPr>
          <w:p w14:paraId="79E51843" w14:textId="77777777" w:rsidR="00570271" w:rsidRDefault="00C213F8">
            <w:pPr>
              <w:spacing w:after="40" w:line="250" w:lineRule="exact"/>
            </w:pPr>
            <w:r>
              <w:rPr>
                <w:sz w:val="18"/>
                <w:szCs w:val="18"/>
              </w:rPr>
              <w:t>Ratify “safety never paywalled” into the Constitution.</w:t>
            </w:r>
          </w:p>
        </w:tc>
        <w:tc>
          <w:tcPr>
            <w:tcW w:w="3125" w:type="dxa"/>
            <w:tcBorders>
              <w:top w:val="single" w:sz="2" w:space="0" w:color="C9D6BC"/>
              <w:left w:val="single" w:sz="2" w:space="0" w:color="C9D6BC"/>
              <w:bottom w:val="single" w:sz="2" w:space="0" w:color="C9D6BC"/>
              <w:right w:val="single" w:sz="2" w:space="0" w:color="C9D6BC"/>
            </w:tcBorders>
          </w:tcPr>
          <w:p w14:paraId="79E51844" w14:textId="77777777" w:rsidR="00570271" w:rsidRDefault="00C213F8">
            <w:pPr>
              <w:spacing w:after="40" w:line="250" w:lineRule="exact"/>
            </w:pPr>
            <w:r>
              <w:rPr>
                <w:sz w:val="18"/>
                <w:szCs w:val="18"/>
              </w:rPr>
              <w:t>Ratify via the Ch 21 amendment procedure.</w:t>
            </w:r>
          </w:p>
        </w:tc>
        <w:tc>
          <w:tcPr>
            <w:tcW w:w="1500" w:type="dxa"/>
            <w:tcBorders>
              <w:top w:val="single" w:sz="2" w:space="0" w:color="C9D6BC"/>
              <w:left w:val="single" w:sz="2" w:space="0" w:color="C9D6BC"/>
              <w:bottom w:val="single" w:sz="2" w:space="0" w:color="C9D6BC"/>
              <w:right w:val="single" w:sz="4" w:space="0" w:color="C9D6BC"/>
            </w:tcBorders>
          </w:tcPr>
          <w:p w14:paraId="79E51845" w14:textId="77777777" w:rsidR="00570271" w:rsidRDefault="00C213F8">
            <w:pPr>
              <w:spacing w:after="40" w:line="250" w:lineRule="exact"/>
            </w:pPr>
            <w:r>
              <w:rPr>
                <w:sz w:val="18"/>
                <w:szCs w:val="18"/>
              </w:rPr>
              <w:t>Founder</w:t>
            </w:r>
          </w:p>
        </w:tc>
      </w:tr>
      <w:tr w:rsidR="00570271" w14:paraId="79E5184B" w14:textId="77777777">
        <w:tc>
          <w:tcPr>
            <w:tcW w:w="500" w:type="dxa"/>
            <w:tcBorders>
              <w:top w:val="single" w:sz="2" w:space="0" w:color="C9D6BC"/>
              <w:left w:val="single" w:sz="4" w:space="0" w:color="C9D6BC"/>
              <w:bottom w:val="single" w:sz="4" w:space="0" w:color="C9D6BC"/>
              <w:right w:val="single" w:sz="2" w:space="0" w:color="C9D6BC"/>
            </w:tcBorders>
            <w:shd w:val="clear" w:color="auto" w:fill="EEF2E9"/>
          </w:tcPr>
          <w:p w14:paraId="79E51847" w14:textId="77777777" w:rsidR="00570271" w:rsidRDefault="00C213F8">
            <w:pPr>
              <w:spacing w:after="40" w:line="250" w:lineRule="exact"/>
            </w:pPr>
            <w:r>
              <w:rPr>
                <w:sz w:val="18"/>
                <w:szCs w:val="18"/>
              </w:rPr>
              <w:t>D8</w:t>
            </w:r>
          </w:p>
        </w:tc>
        <w:tc>
          <w:tcPr>
            <w:tcW w:w="3900" w:type="dxa"/>
            <w:tcBorders>
              <w:top w:val="single" w:sz="2" w:space="0" w:color="C9D6BC"/>
              <w:left w:val="single" w:sz="2" w:space="0" w:color="C9D6BC"/>
              <w:bottom w:val="single" w:sz="4" w:space="0" w:color="C9D6BC"/>
              <w:right w:val="single" w:sz="2" w:space="0" w:color="C9D6BC"/>
            </w:tcBorders>
            <w:shd w:val="clear" w:color="auto" w:fill="EEF2E9"/>
          </w:tcPr>
          <w:p w14:paraId="79E51848" w14:textId="77777777" w:rsidR="00570271" w:rsidRDefault="00C213F8">
            <w:pPr>
              <w:spacing w:after="40" w:line="250" w:lineRule="exact"/>
            </w:pPr>
            <w:r>
              <w:rPr>
                <w:sz w:val="18"/>
                <w:szCs w:val="18"/>
              </w:rPr>
              <w:t>Consent, data-residency and retention model per market.</w:t>
            </w:r>
          </w:p>
        </w:tc>
        <w:tc>
          <w:tcPr>
            <w:tcW w:w="3125" w:type="dxa"/>
            <w:tcBorders>
              <w:top w:val="single" w:sz="2" w:space="0" w:color="C9D6BC"/>
              <w:left w:val="single" w:sz="2" w:space="0" w:color="C9D6BC"/>
              <w:bottom w:val="single" w:sz="4" w:space="0" w:color="C9D6BC"/>
              <w:right w:val="single" w:sz="2" w:space="0" w:color="C9D6BC"/>
            </w:tcBorders>
            <w:shd w:val="clear" w:color="auto" w:fill="EEF2E9"/>
          </w:tcPr>
          <w:p w14:paraId="79E51849" w14:textId="77777777" w:rsidR="00570271" w:rsidRDefault="00C213F8">
            <w:pPr>
              <w:spacing w:after="40" w:line="250" w:lineRule="exact"/>
            </w:pPr>
            <w:r>
              <w:rPr>
                <w:sz w:val="18"/>
                <w:szCs w:val="18"/>
              </w:rPr>
              <w:t>Granular, revocable consent; residency and retention configured per market; confirm with counsel.</w:t>
            </w:r>
          </w:p>
        </w:tc>
        <w:tc>
          <w:tcPr>
            <w:tcW w:w="1500" w:type="dxa"/>
            <w:tcBorders>
              <w:top w:val="single" w:sz="2" w:space="0" w:color="C9D6BC"/>
              <w:left w:val="single" w:sz="2" w:space="0" w:color="C9D6BC"/>
              <w:bottom w:val="single" w:sz="4" w:space="0" w:color="C9D6BC"/>
              <w:right w:val="single" w:sz="4" w:space="0" w:color="C9D6BC"/>
            </w:tcBorders>
            <w:shd w:val="clear" w:color="auto" w:fill="EEF2E9"/>
          </w:tcPr>
          <w:p w14:paraId="79E5184A" w14:textId="77777777" w:rsidR="00570271" w:rsidRDefault="00C213F8">
            <w:pPr>
              <w:spacing w:after="40" w:line="250" w:lineRule="exact"/>
            </w:pPr>
            <w:r>
              <w:rPr>
                <w:sz w:val="18"/>
                <w:szCs w:val="18"/>
              </w:rPr>
              <w:t>Legal + Eng</w:t>
            </w:r>
          </w:p>
        </w:tc>
      </w:tr>
    </w:tbl>
    <w:p w14:paraId="79E5184C" w14:textId="77777777" w:rsidR="00570271" w:rsidRDefault="00570271">
      <w:pPr>
        <w:pBdr>
          <w:bottom w:val="single" w:sz="6" w:space="0" w:color="C9D6BC"/>
        </w:pBdr>
        <w:spacing w:before="60" w:after="160"/>
      </w:pPr>
    </w:p>
    <w:p w14:paraId="79E5184D" w14:textId="77777777" w:rsidR="00570271" w:rsidRDefault="00C213F8">
      <w:pPr>
        <w:spacing w:after="120" w:line="276" w:lineRule="exact"/>
      </w:pPr>
      <w:r>
        <w:rPr>
          <w:b/>
          <w:bCs/>
        </w:rPr>
        <w:t xml:space="preserve">How to use this document.  </w:t>
      </w:r>
      <w:r>
        <w:t xml:space="preserve">Resolve D1–D4 first; they unblock the build and fix the most expensive-to-retrofit decisions. The clinical board (D6) should be standing before safety rules are authored, because it owns them. Everything in Parts IV and V should </w:t>
      </w:r>
      <w:proofErr w:type="gramStart"/>
      <w:r>
        <w:t>be in place</w:t>
      </w:r>
      <w:proofErr w:type="gramEnd"/>
      <w:r>
        <w:t xml:space="preserve"> before general availability, not after. Each engineering rule (ER-24 to ER-46) extends the single index that runs across the Constitution, the Reasoning Architecture and this document — one architecture, three views.</w:t>
      </w:r>
    </w:p>
    <w:p w14:paraId="79E5184E" w14:textId="77777777" w:rsidR="00570271" w:rsidRDefault="00C213F8">
      <w:pPr>
        <w:spacing w:before="240"/>
      </w:pPr>
      <w:r>
        <w:rPr>
          <w:i/>
          <w:iCs/>
          <w:color w:val="6B6B6B"/>
          <w:sz w:val="19"/>
          <w:szCs w:val="19"/>
        </w:rPr>
        <w:t>End of working draft v0.1.</w:t>
      </w:r>
    </w:p>
    <w:sectPr w:rsidR="00570271">
      <w:footerReference w:type="even" r:id="rId8"/>
      <w:footerReference w:type="default" r:id="rId9"/>
      <w:footerReference w:type="first" r:id="rId10"/>
      <w:pgSz w:w="11906" w:h="16838"/>
      <w:pgMar w:top="1440" w:right="1440" w:bottom="1440" w:left="1440" w:header="0"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AC284" w14:textId="77777777" w:rsidR="009B5EF5" w:rsidRDefault="009B5EF5">
      <w:r>
        <w:separator/>
      </w:r>
    </w:p>
  </w:endnote>
  <w:endnote w:type="continuationSeparator" w:id="0">
    <w:p w14:paraId="4ADE5F3E" w14:textId="77777777" w:rsidR="009B5EF5" w:rsidRDefault="009B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184F" w14:textId="77777777" w:rsidR="00570271" w:rsidRDefault="005702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1850" w14:textId="77777777" w:rsidR="00570271" w:rsidRDefault="00C213F8">
    <w:pPr>
      <w:jc w:val="center"/>
    </w:pPr>
    <w:proofErr w:type="spellStart"/>
    <w:r>
      <w:rPr>
        <w:color w:val="6B6B6B"/>
        <w:sz w:val="15"/>
        <w:szCs w:val="15"/>
      </w:rPr>
      <w:t>BioSense</w:t>
    </w:r>
    <w:proofErr w:type="spellEnd"/>
    <w:r>
      <w:rPr>
        <w:color w:val="6B6B6B"/>
        <w:sz w:val="15"/>
        <w:szCs w:val="15"/>
      </w:rPr>
      <w:t xml:space="preserve"> Health OS — System Completion Specification </w:t>
    </w:r>
    <w:proofErr w:type="gramStart"/>
    <w:r>
      <w:rPr>
        <w:color w:val="6B6B6B"/>
        <w:sz w:val="15"/>
        <w:szCs w:val="15"/>
      </w:rPr>
      <w:t>v0.1  ·</w:t>
    </w:r>
    <w:proofErr w:type="gramEnd"/>
    <w:r>
      <w:rPr>
        <w:color w:val="6B6B6B"/>
        <w:sz w:val="15"/>
        <w:szCs w:val="15"/>
      </w:rPr>
      <w:t xml:space="preserve">  </w:t>
    </w:r>
    <w:proofErr w:type="gramStart"/>
    <w:r>
      <w:rPr>
        <w:color w:val="6B6B6B"/>
        <w:sz w:val="15"/>
        <w:szCs w:val="15"/>
      </w:rPr>
      <w:t>Confidential  ·</w:t>
    </w:r>
    <w:proofErr w:type="gramEnd"/>
    <w:r>
      <w:rPr>
        <w:color w:val="6B6B6B"/>
        <w:sz w:val="15"/>
        <w:szCs w:val="15"/>
      </w:rPr>
      <w:t xml:space="preserve">  Page </w:t>
    </w:r>
    <w:r>
      <w:fldChar w:fldCharType="begin"/>
    </w:r>
    <w:r>
      <w:instrText xml:space="preserve"> PAGE </w:instrText>
    </w:r>
    <w:r>
      <w:fldChar w:fldCharType="separate"/>
    </w:r>
    <w: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1851" w14:textId="77777777" w:rsidR="00570271" w:rsidRDefault="00C213F8">
    <w:pPr>
      <w:jc w:val="center"/>
    </w:pPr>
    <w:proofErr w:type="spellStart"/>
    <w:r>
      <w:rPr>
        <w:color w:val="6B6B6B"/>
        <w:sz w:val="15"/>
        <w:szCs w:val="15"/>
      </w:rPr>
      <w:t>BioSense</w:t>
    </w:r>
    <w:proofErr w:type="spellEnd"/>
    <w:r>
      <w:rPr>
        <w:color w:val="6B6B6B"/>
        <w:sz w:val="15"/>
        <w:szCs w:val="15"/>
      </w:rPr>
      <w:t xml:space="preserve"> Health OS — System Completion Specification </w:t>
    </w:r>
    <w:proofErr w:type="gramStart"/>
    <w:r>
      <w:rPr>
        <w:color w:val="6B6B6B"/>
        <w:sz w:val="15"/>
        <w:szCs w:val="15"/>
      </w:rPr>
      <w:t>v0.1  ·</w:t>
    </w:r>
    <w:proofErr w:type="gramEnd"/>
    <w:r>
      <w:rPr>
        <w:color w:val="6B6B6B"/>
        <w:sz w:val="15"/>
        <w:szCs w:val="15"/>
      </w:rPr>
      <w:t xml:space="preserve">  </w:t>
    </w:r>
    <w:proofErr w:type="gramStart"/>
    <w:r>
      <w:rPr>
        <w:color w:val="6B6B6B"/>
        <w:sz w:val="15"/>
        <w:szCs w:val="15"/>
      </w:rPr>
      <w:t>Confidential  ·</w:t>
    </w:r>
    <w:proofErr w:type="gramEnd"/>
    <w:r>
      <w:rPr>
        <w:color w:val="6B6B6B"/>
        <w:sz w:val="15"/>
        <w:szCs w:val="15"/>
      </w:rPr>
      <w:t xml:space="preserve">  Page </w:t>
    </w:r>
    <w:r>
      <w:fldChar w:fldCharType="begin"/>
    </w:r>
    <w:r>
      <w:instrText xml:space="preserve"> PAGE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AF306" w14:textId="77777777" w:rsidR="009B5EF5" w:rsidRDefault="009B5EF5">
      <w:r>
        <w:separator/>
      </w:r>
    </w:p>
  </w:footnote>
  <w:footnote w:type="continuationSeparator" w:id="0">
    <w:p w14:paraId="79DD0697" w14:textId="77777777" w:rsidR="009B5EF5" w:rsidRDefault="009B5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D1CC6"/>
    <w:multiLevelType w:val="multilevel"/>
    <w:tmpl w:val="195884CA"/>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DD35D5B"/>
    <w:multiLevelType w:val="multilevel"/>
    <w:tmpl w:val="796244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1311126">
    <w:abstractNumId w:val="0"/>
  </w:num>
  <w:num w:numId="2" w16cid:durableId="345132243">
    <w:abstractNumId w:val="1"/>
  </w:num>
  <w:num w:numId="3" w16cid:durableId="874000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0271"/>
    <w:rsid w:val="00410301"/>
    <w:rsid w:val="00570271"/>
    <w:rsid w:val="006463D5"/>
    <w:rsid w:val="00835305"/>
    <w:rsid w:val="009B5EF5"/>
    <w:rsid w:val="00AC41A9"/>
    <w:rsid w:val="00C213F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16F5"/>
  <w15:docId w15:val="{2286ECC0-204A-46E1-928A-AEB40DD3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1C"/>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3524</Words>
  <Characters>26750</Characters>
  <Application>Microsoft Office Word</Application>
  <DocSecurity>0</DocSecurity>
  <Lines>922</Lines>
  <Paragraphs>738</Paragraphs>
  <ScaleCrop>false</ScaleCrop>
  <Company/>
  <LinksUpToDate>false</LinksUpToDate>
  <CharactersWithSpaces>29536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BioSense Health OS — System Completion Specification v0.1</dc:title>
  <dc:subject/>
  <dc:creator>BioSense / Architecture Review</dc:creator>
  <dc:description>The operating-system envelope around the reasoning kernel</dc:description>
  <cp:lastModifiedBy>Neil MacLaren</cp:lastModifiedBy>
  <cp:revision>4</cp:revision>
  <dcterms:created xsi:type="dcterms:W3CDTF">2026-07-06T03:32:00Z</dcterms:created>
  <dcterms:modified xsi:type="dcterms:W3CDTF">2026-07-09T06:36:00Z</dcterms:modified>
  <dc:language>en-US</dc:language>
</cp:coreProperties>
</file>