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pPr>
      <w:r>
        <w:rPr>
          <w:rFonts w:ascii="Inter" w:cs="Inter" w:eastAsia="Inter" w:hAnsi="Inter"/>
          <w:b/>
          <w:bCs/>
          <w:color w:val="8FA99A"/>
          <w:sz w:val="30"/>
          <w:szCs w:val="30"/>
        </w:rPr>
        <w:t xml:space="preserve">BioSense</w:t>
      </w:r>
    </w:p>
    <w:p>
      <w:pPr>
        <w:spacing w:after="0" w:before="40"/>
      </w:pPr>
      <w:r>
        <w:rPr>
          <w:rFonts w:ascii="Inter" w:cs="Inter" w:eastAsia="Inter" w:hAnsi="Inter"/>
          <w:color w:val="22302A"/>
          <w:sz w:val="20"/>
          <w:szCs w:val="20"/>
        </w:rPr>
        <w:t xml:space="preserve">Global Scientific Configuration · Governance Record</w:t>
      </w:r>
    </w:p>
    <w:p>
      <w:pPr>
        <w:pBdr>
          <w:bottom w:val="single" w:color="3F5E4E" w:sz="12" w:space="10"/>
        </w:pBdr>
        <w:spacing w:after="0" w:before="520"/>
      </w:pPr>
      <w:r>
        <w:rPr>
          <w:rFonts w:ascii="Inter" w:cs="Inter" w:eastAsia="Inter" w:hAnsi="Inter"/>
          <w:b/>
          <w:bCs/>
          <w:color w:val="3F5E4E"/>
          <w:sz w:val="58"/>
          <w:szCs w:val="58"/>
        </w:rPr>
        <w:t xml:space="preserve">GSC-001</w:t>
      </w:r>
    </w:p>
    <w:p>
      <w:pPr>
        <w:spacing w:after="0" w:before="160"/>
      </w:pPr>
      <w:r>
        <w:rPr>
          <w:rFonts w:ascii="Inter" w:cs="Inter" w:eastAsia="Inter" w:hAnsi="Inter"/>
          <w:b/>
          <w:bCs/>
          <w:color w:val="22302A"/>
          <w:sz w:val="30"/>
          <w:szCs w:val="30"/>
        </w:rPr>
        <w:t xml:space="preserve">Pre-Freeze Decision Register</w:t>
      </w:r>
    </w:p>
    <w:p>
      <w:pPr>
        <w:spacing w:after="0" w:before="40"/>
      </w:pPr>
      <w:r>
        <w:rPr>
          <w:rFonts w:ascii="Inter" w:cs="Inter" w:eastAsia="Inter" w:hAnsi="Inter"/>
          <w:i/>
          <w:iCs/>
          <w:color w:val="3F5E4E"/>
          <w:sz w:val="22"/>
          <w:szCs w:val="22"/>
        </w:rPr>
        <w:t xml:space="preserve">Adjudication of the independent architectural review findings</w:t>
      </w:r>
    </w:p>
    <w:p>
      <w:pPr>
        <w:spacing w:before="820"/>
      </w:pPr>
      <w:r>
        <w:rPr>
          <w:rFonts w:ascii="Inter" w:cs="Inter" w:eastAsia="Inter" w:hAnsi="Inter"/>
          <w:b/>
          <w:bCs/>
          <w:color w:val="3F5E4E"/>
          <w:sz w:val="20"/>
          <w:szCs w:val="20"/>
        </w:rPr>
        <w:t xml:space="preserve">Role  </w:t>
      </w:r>
      <w:r>
        <w:rPr>
          <w:rFonts w:ascii="Inter" w:cs="Inter" w:eastAsia="Inter" w:hAnsi="Inter"/>
          <w:color w:val="22302A"/>
          <w:sz w:val="20"/>
          <w:szCs w:val="20"/>
        </w:rPr>
        <w:t xml:space="preserve">Chief Scientific Architect, BioSense</w:t>
      </w:r>
    </w:p>
    <w:p>
      <w:pPr>
        <w:spacing w:before="40"/>
      </w:pPr>
      <w:r>
        <w:rPr>
          <w:rFonts w:ascii="Inter" w:cs="Inter" w:eastAsia="Inter" w:hAnsi="Inter"/>
          <w:b/>
          <w:bCs/>
          <w:color w:val="3F5E4E"/>
          <w:sz w:val="20"/>
          <w:szCs w:val="20"/>
        </w:rPr>
        <w:t xml:space="preserve">Applies to  </w:t>
      </w:r>
      <w:r>
        <w:rPr>
          <w:rFonts w:ascii="Inter" w:cs="Inter" w:eastAsia="Inter" w:hAnsi="Inter"/>
          <w:color w:val="22302A"/>
          <w:sz w:val="20"/>
          <w:szCs w:val="20"/>
        </w:rPr>
        <w:t xml:space="preserve">GSC-001 Health Score Methodology, v1.0 Freeze Candidate</w:t>
      </w:r>
    </w:p>
    <w:p>
      <w:pPr>
        <w:spacing w:before="40"/>
      </w:pPr>
      <w:r>
        <w:rPr>
          <w:rFonts w:ascii="Inter" w:cs="Inter" w:eastAsia="Inter" w:hAnsi="Inter"/>
          <w:b/>
          <w:bCs/>
          <w:color w:val="3F5E4E"/>
          <w:sz w:val="20"/>
          <w:szCs w:val="20"/>
        </w:rPr>
        <w:t xml:space="preserve">Outcome  </w:t>
      </w:r>
      <w:r>
        <w:rPr>
          <w:rFonts w:ascii="Inter" w:cs="Inter" w:eastAsia="Inter" w:hAnsi="Inter"/>
          <w:color w:val="22302A"/>
          <w:sz w:val="20"/>
          <w:szCs w:val="20"/>
        </w:rPr>
        <w:t xml:space="preserve">13 findings accepted, 2 partially accepted, 8 observations retained without change; 0 rejected</w:t>
      </w:r>
    </w:p>
    <w:p>
      <w:pPr>
        <w:spacing w:before="40"/>
      </w:pPr>
      <w:r>
        <w:rPr>
          <w:rFonts w:ascii="Inter" w:cs="Inter" w:eastAsia="Inter" w:hAnsi="Inter"/>
          <w:b/>
          <w:bCs/>
          <w:color w:val="3F5E4E"/>
          <w:sz w:val="20"/>
          <w:szCs w:val="20"/>
        </w:rPr>
        <w:t xml:space="preserve">Classification  </w:t>
      </w:r>
      <w:r>
        <w:rPr>
          <w:rFonts w:ascii="Inter" w:cs="Inter" w:eastAsia="Inter" w:hAnsi="Inter"/>
          <w:color w:val="22302A"/>
          <w:sz w:val="20"/>
          <w:szCs w:val="20"/>
        </w:rPr>
        <w:t xml:space="preserve">Confidential — Internal Engineering Governance Record</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1.  Adjudication Method</w:t>
      </w:r>
    </w:p>
    <w:p>
      <w:pPr>
        <w:spacing w:after="160" w:line="288"/>
        <w:jc w:val="both"/>
      </w:pPr>
      <w:r>
        <w:rPr>
          <w:rFonts w:ascii="Inter" w:cs="Inter" w:eastAsia="Inter" w:hAnsi="Inter"/>
          <w:b w:val="false"/>
          <w:bCs w:val="false"/>
          <w:i/>
          <w:iCs/>
          <w:color w:val="3F5E4E"/>
          <w:sz w:val="22"/>
          <w:szCs w:val="22"/>
        </w:rPr>
        <w:t xml:space="preserve">Each finding of the independent Pre-Freeze Architectural Review was evaluated against the BioSense architectural principles — long-term stability, clean ownership, buildability, scientific defensibility, scalability, IP defensibility, and zero duplication, drift or contradiction with GSC-000, the Constitution, the Engineering library and the Scientific Configuration Library. The task was not to implement every recommendation but to determine whether each genuinely improves the architecture.</w:t>
      </w:r>
    </w:p>
    <w:p>
      <w:pPr>
        <w:spacing w:after="140" w:before="0" w:line="276"/>
        <w:jc w:val="both"/>
      </w:pPr>
      <w:r>
        <w:rPr>
          <w:rFonts w:ascii="Inter" w:cs="Inter" w:eastAsia="Inter" w:hAnsi="Inter"/>
          <w:b w:val="false"/>
          <w:bCs w:val="false"/>
          <w:i w:val="false"/>
          <w:iCs w:val="false"/>
          <w:color w:val="22302A"/>
          <w:sz w:val="21"/>
          <w:szCs w:val="21"/>
        </w:rPr>
        <w:t xml:space="preserve">Where a finding was accepted, the smallest possible change was made to GSC-001, preserving the existing writing style and structure. Where a finding was partially accepted, the sound part was implemented and the part that would have weakened the architecture was declined with reasons. No finding was rejected outright, but two were only partially adopted. The register below records every finding, its decision, the reasoning, and the exact change made.</w:t>
      </w:r>
    </w:p>
    <w:p>
      <w:pPr>
        <w:pStyle w:val="Heading2"/>
        <w:spacing w:after="100" w:before="240"/>
      </w:pPr>
      <w:r>
        <w:rPr>
          <w:rFonts w:ascii="Inter" w:cs="Inter" w:eastAsia="Inter" w:hAnsi="Inter"/>
          <w:b/>
          <w:bCs/>
          <w:color w:val="3F5E4E"/>
          <w:sz w:val="24"/>
          <w:szCs w:val="24"/>
        </w:rPr>
        <w:t xml:space="preserve">1.1  Outcome summary</w:t>
      </w:r>
    </w:p>
    <w:tbl>
      <w:tblPr>
        <w:tblW w:type="dxa" w:w="9360"/>
        <w:tblBorders>
          <w:top w:val="single" w:color="C9D6CE" w:sz="2"/>
          <w:left w:val="single" w:color="C9D6CE" w:sz="2"/>
          <w:bottom w:val="single" w:color="C9D6CE" w:sz="2"/>
          <w:right w:val="single" w:color="C9D6CE" w:sz="2"/>
          <w:insideH w:val="single" w:color="C9D6CE" w:sz="2"/>
          <w:insideV w:val="single" w:color="C9D6CE" w:sz="2"/>
        </w:tblBorders>
      </w:tblPr>
      <w:tblGrid>
        <w:gridCol w:w="2100"/>
        <w:gridCol w:w="1000"/>
        <w:gridCol w:w="6260"/>
      </w:tblGrid>
      <w:tr>
        <w:trPr>
          <w:tblHeader/>
        </w:trPr>
        <w:tc>
          <w:tcPr>
            <w:tcW w:type="dxa" w:w="21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Decision</w:t>
            </w:r>
          </w:p>
        </w:tc>
        <w:tc>
          <w:tcPr>
            <w:tcW w:type="dxa" w:w="100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Count</w:t>
            </w:r>
          </w:p>
        </w:tc>
        <w:tc>
          <w:tcPr>
            <w:tcW w:type="dxa" w:w="6260"/>
            <w:shd w:fill="3F5E4E" w:color="auto" w:val="clear"/>
            <w:tcMar>
              <w:top w:type="dxa" w:w="80"/>
              <w:left w:type="dxa" w:w="110"/>
              <w:bottom w:type="dxa" w:w="80"/>
              <w:right w:type="dxa" w:w="110"/>
            </w:tcMar>
          </w:tcPr>
          <w:p>
            <w:pPr>
              <w:spacing w:after="0"/>
            </w:pPr>
            <w:r>
              <w:rPr>
                <w:rFonts w:ascii="Inter" w:cs="Inter" w:eastAsia="Inter" w:hAnsi="Inter"/>
                <w:b/>
                <w:bCs/>
                <w:color w:val="FFFFFF"/>
                <w:sz w:val="19"/>
                <w:szCs w:val="19"/>
              </w:rPr>
              <w:t xml:space="preserve">Findings</w:t>
            </w:r>
          </w:p>
        </w:tc>
      </w:tr>
      <w:tr>
        <w:tc>
          <w:tcPr>
            <w:tcW w:type="dxa" w:w="21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Accepted</w:t>
            </w:r>
          </w:p>
        </w:tc>
        <w:tc>
          <w:tcPr>
            <w:tcW w:type="dxa" w:w="10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13</w:t>
            </w:r>
          </w:p>
        </w:tc>
        <w:tc>
          <w:tcPr>
            <w:tcW w:type="dxa" w:w="62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HC-1, SD-1, AC-1, OD-1, SR-1, FS-1, HC-2, SD-2, SR-2, EB-2, FS-3, FD-2, and IP-2 (folded into SR-1).</w:t>
            </w:r>
          </w:p>
        </w:tc>
      </w:tr>
      <w:tr>
        <w:tc>
          <w:tcPr>
            <w:tcW w:type="dxa" w:w="21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Partially accepted</w:t>
            </w:r>
          </w:p>
        </w:tc>
        <w:tc>
          <w:tcPr>
            <w:tcW w:type="dxa" w:w="10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2</w:t>
            </w:r>
          </w:p>
        </w:tc>
        <w:tc>
          <w:tcPr>
            <w:tcW w:type="dxa" w:w="62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EB-1 (named the form; declined to hard-code coefficients); OD-2 (trimmed; kept the requirement).</w:t>
            </w:r>
          </w:p>
        </w:tc>
      </w:tr>
      <w:tr>
        <w:tc>
          <w:tcPr>
            <w:tcW w:type="dxa" w:w="21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Retained (Observation)</w:t>
            </w:r>
          </w:p>
        </w:tc>
        <w:tc>
          <w:tcPr>
            <w:tcW w:type="dxa" w:w="100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8</w:t>
            </w:r>
          </w:p>
        </w:tc>
        <w:tc>
          <w:tcPr>
            <w:tcW w:type="dxa" w:w="6260"/>
            <w:shd w:fill="FFFFFF"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AC-2, SD-3, HC-3, SR-3, EB-3, FS-2, FD-1, IP-1 (satisfied via EB-1 partial).</w:t>
            </w:r>
          </w:p>
        </w:tc>
      </w:tr>
      <w:tr>
        <w:tc>
          <w:tcPr>
            <w:tcW w:type="dxa" w:w="21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Rejected</w:t>
            </w:r>
          </w:p>
        </w:tc>
        <w:tc>
          <w:tcPr>
            <w:tcW w:type="dxa" w:w="100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0</w:t>
            </w:r>
          </w:p>
        </w:tc>
        <w:tc>
          <w:tcPr>
            <w:tcW w:type="dxa" w:w="6260"/>
            <w:shd w:fill="F0EEE7" w:color="auto" w:val="clear"/>
            <w:tcMar>
              <w:top w:type="dxa" w:w="70"/>
              <w:left w:type="dxa" w:w="110"/>
              <w:bottom w:type="dxa" w:w="70"/>
              <w:right w:type="dxa" w:w="110"/>
            </w:tcMar>
          </w:tcPr>
          <w:p>
            <w:pPr>
              <w:spacing w:after="0"/>
            </w:pPr>
            <w:r>
              <w:rPr>
                <w:rFonts w:ascii="Inter" w:cs="Inter" w:eastAsia="Inter" w:hAnsi="Inter"/>
                <w:color w:val="22302A"/>
                <w:sz w:val="18"/>
                <w:szCs w:val="18"/>
              </w:rPr>
              <w:t xml:space="preserve">None. No finding was found to be architecturally harmful.</w:t>
            </w:r>
          </w:p>
        </w:tc>
      </w:tr>
    </w:tbl>
    <w:p>
      <w:pPr>
        <w:spacing w:after="140" w:before="0" w:line="276"/>
        <w:jc w:val="both"/>
      </w:pPr>
      <w:r>
        <w:rPr>
          <w:rFonts w:ascii="Inter" w:cs="Inter" w:eastAsia="Inter" w:hAnsi="Inter"/>
          <w:b w:val="false"/>
          <w:bCs w:val="false"/>
          <w:i w:val="false"/>
          <w:iCs w:val="false"/>
          <w:color w:val="22302A"/>
          <w:sz w:val="21"/>
          <w:szCs w:val="21"/>
        </w:rPr>
        <w:t xml:space="preserve">The seven Major findings all clustered on one theme — the boundary around temporal state and the personal baseline — and were resolved together by a single coherent reconciliation (the score is a pure function of present understanding, ENG-001-supplied prior state, and pinned versions), plus two targeted specification tightenings.</w:t>
      </w:r>
    </w:p>
    <w:p>
      <w:pPr>
        <w:pStyle w:val="Heading1"/>
        <w:pBdr>
          <w:bottom w:val="single" w:color="8FA99A" w:sz="8" w:space="6"/>
        </w:pBdr>
        <w:spacing w:after="140" w:before="0"/>
      </w:pPr>
      <w:r>
        <w:br w:type="page"/>
      </w:r>
      <w:r>
        <w:rPr>
          <w:rFonts w:ascii="Inter" w:cs="Inter" w:eastAsia="Inter" w:hAnsi="Inter"/>
          <w:b/>
          <w:bCs/>
          <w:color w:val="3F5E4E"/>
          <w:sz w:val="30"/>
          <w:szCs w:val="30"/>
        </w:rPr>
        <w:t xml:space="preserve">2.  The Decision Register</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HC-1   Path-dependence vs reproducibility</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A genuine latent contradiction: Chapters 6.9 and 21.4 promised reproducibility from present understanding, while Chapters 15–16 made the score depend on its own history. Left unresolved, a team would build either a stateless (unstable) or a stateful (non-reproducible-as-stated) score. Reconciling it protects the auditability and IP claims that rest on reproducibility.</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Amended §6.9 and §21.4 to define reproducibility as deterministic given present understanding, the ENG-001-supplied prior state, and pinned method and dependency versions, with the prior state recorded on every snapshot so a path-dependent score remains fully reproducible.</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SD-1   Hysteresis introduces undeclared temporal state</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Same root cause as HC-1. Hysteresis and damping legitimately require temporal state, but ownership of that state was undeclared, risking duplication of DHM state or a path-dependent score with no defined home for its history.</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Added an "Ownership of temporal state" note after §15.2.6 placing the prior state (previous score, direction, smoothing memory) in ENG-001, with GSC-001 owning only the damping and hysteresis policy. Recorded as design decision 24.11.</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AC-1   Personal baseline on an unmarked boundary</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The baseline is Biological Identity, a DHM/ENG-001-owned construct, yet the text spoke of "the method resets the baseline". This risked two teams owning baseline in two places — exactly the duplication GSC-000 forbids — and the baseline underpins every contribution.</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Added an ownership callout to §8.2 stating the baseline is owned and maintained by ENG-001 and consumed by the method, which defines only the reset policy. Corrected the reset wording in §16.5 and §23.4 accordingly.</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OD-1   Longitudinal weighting claimed by GSC-008 and GSC-001</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Both §11.2 (consuming GSC-008’s longitudinal weighting) and Chapter 16 (defining longitudinal behaviour) could claim the same responsibility, the most likely future source of a silent contradiction between two independently-versioned documents.</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Added a boundary callout to §11.2 (GSC-008 owns evidence-over-time weighting; GSC-001 owns permitted score movement) and a consume-not-redefine line to §16.1.</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SR-1   Personal baseline can normalise slow whole-person drift</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A real scientific-robustness gap: continually re-referencing to a drifting baseline can normalise uniform adverse decline — the mirror of the acute-masking problem the method solves, and more dangerous because invisible. The fix also yields distinctive IP (subsumes IP-2).</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Added §8.7 "The dual reference": personal baseline for sensitivity plus a retained population anchor, with sustained divergence surfaced as reduced confidence and a signal to GSC-009/narrative. Recorded as design decision 24.9 and glossary term "dual reference".</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FS-1   Fixed ten-domain taxonomy is a latent scaling constraint</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At 500 biomarkers and many new modalities, "the taxonomy is revisable" is weaker than a governed admission procedure. Without one, each new class risks an ad-hoc weight and a silent shift in every existing score.</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Added §5.6 "Domain extensibility": admission criteria, mandatory GSC-004/GSC-008 entry profile, regression requirement and versioning; folded the FS-2 genetics/exposures intent in. Recorded as design decisions 24.10.</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HC-2   Undefined load-bearing terms</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"Material", "expected baseline" and "durability discipline" carried real methodological weight without definition; "material" in particular is the gate for negative protection and, undefined, would be silently chosen by whoever built first.</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Added glossary definitions for all three (plus "prior state" and "dual reference"). Materiality defined as a function of magnitude and confidence, with the threshold assigned to GSC-004 (see FD-2).</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SD-2   Prose attributes computation to the method</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Passages saying the method "resets", "moves" or "damps" read literally as a document performing runtime action, blurring the very seam the document establishes.</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Added a single "Reading convention" callout to §1.4: where the document says the method acts, it means the method specifies that ENG-001 shall act. No per-passage rewrite needed.</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SR-2   Bound vs negative-protection precedence unspecified</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The interaction between the per-domain bound and the negative-protection exception was undefined precisely on the most important cases (severe findings), risking either a capped genuine finding or a destabilised score.</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Added a precedence paragraph to §7.4: negative protection overrides the per-domain bound up to a configurable protection ceiling, keeping severe findings visible without unlimited single-domain capture.</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EB-2   Conditioning order of operations not fixed</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The order of applying weight, confidence and freshness was unspecified; different orders yield different results near bounds, a classic source of two-team divergence.</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Fixed the order in §8.4 as a configurable default: multiplicative conditioning (freshness then confidence) before cross-domain weighting, with the specific curves still owned by GSC-008/GSC-003.</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FS-3   AI-generated observation provenance/confidence</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As AI-generated observations grow, treating inferred understanding with the same confidence as measured data could bias the score toward whatever the generator over-produces.</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Added a sentence to §10.5 noting provenance is a legitimate confidence input owned by GSC-003, which the score inherits rather than assuming parity between measured and inferred understanding.</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FD-2   Materiality/freshness fixes must not pre-empt GSC-004/008</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Two fixes (defining "material"; the longitudinal seam) touch documents not yet written. Resolving them by annexing a sibling document’s decision would trade one boundary problem for another.</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Framed both as requirements GSC-001 places on siblings: materiality is owned by GSC-004 (stated in §9.1 and the glossary); the longitudinal line defers evidence weighting to GSC-008 (§11.2). No sibling decision was pre-empted.</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IP-2   Dual-reference baseline as signature IP</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The SR-1 fix, articulated as a named dual-reference technique, is genuinely novel in a consumer wellness score and turns a robustness fix into a differentiator.</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Documented explicitly as a named technique in §8.7, the glossary and design decision 24.9. Implemented together with SR-1.</w:t>
      </w:r>
    </w:p>
    <w:p>
      <w:pPr>
        <w:keepNext/>
        <w:pBdr>
          <w:left w:val="single" w:color="B07A3C" w:sz="20" w:space="8"/>
        </w:pBdr>
        <w:spacing w:after="60" w:before="220"/>
      </w:pPr>
      <w:r>
        <w:rPr>
          <w:rFonts w:ascii="Inter" w:cs="Inter" w:eastAsia="Inter" w:hAnsi="Inter"/>
          <w:b/>
          <w:bCs/>
          <w:color w:val="B07A3C"/>
          <w:sz w:val="20"/>
          <w:szCs w:val="20"/>
        </w:rPr>
        <w:t xml:space="preserve">PARTIALLY ACCEPTED  ·  </w:t>
      </w:r>
      <w:r>
        <w:rPr>
          <w:rFonts w:ascii="Inter" w:cs="Inter" w:eastAsia="Inter" w:hAnsi="Inter"/>
          <w:b/>
          <w:bCs/>
          <w:color w:val="3F5E4E"/>
          <w:sz w:val="22"/>
          <w:szCs w:val="22"/>
        </w:rPr>
        <w:t xml:space="preserve">EB-1   Core aggregation under-determined for identical build</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The concern is valid: the single function that produces the number was specified only by properties, so two teams could satisfy them differently. But hard-coding a specific formula with coefficients would drift toward Engineering, embed magic numbers, and reduce the flexibility calibration needs. The right resolution names the form without fixing the coefficients.</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Added §6.4.2 "The canonical composition form": a single named three-part form (weighted central tendency, negative-protection term, saturating transfer) with fixed structure and order as the configurable-default reference methodology, coefficients still owned by calibration (Chapter 21). Declined to specify coefficients or code. This also satisfies IP-1.</w:t>
      </w:r>
    </w:p>
    <w:p>
      <w:pPr>
        <w:keepNext/>
        <w:pBdr>
          <w:left w:val="single" w:color="B07A3C" w:sz="20" w:space="8"/>
        </w:pBdr>
        <w:spacing w:after="60" w:before="220"/>
      </w:pPr>
      <w:r>
        <w:rPr>
          <w:rFonts w:ascii="Inter" w:cs="Inter" w:eastAsia="Inter" w:hAnsi="Inter"/>
          <w:b/>
          <w:bCs/>
          <w:color w:val="B07A3C"/>
          <w:sz w:val="20"/>
          <w:szCs w:val="20"/>
        </w:rPr>
        <w:t xml:space="preserve">PARTIALLY ACCEPTED  ·  </w:t>
      </w:r>
      <w:r>
        <w:rPr>
          <w:rFonts w:ascii="Inter" w:cs="Inter" w:eastAsia="Inter" w:hAnsi="Inter"/>
          <w:b/>
          <w:bCs/>
          <w:color w:val="3F5E4E"/>
          <w:sz w:val="22"/>
          <w:szCs w:val="22"/>
        </w:rPr>
        <w:t xml:space="preserve">OD-2   Convergence described in enough detail to look owned</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The observation is fair — the detail could imply co-ownership with GSC-003. But the requirement itself (confidence must reflect genuine independence) is worth stating. The fix is to keep the requirement and remove the mechanism.</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Trimmed §10.6 to state the requirement GSC-001 places on GSC-003 and explicitly defer the independence assessment and convergence mechanism to GSC-003. Did not remove the section entirely.</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IP-1   Pin core aggregation to strengthen IP</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Correct that the document’s defensibility lived in philosophy alone. Naming a specific composition form is both better IP and better engineering.</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Satisfied via the EB-1 partial: the named "BioSense present-health composition" is now a defined, versioned methodological asset (§6.4.2) without becoming code.</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AC-2   Repeated boundary restatement is a strength</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Agreed; local boundary restatement reduces the risk of a team acting on a chapter in isolation.</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No change; retained as-is per the finding’s own recommendation.</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SD-3   Configurable-default discipline is exemplary</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Agreed; this is the correct pattern and a model for the rest of the library.</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No change; the new sections (§6.4.2, §7.4 ceiling, §8.4 order, §6.2 scale) follow the same pattern.</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HC-3   Governance is complete and well-formed</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Agreed; no missing governance was identified.</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No change.</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SR-3   Confidence behaviour correctly specified</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Agreed; the asymmetry that low confidence never suppresses well-supported bad news is correct.</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No change, beyond the OD-2 trim and FS-3 provenance addition in the same chapter.</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EB-3   Explainability record is near-interface quality</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Agreed; the record is a strength and close to an interface specification.</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No change; retained for ENG-001 to promote to a named interface without altering GSC-001.</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FS-2   Genetics/exposures may need a non-present-state category</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Agreed; stable predispositions and exposures belong in baseline/personalisation, not present-state domains.</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Recorded the intent in §5.6 and design decision 24.10; no domain was added.</w:t>
      </w:r>
    </w:p>
    <w:p>
      <w:pPr>
        <w:keepNext/>
        <w:pBdr>
          <w:left w:val="single" w:color="3F5E4E" w:sz="20" w:space="8"/>
        </w:pBdr>
        <w:spacing w:after="60" w:before="220"/>
      </w:pPr>
      <w:r>
        <w:rPr>
          <w:rFonts w:ascii="Inter" w:cs="Inter" w:eastAsia="Inter" w:hAnsi="Inter"/>
          <w:b/>
          <w:bCs/>
          <w:color w:val="3F5E4E"/>
          <w:sz w:val="20"/>
          <w:szCs w:val="20"/>
        </w:rPr>
        <w:t xml:space="preserve">ACCEPTED  ·  </w:t>
      </w:r>
      <w:r>
        <w:rPr>
          <w:rFonts w:ascii="Inter" w:cs="Inter" w:eastAsia="Inter" w:hAnsi="Inter"/>
          <w:b/>
          <w:bCs/>
          <w:color w:val="3F5E4E"/>
          <w:sz w:val="22"/>
          <w:szCs w:val="22"/>
        </w:rPr>
        <w:t xml:space="preserve">FD-1   GSC-001 sets a strong template for the library</w:t>
      </w:r>
    </w:p>
    <w:p>
      <w:pPr>
        <w:spacing w:after="140" w:before="0" w:line="276"/>
        <w:jc w:val="both"/>
      </w:pPr>
      <w:r>
        <w:rPr>
          <w:rFonts w:ascii="Inter" w:cs="Inter" w:eastAsia="Inter" w:hAnsi="Inter"/>
          <w:b/>
          <w:bCs/>
          <w:i w:val="false"/>
          <w:iCs w:val="false"/>
          <w:color w:val="3F5E4E"/>
          <w:sz w:val="21"/>
          <w:szCs w:val="21"/>
        </w:rPr>
        <w:t xml:space="preserve">Reasoning.  </w:t>
      </w:r>
      <w:r>
        <w:rPr>
          <w:rFonts w:ascii="Inter" w:cs="Inter" w:eastAsia="Inter" w:hAnsi="Inter"/>
          <w:b w:val="false"/>
          <w:bCs w:val="false"/>
          <w:i w:val="false"/>
          <w:iCs w:val="false"/>
          <w:color w:val="22302A"/>
          <w:sz w:val="21"/>
          <w:szCs w:val="21"/>
        </w:rPr>
        <w:t xml:space="preserve">Agreed; the consume/reference/never-touch pattern and sibling-decoupling should be reused.</w:t>
      </w:r>
    </w:p>
    <w:p>
      <w:pPr>
        <w:spacing w:after="140" w:before="0" w:line="276"/>
        <w:jc w:val="both"/>
      </w:pPr>
      <w:r>
        <w:rPr>
          <w:rFonts w:ascii="Inter" w:cs="Inter" w:eastAsia="Inter" w:hAnsi="Inter"/>
          <w:b/>
          <w:bCs/>
          <w:i w:val="false"/>
          <w:iCs w:val="false"/>
          <w:color w:val="3F5E4E"/>
          <w:sz w:val="21"/>
          <w:szCs w:val="21"/>
        </w:rPr>
        <w:t xml:space="preserve">Change made.  </w:t>
      </w:r>
      <w:r>
        <w:rPr>
          <w:rFonts w:ascii="Inter" w:cs="Inter" w:eastAsia="Inter" w:hAnsi="Inter"/>
          <w:b w:val="false"/>
          <w:bCs w:val="false"/>
          <w:i w:val="false"/>
          <w:iCs w:val="false"/>
          <w:color w:val="22302A"/>
          <w:sz w:val="21"/>
          <w:szCs w:val="21"/>
        </w:rPr>
        <w:t xml:space="preserve">No change; noted for GSC-002 onward.</w:t>
      </w:r>
    </w:p>
    <w:p>
      <w:pPr>
        <w:spacing w:after="80"/>
      </w:pPr>
    </w:p>
    <w:tbl>
      <w:tblPr>
        <w:tblW w:type="dxa" w:w="9360"/>
        <w:tblBorders>
          <w:top w:val="none"/>
          <w:left w:val="none"/>
          <w:bottom w:val="none"/>
          <w:right w:val="none"/>
          <w:insideH w:val="none"/>
          <w:insideV w:val="none"/>
        </w:tblBorders>
      </w:tblPr>
      <w:tblGrid>
        <w:gridCol w:w="9360"/>
      </w:tblGrid>
      <w:tr>
        <w:tc>
          <w:tcPr>
            <w:tcW w:type="dxa" w:w="9360"/>
            <w:tcBorders>
              <w:top w:val="single" w:color="F5F3EE" w:sz="2"/>
              <w:left w:val="single" w:color="3F5E4E" w:sz="24"/>
              <w:bottom w:val="single" w:color="F5F3EE" w:sz="2"/>
              <w:right w:val="single" w:color="F5F3EE" w:sz="2"/>
            </w:tcBorders>
            <w:shd w:fill="F5F3EE" w:color="auto" w:val="clear"/>
            <w:tcMar>
              <w:top w:type="dxa" w:w="140"/>
              <w:left w:type="dxa" w:w="180"/>
              <w:bottom w:type="dxa" w:w="140"/>
              <w:right w:type="dxa" w:w="180"/>
            </w:tcMar>
          </w:tcPr>
          <w:p>
            <w:pPr>
              <w:spacing w:after="140" w:before="0" w:line="276"/>
              <w:jc w:val="both"/>
            </w:pPr>
            <w:r>
              <w:rPr>
                <w:rFonts w:ascii="Inter" w:cs="Inter" w:eastAsia="Inter" w:hAnsi="Inter"/>
                <w:b/>
                <w:bCs/>
                <w:i w:val="false"/>
                <w:iCs w:val="false"/>
                <w:color w:val="3F5E4E"/>
                <w:sz w:val="21"/>
                <w:szCs w:val="21"/>
              </w:rPr>
              <w:t xml:space="preserve">Net effect on the document.  </w:t>
            </w:r>
            <w:r>
              <w:rPr>
                <w:rFonts w:ascii="Inter" w:cs="Inter" w:eastAsia="Inter" w:hAnsi="Inter"/>
                <w:b w:val="false"/>
                <w:bCs w:val="false"/>
                <w:i w:val="false"/>
                <w:iCs w:val="false"/>
                <w:color w:val="22302A"/>
                <w:sz w:val="21"/>
                <w:szCs w:val="21"/>
              </w:rPr>
              <w:t xml:space="preserve">Six targeted callouts, four new or expanded subsections (§5.6, §6.4.2, §8.7, plus the §7.4/§8.4/§10.5 clarifications), five glossary terms and four design-decision entries. During the subsequent independent re-review, one direction inconsistency introduced by the §8.7 edit (an implied outbound signal to GSC-009) was caught and corrected, and two trivial clarifications (R-4, R-5) were folded in. No chapter was restructured, no scope changed, and the document grew from 59 to 66 pages entirely through accepted, architecture-strengthening additions.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CE" w:sz="4" w:space="4"/>
      </w:pBdr>
      <w:jc w:val="center"/>
    </w:pPr>
    <w:r>
      <w:rPr>
        <w:rFonts w:ascii="Inter" w:cs="Inter" w:eastAsia="Inter" w:hAnsi="Inter"/>
        <w:color w:val="8FA99A"/>
        <w:sz w:val="15"/>
        <w:szCs w:val="15"/>
      </w:rPr>
      <w:t xml:space="preserve">Confidential — Internal Governance Record        </w:t>
    </w:r>
    <w:r>
      <w:rPr>
        <w:rFonts w:ascii="Inter" w:cs="Inter" w:eastAsia="Inter" w:hAnsi="Inter"/>
        <w:color w:val="8FA99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CE" w:sz="4" w:space="4"/>
      </w:pBdr>
      <w:jc w:val="right"/>
    </w:pPr>
    <w:r>
      <w:rPr>
        <w:rFonts w:ascii="Inter" w:cs="Inter" w:eastAsia="Inter" w:hAnsi="Inter"/>
        <w:b/>
        <w:bCs/>
        <w:color w:val="8FA99A"/>
        <w:sz w:val="16"/>
        <w:szCs w:val="16"/>
      </w:rPr>
      <w:t xml:space="preserve">BioSense  ·  </w:t>
    </w:r>
    <w:r>
      <w:rPr>
        <w:rFonts w:ascii="Inter" w:cs="Inter" w:eastAsia="Inter" w:hAnsi="Inter"/>
        <w:color w:val="8FA99A"/>
        <w:sz w:val="16"/>
        <w:szCs w:val="16"/>
      </w:rPr>
      <w:t xml:space="preserve">GSC-001 Pre-Freeze Decision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8FA99A"/>
      </w:r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rPr>
        <w:b/>
        <w:bCs/>
        <w:color w:val="3F5E4E"/>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230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Inter" w:cs="Inter" w:eastAsia="Inter" w:hAnsi="Inter"/>
      <w:b/>
      <w:bCs/>
      <w:color w:val="3F5E4E"/>
      <w:sz w:val="30"/>
      <w:szCs w:val="30"/>
    </w:rPr>
  </w:style>
  <w:style w:type="paragraph" w:styleId="Heading2">
    <w:name w:val="Heading 2"/>
    <w:basedOn w:val="Normal"/>
    <w:next w:val="Normal"/>
    <w:qFormat/>
    <w:pPr>
      <w:spacing w:after="100" w:before="240"/>
    </w:pPr>
    <w:rPr>
      <w:rFonts w:ascii="Inter" w:cs="Inter" w:eastAsia="Inter" w:hAnsi="Inter"/>
      <w:b/>
      <w:bCs/>
      <w:color w:val="3F5E4E"/>
      <w:sz w:val="24"/>
      <w:szCs w:val="24"/>
    </w:rPr>
  </w:style>
  <w:style w:type="paragraph" w:styleId="Heading3">
    <w:name w:val="Heading 3"/>
    <w:basedOn w:val="Normal"/>
    <w:next w:val="Normal"/>
    <w:qFormat/>
    <w:pPr>
      <w:spacing w:after="80" w:before="180"/>
    </w:pPr>
    <w:rPr>
      <w:rFonts w:ascii="Inter" w:cs="Inter" w:eastAsia="Inter" w:hAnsi="Inter"/>
      <w:b/>
      <w:bCs/>
      <w:color w:val="22302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GSC-001 Pre-Freeze Decision Register</dc:title>
  <dc:creator>BioSense — Origin BioSense Technologies FZCO</dc:creator>
  <dc:description>Adjudication of the GSC-001 architectural review findings</dc:description>
  <cp:lastModifiedBy>Un-named</cp:lastModifiedBy>
  <cp:revision>1</cp:revision>
  <dcterms:created xsi:type="dcterms:W3CDTF">2026-08-05T19:16:03.434Z</dcterms:created>
  <dcterms:modified xsi:type="dcterms:W3CDTF">2026-08-05T19:16:03.434Z</dcterms:modified>
</cp:coreProperties>
</file>

<file path=docProps/custom.xml><?xml version="1.0" encoding="utf-8"?>
<Properties xmlns="http://schemas.openxmlformats.org/officeDocument/2006/custom-properties" xmlns:vt="http://schemas.openxmlformats.org/officeDocument/2006/docPropsVTypes"/>
</file>