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Inter" w:cs="Inter" w:eastAsia="Inter" w:hAnsi="Inter"/>
          <w:b/>
          <w:bCs/>
          <w:color w:val="8FA99A"/>
          <w:sz w:val="30"/>
          <w:szCs w:val="30"/>
        </w:rPr>
        <w:t xml:space="preserve">BioSense</w:t>
      </w:r>
    </w:p>
    <w:p>
      <w:pPr>
        <w:spacing w:after="0" w:before="40"/>
      </w:pPr>
      <w:r>
        <w:rPr>
          <w:rFonts w:ascii="Inter" w:cs="Inter" w:eastAsia="Inter" w:hAnsi="Inter"/>
          <w:color w:val="22302A"/>
          <w:sz w:val="20"/>
          <w:szCs w:val="20"/>
        </w:rPr>
        <w:t xml:space="preserve">Independent Architectural Review — Second Pass</w:t>
      </w:r>
    </w:p>
    <w:p>
      <w:pPr>
        <w:pBdr>
          <w:bottom w:val="single" w:color="3F5E4E" w:sz="12" w:space="10"/>
        </w:pBdr>
        <w:spacing w:after="0" w:before="520"/>
      </w:pPr>
      <w:r>
        <w:rPr>
          <w:rFonts w:ascii="Inter" w:cs="Inter" w:eastAsia="Inter" w:hAnsi="Inter"/>
          <w:b/>
          <w:bCs/>
          <w:color w:val="3F5E4E"/>
          <w:sz w:val="58"/>
          <w:szCs w:val="58"/>
        </w:rPr>
        <w:t xml:space="preserve">GSC-001</w:t>
      </w:r>
    </w:p>
    <w:p>
      <w:pPr>
        <w:spacing w:after="0" w:before="160"/>
      </w:pPr>
      <w:r>
        <w:rPr>
          <w:rFonts w:ascii="Inter" w:cs="Inter" w:eastAsia="Inter" w:hAnsi="Inter"/>
          <w:b/>
          <w:bCs/>
          <w:color w:val="22302A"/>
          <w:sz w:val="30"/>
          <w:szCs w:val="30"/>
        </w:rPr>
        <w:t xml:space="preserve">Health Score Methodology</w:t>
      </w:r>
    </w:p>
    <w:p>
      <w:pPr>
        <w:spacing w:after="0" w:before="40"/>
      </w:pPr>
      <w:r>
        <w:rPr>
          <w:rFonts w:ascii="Inter" w:cs="Inter" w:eastAsia="Inter" w:hAnsi="Inter"/>
          <w:i/>
          <w:iCs/>
          <w:color w:val="3F5E4E"/>
          <w:sz w:val="24"/>
          <w:szCs w:val="24"/>
        </w:rPr>
        <w:t xml:space="preserve">Independent Re-Review of the Freeze Candidate</w:t>
      </w:r>
    </w:p>
    <w:p>
      <w:pPr>
        <w:spacing w:before="820"/>
      </w:pPr>
      <w:r>
        <w:rPr>
          <w:rFonts w:ascii="Inter" w:cs="Inter" w:eastAsia="Inter" w:hAnsi="Inter"/>
          <w:b/>
          <w:bCs/>
          <w:color w:val="3F5E4E"/>
          <w:sz w:val="20"/>
          <w:szCs w:val="20"/>
        </w:rPr>
        <w:t xml:space="preserve">Reviewer role  </w:t>
      </w:r>
      <w:r>
        <w:rPr>
          <w:rFonts w:ascii="Inter" w:cs="Inter" w:eastAsia="Inter" w:hAnsi="Inter"/>
          <w:color w:val="22302A"/>
          <w:sz w:val="20"/>
          <w:szCs w:val="20"/>
        </w:rPr>
        <w:t xml:space="preserve">Independent reviewer (no prior involvement assumed)</w:t>
      </w:r>
    </w:p>
    <w:p>
      <w:pPr>
        <w:spacing w:before="40"/>
      </w:pPr>
      <w:r>
        <w:rPr>
          <w:rFonts w:ascii="Inter" w:cs="Inter" w:eastAsia="Inter" w:hAnsi="Inter"/>
          <w:b/>
          <w:bCs/>
          <w:color w:val="3F5E4E"/>
          <w:sz w:val="20"/>
          <w:szCs w:val="20"/>
        </w:rPr>
        <w:t xml:space="preserve">Document under review  </w:t>
      </w:r>
      <w:r>
        <w:rPr>
          <w:rFonts w:ascii="Inter" w:cs="Inter" w:eastAsia="Inter" w:hAnsi="Inter"/>
          <w:color w:val="22302A"/>
          <w:sz w:val="20"/>
          <w:szCs w:val="20"/>
        </w:rPr>
        <w:t xml:space="preserve">GSC-001 v1.0 Freeze Candidate, against GSC-000 as governing architecture</w:t>
      </w:r>
    </w:p>
    <w:p>
      <w:pPr>
        <w:spacing w:before="40"/>
      </w:pPr>
      <w:r>
        <w:rPr>
          <w:rFonts w:ascii="Inter" w:cs="Inter" w:eastAsia="Inter" w:hAnsi="Inter"/>
          <w:b/>
          <w:bCs/>
          <w:color w:val="3F5E4E"/>
          <w:sz w:val="20"/>
          <w:szCs w:val="20"/>
        </w:rPr>
        <w:t xml:space="preserve">Method  </w:t>
      </w:r>
      <w:r>
        <w:rPr>
          <w:rFonts w:ascii="Inter" w:cs="Inter" w:eastAsia="Inter" w:hAnsi="Inter"/>
          <w:color w:val="22302A"/>
          <w:sz w:val="20"/>
          <w:szCs w:val="20"/>
        </w:rPr>
        <w:t xml:space="preserve">Full fresh review; new issues sought as though the document had never been seen</w:t>
      </w:r>
    </w:p>
    <w:p>
      <w:pPr>
        <w:spacing w:before="40"/>
      </w:pPr>
      <w:r>
        <w:rPr>
          <w:rFonts w:ascii="Inter" w:cs="Inter" w:eastAsia="Inter" w:hAnsi="Inter"/>
          <w:b/>
          <w:bCs/>
          <w:color w:val="3F5E4E"/>
          <w:sz w:val="20"/>
          <w:szCs w:val="20"/>
        </w:rPr>
        <w:t xml:space="preserve">Verdict  </w:t>
      </w:r>
      <w:r>
        <w:rPr>
          <w:rFonts w:ascii="Inter" w:cs="Inter" w:eastAsia="Inter" w:hAnsi="Inter"/>
          <w:color w:val="22302A"/>
          <w:sz w:val="20"/>
          <w:szCs w:val="20"/>
        </w:rPr>
        <w:t xml:space="preserve">Ready for Freeze (see Chapter 4)</w:t>
      </w:r>
    </w:p>
    <w:p>
      <w:pPr>
        <w:spacing w:before="40"/>
      </w:pPr>
      <w:r>
        <w:rPr>
          <w:rFonts w:ascii="Inter" w:cs="Inter" w:eastAsia="Inter" w:hAnsi="Inter"/>
          <w:b/>
          <w:bCs/>
          <w:color w:val="3F5E4E"/>
          <w:sz w:val="20"/>
          <w:szCs w:val="20"/>
        </w:rPr>
        <w:t xml:space="preserve">Classification  </w:t>
      </w:r>
      <w:r>
        <w:rPr>
          <w:rFonts w:ascii="Inter" w:cs="Inter" w:eastAsia="Inter" w:hAnsi="Inter"/>
          <w:color w:val="22302A"/>
          <w:sz w:val="20"/>
          <w:szCs w:val="20"/>
        </w:rPr>
        <w:t xml:space="preserve">Confidential — Internal Engineering Review</w:t>
      </w:r>
    </w:p>
    <w:p>
      <w:r>
        <w:br w:type="page"/>
      </w:r>
    </w:p>
    <w:p>
      <w:pPr>
        <w:pBdr>
          <w:bottom w:val="single" w:color="8FA99A" w:sz="8" w:space="6"/>
        </w:pBdr>
        <w:spacing w:after="160"/>
      </w:pPr>
      <w:r>
        <w:rPr>
          <w:rFonts w:ascii="Inter" w:cs="Inter" w:eastAsia="Inter" w:hAnsi="Inter"/>
          <w:b/>
          <w:bCs/>
          <w:color w:val="3F5E4E"/>
          <w:sz w:val="30"/>
          <w:szCs w:val="30"/>
        </w:rPr>
        <w:t xml:space="preserve">Contents</w:t>
      </w:r>
    </w:p>
    <w:p>
      <w:pPr>
        <w:spacing w:after="84" w:line="264"/>
      </w:pPr>
      <w:r>
        <w:rPr>
          <w:rFonts w:ascii="Inter" w:cs="Inter" w:eastAsia="Inter" w:hAnsi="Inter"/>
          <w:color w:val="22302A"/>
          <w:sz w:val="21"/>
          <w:szCs w:val="21"/>
        </w:rPr>
        <w:t xml:space="preserve">1.  Method &amp; Stance</w:t>
      </w:r>
    </w:p>
    <w:p>
      <w:pPr>
        <w:spacing w:after="84" w:line="264"/>
      </w:pPr>
      <w:r>
        <w:rPr>
          <w:rFonts w:ascii="Inter" w:cs="Inter" w:eastAsia="Inter" w:hAnsi="Inter"/>
          <w:color w:val="22302A"/>
          <w:sz w:val="21"/>
          <w:szCs w:val="21"/>
        </w:rPr>
        <w:t xml:space="preserve">2.  Findings by Review Area</w:t>
      </w:r>
    </w:p>
    <w:p>
      <w:pPr>
        <w:spacing w:after="84" w:line="264"/>
      </w:pPr>
      <w:r>
        <w:rPr>
          <w:rFonts w:ascii="Inter" w:cs="Inter" w:eastAsia="Inter" w:hAnsi="Inter"/>
          <w:color w:val="22302A"/>
          <w:sz w:val="21"/>
          <w:szCs w:val="21"/>
        </w:rPr>
        <w:t xml:space="preserve">3.  Consolidated Findings</w:t>
      </w:r>
    </w:p>
    <w:p>
      <w:pPr>
        <w:spacing w:after="84" w:line="264"/>
      </w:pPr>
      <w:r>
        <w:rPr>
          <w:rFonts w:ascii="Inter" w:cs="Inter" w:eastAsia="Inter" w:hAnsi="Inter"/>
          <w:color w:val="22302A"/>
          <w:sz w:val="21"/>
          <w:szCs w:val="21"/>
        </w:rPr>
        <w:t xml:space="preserve">4.  Freeze Decision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  Method &amp; Stance</w:t>
      </w:r>
    </w:p>
    <w:p>
      <w:pPr>
        <w:spacing w:after="160" w:line="288"/>
        <w:jc w:val="both"/>
      </w:pPr>
      <w:r>
        <w:rPr>
          <w:rFonts w:ascii="Inter" w:cs="Inter" w:eastAsia="Inter" w:hAnsi="Inter"/>
          <w:b w:val="false"/>
          <w:bCs w:val="false"/>
          <w:i/>
          <w:iCs/>
          <w:color w:val="3F5E4E"/>
          <w:sz w:val="22"/>
          <w:szCs w:val="22"/>
        </w:rPr>
        <w:t xml:space="preserve">This is a fresh, independent architectural review of GSC-001 as it now stands. It does not take the previous review or its resolutions on trust. It re-examines the document across all mandated areas — architectural consistency, scope discipline, future scalability, ownership boundaries, hidden contradictions, circular dependencies, scientific robustness, engineering buildability, IP strength, future-document interactions and freeze readiness — and actively searches for new issues rather than confirming old ones.</w:t>
      </w:r>
    </w:p>
    <w:p>
      <w:pPr>
        <w:spacing w:after="140" w:before="0" w:line="276"/>
        <w:jc w:val="both"/>
      </w:pPr>
      <w:r>
        <w:rPr>
          <w:rFonts w:ascii="Inter" w:cs="Inter" w:eastAsia="Inter" w:hAnsi="Inter"/>
          <w:b w:val="false"/>
          <w:bCs w:val="false"/>
          <w:i w:val="false"/>
          <w:iCs w:val="false"/>
          <w:color w:val="22302A"/>
          <w:sz w:val="21"/>
          <w:szCs w:val="21"/>
        </w:rPr>
        <w:t xml:space="preserve">Where the document is sound, that is stated plainly. Where a residual or newly-identified issue exists, it is graded Critical / Major / Minor / Observation with the same discipline as any first review. The freeze decision in Chapter 4 is one of four: Reject, Major Revision Required, Minor Revision Required, or Ready for Freeze.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  Findings by Review Area</w:t>
      </w:r>
    </w:p>
    <w:p>
      <w:pPr>
        <w:pStyle w:val="Heading2"/>
        <w:spacing w:after="100" w:before="240"/>
      </w:pPr>
      <w:r>
        <w:rPr>
          <w:rFonts w:ascii="Inter" w:cs="Inter" w:eastAsia="Inter" w:hAnsi="Inter"/>
          <w:b/>
          <w:bCs/>
          <w:color w:val="3F5E4E"/>
          <w:sz w:val="24"/>
          <w:szCs w:val="24"/>
        </w:rPr>
        <w:t xml:space="preserve">2.1  Architectural consistency</w:t>
      </w:r>
    </w:p>
    <w:p>
      <w:pPr>
        <w:spacing w:after="140" w:before="0" w:line="276"/>
        <w:jc w:val="both"/>
      </w:pPr>
      <w:r>
        <w:rPr>
          <w:rFonts w:ascii="Inter" w:cs="Inter" w:eastAsia="Inter" w:hAnsi="Inter"/>
          <w:b w:val="false"/>
          <w:bCs w:val="false"/>
          <w:i w:val="false"/>
          <w:iCs w:val="false"/>
          <w:color w:val="22302A"/>
          <w:sz w:val="21"/>
          <w:szCs w:val="21"/>
        </w:rPr>
        <w:t xml:space="preserve">The document is consistent with GSC-000 throughout. It positions itself at Level 3.5, respects the method/computation seam, and now resolves cleanly the one place where that seam was previously blurred: temporal state and the personal baseline are explicitly owned by ENG-001, with GSC-001 owning only policy (§6.9, §8.2, §15.2.7, §21.4). The reading convention in §1.4 removes the residual risk of prose being read as runtime action. No architectural inconsistency was found.</w:t>
      </w:r>
    </w:p>
    <w:p>
      <w:pPr>
        <w:spacing w:after="140" w:before="0" w:line="276"/>
        <w:jc w:val="both"/>
      </w:pPr>
      <w:r>
        <w:rPr>
          <w:rFonts w:ascii="Inter" w:cs="Inter" w:eastAsia="Inter" w:hAnsi="Inter"/>
          <w:b/>
          <w:bCs/>
          <w:i w:val="false"/>
          <w:iCs w:val="false"/>
          <w:color w:val="3F5E4E"/>
          <w:sz w:val="21"/>
          <w:szCs w:val="21"/>
        </w:rPr>
        <w:t xml:space="preserve">No issues identified.</w:t>
      </w:r>
    </w:p>
    <w:p>
      <w:pPr>
        <w:pStyle w:val="Heading2"/>
        <w:spacing w:after="100" w:before="240"/>
      </w:pPr>
      <w:r>
        <w:rPr>
          <w:rFonts w:ascii="Inter" w:cs="Inter" w:eastAsia="Inter" w:hAnsi="Inter"/>
          <w:b/>
          <w:bCs/>
          <w:color w:val="3F5E4E"/>
          <w:sz w:val="24"/>
          <w:szCs w:val="24"/>
        </w:rPr>
        <w:t xml:space="preserve">2.2  Scope discipline</w:t>
      </w:r>
    </w:p>
    <w:p>
      <w:pPr>
        <w:spacing w:after="140" w:before="0" w:line="276"/>
        <w:jc w:val="both"/>
      </w:pPr>
      <w:r>
        <w:rPr>
          <w:rFonts w:ascii="Inter" w:cs="Inter" w:eastAsia="Inter" w:hAnsi="Inter"/>
          <w:b w:val="false"/>
          <w:bCs w:val="false"/>
          <w:i w:val="false"/>
          <w:iCs w:val="false"/>
          <w:color w:val="22302A"/>
          <w:sz w:val="21"/>
          <w:szCs w:val="21"/>
        </w:rPr>
        <w:t xml:space="preserve">Scope holds. The new canonical composition form (§6.4.2) is a genuine test of discipline — the temptation would be to specify a formula — and the document resists it correctly, fixing structure and order while leaving coefficients to calibration. Nothing in the revision introduces code, prompt logic, UI behaviour, science, safety or narrative ownership.</w:t>
      </w:r>
    </w:p>
    <w:p>
      <w:pPr>
        <w:keepNext/>
        <w:pBdr>
          <w:left w:val="single" w:color="8FA99A" w:sz="20" w:space="8"/>
        </w:pBdr>
        <w:spacing w:after="60" w:before="240"/>
      </w:pPr>
      <w:r>
        <w:rPr>
          <w:rFonts w:ascii="Inter" w:cs="Inter" w:eastAsia="Inter" w:hAnsi="Inter"/>
          <w:b/>
          <w:bCs/>
          <w:color w:val="8FA99A"/>
          <w:sz w:val="20"/>
          <w:szCs w:val="20"/>
        </w:rPr>
        <w:t xml:space="preserve">OBSERVATION  ·  </w:t>
      </w:r>
      <w:r>
        <w:rPr>
          <w:rFonts w:ascii="Inter" w:cs="Inter" w:eastAsia="Inter" w:hAnsi="Inter"/>
          <w:b/>
          <w:bCs/>
          <w:color w:val="3F5E4E"/>
          <w:sz w:val="22"/>
          <w:szCs w:val="22"/>
        </w:rPr>
        <w:t xml:space="preserve">R-1   The canonical form is the right amount of specification</w:t>
      </w:r>
    </w:p>
    <w:p>
      <w:pPr>
        <w:spacing w:after="140" w:before="0" w:line="276"/>
        <w:jc w:val="both"/>
      </w:pPr>
      <w:r>
        <w:rPr>
          <w:rFonts w:ascii="Inter" w:cs="Inter" w:eastAsia="Inter" w:hAnsi="Inter"/>
          <w:b/>
          <w:bCs/>
          <w:i w:val="false"/>
          <w:iCs w:val="false"/>
          <w:color w:val="3F5E4E"/>
          <w:sz w:val="21"/>
          <w:szCs w:val="21"/>
        </w:rPr>
        <w:t xml:space="preserve">Location.  </w:t>
      </w:r>
      <w:r>
        <w:rPr>
          <w:rFonts w:ascii="Inter" w:cs="Inter" w:eastAsia="Inter" w:hAnsi="Inter"/>
          <w:b w:val="false"/>
          <w:bCs w:val="false"/>
          <w:i w:val="false"/>
          <w:iCs w:val="false"/>
          <w:color w:val="22302A"/>
          <w:sz w:val="21"/>
          <w:szCs w:val="21"/>
        </w:rPr>
        <w:t xml:space="preserve">§6.4.2.</w:t>
      </w:r>
    </w:p>
    <w:p>
      <w:pPr>
        <w:spacing w:after="140" w:before="0" w:line="276"/>
        <w:jc w:val="both"/>
      </w:pPr>
      <w:r>
        <w:rPr>
          <w:rFonts w:ascii="Inter" w:cs="Inter" w:eastAsia="Inter" w:hAnsi="Inter"/>
          <w:b/>
          <w:bCs/>
          <w:i w:val="false"/>
          <w:iCs w:val="false"/>
          <w:color w:val="3F5E4E"/>
          <w:sz w:val="21"/>
          <w:szCs w:val="21"/>
        </w:rPr>
        <w:t xml:space="preserve">Explanation.  </w:t>
      </w:r>
      <w:r>
        <w:rPr>
          <w:rFonts w:ascii="Inter" w:cs="Inter" w:eastAsia="Inter" w:hAnsi="Inter"/>
          <w:b w:val="false"/>
          <w:bCs w:val="false"/>
          <w:i w:val="false"/>
          <w:iCs w:val="false"/>
          <w:color w:val="22302A"/>
          <w:sz w:val="21"/>
          <w:szCs w:val="21"/>
        </w:rPr>
        <w:t xml:space="preserve">Naming a three-part composition form with fixed order, while deferring coefficients to calibration, lands precisely on the methodology/engineering boundary. It removes two-team divergence without becoming implementation.</w:t>
      </w:r>
    </w:p>
    <w:p>
      <w:pPr>
        <w:spacing w:after="140" w:before="0" w:line="276"/>
        <w:jc w:val="both"/>
      </w:pPr>
      <w:r>
        <w:rPr>
          <w:rFonts w:ascii="Inter" w:cs="Inter" w:eastAsia="Inter" w:hAnsi="Inter"/>
          <w:b/>
          <w:bCs/>
          <w:i w:val="false"/>
          <w:iCs w:val="false"/>
          <w:color w:val="3F5E4E"/>
          <w:sz w:val="21"/>
          <w:szCs w:val="21"/>
        </w:rPr>
        <w:t xml:space="preserve">Why it matters.  </w:t>
      </w:r>
      <w:r>
        <w:rPr>
          <w:rFonts w:ascii="Inter" w:cs="Inter" w:eastAsia="Inter" w:hAnsi="Inter"/>
          <w:b w:val="false"/>
          <w:bCs w:val="false"/>
          <w:i w:val="false"/>
          <w:iCs w:val="false"/>
          <w:color w:val="22302A"/>
          <w:sz w:val="21"/>
          <w:szCs w:val="21"/>
        </w:rPr>
        <w:t xml:space="preserve">This is now a strength and a template for how GSC-002 should specify its own composed indicator.</w:t>
      </w:r>
    </w:p>
    <w:p>
      <w:pPr>
        <w:spacing w:after="140" w:before="0" w:line="276"/>
        <w:jc w:val="both"/>
      </w:pPr>
      <w:r>
        <w:rPr>
          <w:rFonts w:ascii="Inter" w:cs="Inter" w:eastAsia="Inter" w:hAnsi="Inter"/>
          <w:b/>
          <w:bCs/>
          <w:i w:val="false"/>
          <w:iCs w:val="false"/>
          <w:color w:val="3F5E4E"/>
          <w:sz w:val="21"/>
          <w:szCs w:val="21"/>
        </w:rPr>
        <w:t xml:space="preserve">Recommendation.  </w:t>
      </w:r>
      <w:r>
        <w:rPr>
          <w:rFonts w:ascii="Inter" w:cs="Inter" w:eastAsia="Inter" w:hAnsi="Inter"/>
          <w:b w:val="false"/>
          <w:bCs w:val="false"/>
          <w:i w:val="false"/>
          <w:iCs w:val="false"/>
          <w:color w:val="22302A"/>
          <w:sz w:val="21"/>
          <w:szCs w:val="21"/>
        </w:rPr>
        <w:t xml:space="preserve">No change. Retain as the reference pattern.</w:t>
      </w:r>
    </w:p>
    <w:p>
      <w:pPr>
        <w:pStyle w:val="Heading2"/>
        <w:spacing w:after="100" w:before="240"/>
      </w:pPr>
      <w:r>
        <w:rPr>
          <w:rFonts w:ascii="Inter" w:cs="Inter" w:eastAsia="Inter" w:hAnsi="Inter"/>
          <w:b/>
          <w:bCs/>
          <w:color w:val="3F5E4E"/>
          <w:sz w:val="24"/>
          <w:szCs w:val="24"/>
        </w:rPr>
        <w:t xml:space="preserve">2.3  Future scalability</w:t>
      </w:r>
    </w:p>
    <w:p>
      <w:pPr>
        <w:spacing w:after="140" w:before="0" w:line="276"/>
        <w:jc w:val="both"/>
      </w:pPr>
      <w:r>
        <w:rPr>
          <w:rFonts w:ascii="Inter" w:cs="Inter" w:eastAsia="Inter" w:hAnsi="Inter"/>
          <w:b w:val="false"/>
          <w:bCs w:val="false"/>
          <w:i w:val="false"/>
          <w:iCs w:val="false"/>
          <w:color w:val="22302A"/>
          <w:sz w:val="21"/>
          <w:szCs w:val="21"/>
        </w:rPr>
        <w:t xml:space="preserve">The new §5.6 converts the previously latent taxonomy constraint into a governed growth path: admission criteria, mandatory GSC-004/GSC-008 entry profile, regression testing and versioning, plus an explicit position that stable predispositions and exposures inform baseline rather than contributing as present-state domains. This scales to the modalities named in the brief.</w:t>
      </w:r>
    </w:p>
    <w:p>
      <w:pPr>
        <w:keepNext/>
        <w:pBdr>
          <w:left w:val="single" w:color="6E8B7A" w:sz="20" w:space="8"/>
        </w:pBdr>
        <w:spacing w:after="60" w:before="240"/>
      </w:pPr>
      <w:r>
        <w:rPr>
          <w:rFonts w:ascii="Inter" w:cs="Inter" w:eastAsia="Inter" w:hAnsi="Inter"/>
          <w:b/>
          <w:bCs/>
          <w:color w:val="6E8B7A"/>
          <w:sz w:val="20"/>
          <w:szCs w:val="20"/>
        </w:rPr>
        <w:t xml:space="preserve">MINOR  ·  </w:t>
      </w:r>
      <w:r>
        <w:rPr>
          <w:rFonts w:ascii="Inter" w:cs="Inter" w:eastAsia="Inter" w:hAnsi="Inter"/>
          <w:b/>
          <w:bCs/>
          <w:color w:val="3F5E4E"/>
          <w:sz w:val="22"/>
          <w:szCs w:val="22"/>
        </w:rPr>
        <w:t xml:space="preserve">R-2   Continuous, always-on streams may still stress the domain/cadence model</w:t>
      </w:r>
    </w:p>
    <w:p>
      <w:pPr>
        <w:spacing w:after="140" w:before="0" w:line="276"/>
        <w:jc w:val="both"/>
      </w:pPr>
      <w:r>
        <w:rPr>
          <w:rFonts w:ascii="Inter" w:cs="Inter" w:eastAsia="Inter" w:hAnsi="Inter"/>
          <w:b/>
          <w:bCs/>
          <w:i w:val="false"/>
          <w:iCs w:val="false"/>
          <w:color w:val="3F5E4E"/>
          <w:sz w:val="21"/>
          <w:szCs w:val="21"/>
        </w:rPr>
        <w:t xml:space="preserve">Location.  </w:t>
      </w:r>
      <w:r>
        <w:rPr>
          <w:rFonts w:ascii="Inter" w:cs="Inter" w:eastAsia="Inter" w:hAnsi="Inter"/>
          <w:b w:val="false"/>
          <w:bCs w:val="false"/>
          <w:i w:val="false"/>
          <w:iCs w:val="false"/>
          <w:color w:val="22302A"/>
          <w:sz w:val="21"/>
          <w:szCs w:val="21"/>
        </w:rPr>
        <w:t xml:space="preserve">§5.2.2, §5.6, §11 (freshness by cadence).</w:t>
      </w:r>
    </w:p>
    <w:p>
      <w:pPr>
        <w:spacing w:after="140" w:before="0" w:line="276"/>
        <w:jc w:val="both"/>
      </w:pPr>
      <w:r>
        <w:rPr>
          <w:rFonts w:ascii="Inter" w:cs="Inter" w:eastAsia="Inter" w:hAnsi="Inter"/>
          <w:b/>
          <w:bCs/>
          <w:i w:val="false"/>
          <w:iCs w:val="false"/>
          <w:color w:val="3F5E4E"/>
          <w:sz w:val="21"/>
          <w:szCs w:val="21"/>
        </w:rPr>
        <w:t xml:space="preserve">Explanation.  </w:t>
      </w:r>
      <w:r>
        <w:rPr>
          <w:rFonts w:ascii="Inter" w:cs="Inter" w:eastAsia="Inter" w:hAnsi="Inter"/>
          <w:b w:val="false"/>
          <w:bCs w:val="false"/>
          <w:i w:val="false"/>
          <w:iCs w:val="false"/>
          <w:color w:val="22302A"/>
          <w:sz w:val="21"/>
          <w:szCs w:val="21"/>
        </w:rPr>
        <w:t xml:space="preserve">The freshness model judges recency against a domain’s characteristic cadence. Continuous streams such as continuous glucose or continuous ECG do not have a single natural cadence in the way a nightly sleep summary or a quarterly panel does; they are effectively always-fresh high-frequency data. §5.6 admits new domains but does not say how an always-on stream’s freshness and contribution are bounded so it does not dominate simply by never being stale.</w:t>
      </w:r>
    </w:p>
    <w:p>
      <w:pPr>
        <w:spacing w:after="140" w:before="0" w:line="276"/>
        <w:jc w:val="both"/>
      </w:pPr>
      <w:r>
        <w:rPr>
          <w:rFonts w:ascii="Inter" w:cs="Inter" w:eastAsia="Inter" w:hAnsi="Inter"/>
          <w:b/>
          <w:bCs/>
          <w:i w:val="false"/>
          <w:iCs w:val="false"/>
          <w:color w:val="3F5E4E"/>
          <w:sz w:val="21"/>
          <w:szCs w:val="21"/>
        </w:rPr>
        <w:t xml:space="preserve">Why it matters.  </w:t>
      </w:r>
      <w:r>
        <w:rPr>
          <w:rFonts w:ascii="Inter" w:cs="Inter" w:eastAsia="Inter" w:hAnsi="Inter"/>
          <w:b w:val="false"/>
          <w:bCs w:val="false"/>
          <w:i w:val="false"/>
          <w:iCs w:val="false"/>
          <w:color w:val="22302A"/>
          <w:sz w:val="21"/>
          <w:szCs w:val="21"/>
        </w:rPr>
        <w:t xml:space="preserve">Not a freeze blocker — the domain-extensibility procedure would catch it at admission — but the interaction between always-on streams and a cadence-based freshness model is under-considered and will recur as continuous modalities are added.</w:t>
      </w:r>
    </w:p>
    <w:p>
      <w:pPr>
        <w:spacing w:after="140" w:before="0" w:line="276"/>
        <w:jc w:val="both"/>
      </w:pPr>
      <w:r>
        <w:rPr>
          <w:rFonts w:ascii="Inter" w:cs="Inter" w:eastAsia="Inter" w:hAnsi="Inter"/>
          <w:b/>
          <w:bCs/>
          <w:i w:val="false"/>
          <w:iCs w:val="false"/>
          <w:color w:val="3F5E4E"/>
          <w:sz w:val="21"/>
          <w:szCs w:val="21"/>
        </w:rPr>
        <w:t xml:space="preserve">Recommendation.  </w:t>
      </w:r>
      <w:r>
        <w:rPr>
          <w:rFonts w:ascii="Inter" w:cs="Inter" w:eastAsia="Inter" w:hAnsi="Inter"/>
          <w:b w:val="false"/>
          <w:bCs w:val="false"/>
          <w:i w:val="false"/>
          <w:iCs w:val="false"/>
          <w:color w:val="22302A"/>
          <w:sz w:val="21"/>
          <w:szCs w:val="21"/>
        </w:rPr>
        <w:t xml:space="preserve">Add one sentence to §5.6 or §11 noting that continuously-sampled domains enter with an explicit sampling-to-contribution policy (e.g. a summarisation cadence) in their GSC-008 freshness profile, so an always-fresh stream does not gain disproportionate influence purely by never ageing. Can be a fast-follow rather than a pre-freeze change.</w:t>
      </w:r>
    </w:p>
    <w:p>
      <w:pPr>
        <w:pStyle w:val="Heading2"/>
        <w:spacing w:after="100" w:before="240"/>
      </w:pPr>
      <w:r>
        <w:rPr>
          <w:rFonts w:ascii="Inter" w:cs="Inter" w:eastAsia="Inter" w:hAnsi="Inter"/>
          <w:b/>
          <w:bCs/>
          <w:color w:val="3F5E4E"/>
          <w:sz w:val="24"/>
          <w:szCs w:val="24"/>
        </w:rPr>
        <w:t xml:space="preserve">2.4  Ownership boundaries</w:t>
      </w:r>
    </w:p>
    <w:p>
      <w:pPr>
        <w:spacing w:after="140" w:before="0" w:line="276"/>
        <w:jc w:val="both"/>
      </w:pPr>
      <w:r>
        <w:rPr>
          <w:rFonts w:ascii="Inter" w:cs="Inter" w:eastAsia="Inter" w:hAnsi="Inter"/>
          <w:b w:val="false"/>
          <w:bCs w:val="false"/>
          <w:i w:val="false"/>
          <w:iCs w:val="false"/>
          <w:color w:val="22302A"/>
          <w:sz w:val="21"/>
          <w:szCs w:val="21"/>
        </w:rPr>
        <w:t xml:space="preserve">Ownership is clean across all dependencies. The one direction question a careful reader would raise — whether the new dual-reference drift signal (§8.7) creates an outbound dependency on GSC-009 — is not present in the current text: the divergence is surfaced through the score’s own confidence and explainability record, which GSC-001 already owns, with no outbound push to GSC-009. The longitudinal-weighting seam with GSC-008 is now explicitly drawn (§11.2, §16.1). Materiality is correctly assigned to GSC-004 rather than defined here (§9.1).</w:t>
      </w:r>
    </w:p>
    <w:p>
      <w:pPr>
        <w:spacing w:after="140" w:before="0" w:line="276"/>
        <w:jc w:val="both"/>
      </w:pPr>
      <w:r>
        <w:rPr>
          <w:rFonts w:ascii="Inter" w:cs="Inter" w:eastAsia="Inter" w:hAnsi="Inter"/>
          <w:b/>
          <w:bCs/>
          <w:i w:val="false"/>
          <w:iCs w:val="false"/>
          <w:color w:val="3F5E4E"/>
          <w:sz w:val="21"/>
          <w:szCs w:val="21"/>
        </w:rPr>
        <w:t xml:space="preserve">No issues identified.</w:t>
      </w:r>
    </w:p>
    <w:p>
      <w:pPr>
        <w:pStyle w:val="Heading2"/>
        <w:spacing w:after="100" w:before="240"/>
      </w:pPr>
      <w:r>
        <w:rPr>
          <w:rFonts w:ascii="Inter" w:cs="Inter" w:eastAsia="Inter" w:hAnsi="Inter"/>
          <w:b/>
          <w:bCs/>
          <w:color w:val="3F5E4E"/>
          <w:sz w:val="24"/>
          <w:szCs w:val="24"/>
        </w:rPr>
        <w:t xml:space="preserve">2.5  Hidden contradictions &amp; circular dependencies</w:t>
      </w:r>
    </w:p>
    <w:p>
      <w:pPr>
        <w:spacing w:after="140" w:before="0" w:line="276"/>
        <w:jc w:val="both"/>
      </w:pPr>
      <w:r>
        <w:rPr>
          <w:rFonts w:ascii="Inter" w:cs="Inter" w:eastAsia="Inter" w:hAnsi="Inter"/>
          <w:b w:val="false"/>
          <w:bCs w:val="false"/>
          <w:i w:val="false"/>
          <w:iCs w:val="false"/>
          <w:color w:val="22302A"/>
          <w:sz w:val="21"/>
          <w:szCs w:val="21"/>
        </w:rPr>
        <w:t xml:space="preserve">The previously-identified path-dependence/reproducibility tension is resolved: reproducibility is now defined as determinism given present understanding, ENG-001-supplied prior state, and pinned versions, with prior state recorded on each snapshot (§6.9, §21.4). No circular dependency exists; the Health Score and Biological Age remain decoupled (Chapter 20), and the dual reference does not create a loop because the population anchor is consumed from the science, not from any downstream output.</w:t>
      </w:r>
    </w:p>
    <w:p>
      <w:pPr>
        <w:keepNext/>
        <w:pBdr>
          <w:left w:val="single" w:color="8FA99A" w:sz="20" w:space="8"/>
        </w:pBdr>
        <w:spacing w:after="60" w:before="240"/>
      </w:pPr>
      <w:r>
        <w:rPr>
          <w:rFonts w:ascii="Inter" w:cs="Inter" w:eastAsia="Inter" w:hAnsi="Inter"/>
          <w:b/>
          <w:bCs/>
          <w:color w:val="8FA99A"/>
          <w:sz w:val="20"/>
          <w:szCs w:val="20"/>
        </w:rPr>
        <w:t xml:space="preserve">OBSERVATION  ·  </w:t>
      </w:r>
      <w:r>
        <w:rPr>
          <w:rFonts w:ascii="Inter" w:cs="Inter" w:eastAsia="Inter" w:hAnsi="Inter"/>
          <w:b/>
          <w:bCs/>
          <w:color w:val="3F5E4E"/>
          <w:sz w:val="22"/>
          <w:szCs w:val="22"/>
        </w:rPr>
        <w:t xml:space="preserve">R-3   Reproducibility-with-state is stated correctly and should be mirrored in ENG-001</w:t>
      </w:r>
    </w:p>
    <w:p>
      <w:pPr>
        <w:spacing w:after="140" w:before="0" w:line="276"/>
        <w:jc w:val="both"/>
      </w:pPr>
      <w:r>
        <w:rPr>
          <w:rFonts w:ascii="Inter" w:cs="Inter" w:eastAsia="Inter" w:hAnsi="Inter"/>
          <w:b/>
          <w:bCs/>
          <w:i w:val="false"/>
          <w:iCs w:val="false"/>
          <w:color w:val="3F5E4E"/>
          <w:sz w:val="21"/>
          <w:szCs w:val="21"/>
        </w:rPr>
        <w:t xml:space="preserve">Location.  </w:t>
      </w:r>
      <w:r>
        <w:rPr>
          <w:rFonts w:ascii="Inter" w:cs="Inter" w:eastAsia="Inter" w:hAnsi="Inter"/>
          <w:b w:val="false"/>
          <w:bCs w:val="false"/>
          <w:i w:val="false"/>
          <w:iCs w:val="false"/>
          <w:color w:val="22302A"/>
          <w:sz w:val="21"/>
          <w:szCs w:val="21"/>
        </w:rPr>
        <w:t xml:space="preserve">§6.9, §21.4.</w:t>
      </w:r>
    </w:p>
    <w:p>
      <w:pPr>
        <w:spacing w:after="140" w:before="0" w:line="276"/>
        <w:jc w:val="both"/>
      </w:pPr>
      <w:r>
        <w:rPr>
          <w:rFonts w:ascii="Inter" w:cs="Inter" w:eastAsia="Inter" w:hAnsi="Inter"/>
          <w:b/>
          <w:bCs/>
          <w:i w:val="false"/>
          <w:iCs w:val="false"/>
          <w:color w:val="3F5E4E"/>
          <w:sz w:val="21"/>
          <w:szCs w:val="21"/>
        </w:rPr>
        <w:t xml:space="preserve">Explanation.  </w:t>
      </w:r>
      <w:r>
        <w:rPr>
          <w:rFonts w:ascii="Inter" w:cs="Inter" w:eastAsia="Inter" w:hAnsi="Inter"/>
          <w:b w:val="false"/>
          <w:bCs w:val="false"/>
          <w:i w:val="false"/>
          <w:iCs w:val="false"/>
          <w:color w:val="22302A"/>
          <w:sz w:val="21"/>
          <w:szCs w:val="21"/>
        </w:rPr>
        <w:t xml:space="preserve">The definition of reproducibility now depends on ENG-001 recording prior state on each snapshot. This is correct and complete on the GSC-001 side, but it places a concrete requirement on ENG-001 that must be honoured for the guarantee to hold.</w:t>
      </w:r>
    </w:p>
    <w:p>
      <w:pPr>
        <w:spacing w:after="140" w:before="0" w:line="276"/>
        <w:jc w:val="both"/>
      </w:pPr>
      <w:r>
        <w:rPr>
          <w:rFonts w:ascii="Inter" w:cs="Inter" w:eastAsia="Inter" w:hAnsi="Inter"/>
          <w:b/>
          <w:bCs/>
          <w:i w:val="false"/>
          <w:iCs w:val="false"/>
          <w:color w:val="3F5E4E"/>
          <w:sz w:val="21"/>
          <w:szCs w:val="21"/>
        </w:rPr>
        <w:t xml:space="preserve">Why it matters.  </w:t>
      </w:r>
      <w:r>
        <w:rPr>
          <w:rFonts w:ascii="Inter" w:cs="Inter" w:eastAsia="Inter" w:hAnsi="Inter"/>
          <w:b w:val="false"/>
          <w:bCs w:val="false"/>
          <w:i w:val="false"/>
          <w:iCs w:val="false"/>
          <w:color w:val="22302A"/>
          <w:sz w:val="21"/>
          <w:szCs w:val="21"/>
        </w:rPr>
        <w:t xml:space="preserve">The guarantee is only as strong as the engine’s snapshot record; if ENG-001 does not persist prior state, reproducibility silently weakens.</w:t>
      </w:r>
    </w:p>
    <w:p>
      <w:pPr>
        <w:spacing w:after="140" w:before="0" w:line="276"/>
        <w:jc w:val="both"/>
      </w:pPr>
      <w:r>
        <w:rPr>
          <w:rFonts w:ascii="Inter" w:cs="Inter" w:eastAsia="Inter" w:hAnsi="Inter"/>
          <w:b/>
          <w:bCs/>
          <w:i w:val="false"/>
          <w:iCs w:val="false"/>
          <w:color w:val="3F5E4E"/>
          <w:sz w:val="21"/>
          <w:szCs w:val="21"/>
        </w:rPr>
        <w:t xml:space="preserve">Recommendation.  </w:t>
      </w:r>
      <w:r>
        <w:rPr>
          <w:rFonts w:ascii="Inter" w:cs="Inter" w:eastAsia="Inter" w:hAnsi="Inter"/>
          <w:b w:val="false"/>
          <w:bCs w:val="false"/>
          <w:i w:val="false"/>
          <w:iCs w:val="false"/>
          <w:color w:val="22302A"/>
          <w:sz w:val="21"/>
          <w:szCs w:val="21"/>
        </w:rPr>
        <w:t xml:space="preserve">No change to GSC-001. Flag to the ENG-001 owners that the snapshot must include prior state (previous score, direction, smoothing memory) alongside the method and dependency versions. This is an inter-document handshake, not a GSC-001 defect.</w:t>
      </w:r>
    </w:p>
    <w:p>
      <w:pPr>
        <w:pStyle w:val="Heading2"/>
        <w:spacing w:after="100" w:before="240"/>
      </w:pPr>
      <w:r>
        <w:rPr>
          <w:rFonts w:ascii="Inter" w:cs="Inter" w:eastAsia="Inter" w:hAnsi="Inter"/>
          <w:b/>
          <w:bCs/>
          <w:color w:val="3F5E4E"/>
          <w:sz w:val="24"/>
          <w:szCs w:val="24"/>
        </w:rPr>
        <w:t xml:space="preserve">2.6  Scientific robustness</w:t>
      </w:r>
    </w:p>
    <w:p>
      <w:pPr>
        <w:spacing w:after="140" w:before="0" w:line="276"/>
        <w:jc w:val="both"/>
      </w:pPr>
      <w:r>
        <w:rPr>
          <w:rFonts w:ascii="Inter" w:cs="Inter" w:eastAsia="Inter" w:hAnsi="Inter"/>
          <w:b w:val="false"/>
          <w:bCs w:val="false"/>
          <w:i w:val="false"/>
          <w:iCs w:val="false"/>
          <w:color w:val="22302A"/>
          <w:sz w:val="21"/>
          <w:szCs w:val="21"/>
        </w:rPr>
        <w:t xml:space="preserve">The dual reference (§8.7) closes the most important robustness gap — the normalisation of slow whole-person drift — and does so through a mechanism the document already owns. Combined with negative protection, no-imputation, the weakest-link confidence posture and the bound/exception precedence now defined in §7.4, the anti-bias properties are strong and coherent.</w:t>
      </w:r>
    </w:p>
    <w:p>
      <w:pPr>
        <w:keepNext/>
        <w:pBdr>
          <w:left w:val="single" w:color="6E8B7A" w:sz="20" w:space="8"/>
        </w:pBdr>
        <w:spacing w:after="60" w:before="240"/>
      </w:pPr>
      <w:r>
        <w:rPr>
          <w:rFonts w:ascii="Inter" w:cs="Inter" w:eastAsia="Inter" w:hAnsi="Inter"/>
          <w:b/>
          <w:bCs/>
          <w:color w:val="6E8B7A"/>
          <w:sz w:val="20"/>
          <w:szCs w:val="20"/>
        </w:rPr>
        <w:t xml:space="preserve">MINOR  ·  </w:t>
      </w:r>
      <w:r>
        <w:rPr>
          <w:rFonts w:ascii="Inter" w:cs="Inter" w:eastAsia="Inter" w:hAnsi="Inter"/>
          <w:b/>
          <w:bCs/>
          <w:color w:val="3F5E4E"/>
          <w:sz w:val="22"/>
          <w:szCs w:val="22"/>
        </w:rPr>
        <w:t xml:space="preserve">R-4   The population anchor introduces a normative reference that must not become a clinical claim</w:t>
      </w:r>
    </w:p>
    <w:p>
      <w:pPr>
        <w:spacing w:after="140" w:before="0" w:line="276"/>
        <w:jc w:val="both"/>
      </w:pPr>
      <w:r>
        <w:rPr>
          <w:rFonts w:ascii="Inter" w:cs="Inter" w:eastAsia="Inter" w:hAnsi="Inter"/>
          <w:b/>
          <w:bCs/>
          <w:i w:val="false"/>
          <w:iCs w:val="false"/>
          <w:color w:val="3F5E4E"/>
          <w:sz w:val="21"/>
          <w:szCs w:val="21"/>
        </w:rPr>
        <w:t xml:space="preserve">Location.  </w:t>
      </w:r>
      <w:r>
        <w:rPr>
          <w:rFonts w:ascii="Inter" w:cs="Inter" w:eastAsia="Inter" w:hAnsi="Inter"/>
          <w:b w:val="false"/>
          <w:bCs w:val="false"/>
          <w:i w:val="false"/>
          <w:iCs w:val="false"/>
          <w:color w:val="22302A"/>
          <w:sz w:val="21"/>
          <w:szCs w:val="21"/>
        </w:rPr>
        <w:t xml:space="preserve">§8.7, §4.5 (wellness-first).</w:t>
      </w:r>
    </w:p>
    <w:p>
      <w:pPr>
        <w:spacing w:after="140" w:before="0" w:line="276"/>
        <w:jc w:val="both"/>
      </w:pPr>
      <w:r>
        <w:rPr>
          <w:rFonts w:ascii="Inter" w:cs="Inter" w:eastAsia="Inter" w:hAnsi="Inter"/>
          <w:b/>
          <w:bCs/>
          <w:i w:val="false"/>
          <w:iCs w:val="false"/>
          <w:color w:val="3F5E4E"/>
          <w:sz w:val="21"/>
          <w:szCs w:val="21"/>
        </w:rPr>
        <w:t xml:space="preserve">Explanation.  </w:t>
      </w:r>
      <w:r>
        <w:rPr>
          <w:rFonts w:ascii="Inter" w:cs="Inter" w:eastAsia="Inter" w:hAnsi="Inter"/>
          <w:b w:val="false"/>
          <w:bCs w:val="false"/>
          <w:i w:val="false"/>
          <w:iCs w:val="false"/>
          <w:color w:val="22302A"/>
          <w:sz w:val="21"/>
          <w:szCs w:val="21"/>
        </w:rPr>
        <w:t xml:space="preserve">The dual reference compares the personal baseline to a "population-appropriate expectation". This is the right robustness mechanism, but a population reference sits close to the line between a wellness signal and a normative/clinical judgement about where a person "should" be. The document does not explicitly say that the population anchor is used only to detect drift and never to assert that a person is abnormal or at risk.</w:t>
      </w:r>
    </w:p>
    <w:p>
      <w:pPr>
        <w:spacing w:after="140" w:before="0" w:line="276"/>
        <w:jc w:val="both"/>
      </w:pPr>
      <w:r>
        <w:rPr>
          <w:rFonts w:ascii="Inter" w:cs="Inter" w:eastAsia="Inter" w:hAnsi="Inter"/>
          <w:b/>
          <w:bCs/>
          <w:i w:val="false"/>
          <w:iCs w:val="false"/>
          <w:color w:val="3F5E4E"/>
          <w:sz w:val="21"/>
          <w:szCs w:val="21"/>
        </w:rPr>
        <w:t xml:space="preserve">Why it matters.  </w:t>
      </w:r>
      <w:r>
        <w:rPr>
          <w:rFonts w:ascii="Inter" w:cs="Inter" w:eastAsia="Inter" w:hAnsi="Inter"/>
          <w:b w:val="false"/>
          <w:bCs w:val="false"/>
          <w:i w:val="false"/>
          <w:iCs w:val="false"/>
          <w:color w:val="22302A"/>
          <w:sz w:val="21"/>
          <w:szCs w:val="21"/>
        </w:rPr>
        <w:t xml:space="preserve">Without a one-line guard, a future implementer or narrative could turn the population anchor into an implied clinical judgement, which would breach the wellness-first, non-diagnostic posture of Chapter 4.</w:t>
      </w:r>
    </w:p>
    <w:p>
      <w:pPr>
        <w:spacing w:after="140" w:before="0" w:line="276"/>
        <w:jc w:val="both"/>
      </w:pPr>
      <w:r>
        <w:rPr>
          <w:rFonts w:ascii="Inter" w:cs="Inter" w:eastAsia="Inter" w:hAnsi="Inter"/>
          <w:b/>
          <w:bCs/>
          <w:i w:val="false"/>
          <w:iCs w:val="false"/>
          <w:color w:val="3F5E4E"/>
          <w:sz w:val="21"/>
          <w:szCs w:val="21"/>
        </w:rPr>
        <w:t xml:space="preserve">Recommendation.  </w:t>
      </w:r>
      <w:r>
        <w:rPr>
          <w:rFonts w:ascii="Inter" w:cs="Inter" w:eastAsia="Inter" w:hAnsi="Inter"/>
          <w:b w:val="false"/>
          <w:bCs w:val="false"/>
          <w:i w:val="false"/>
          <w:iCs w:val="false"/>
          <w:color w:val="22302A"/>
          <w:sz w:val="21"/>
          <w:szCs w:val="21"/>
        </w:rPr>
        <w:t xml:space="preserve">Add a sentence to §8.7 stating that the population anchor is used solely to detect and surface divergence for robustness, never to assert clinical abnormality or risk, preserving the wellness-first framing. Small, worth doing before freeze.</w:t>
      </w:r>
    </w:p>
    <w:p>
      <w:pPr>
        <w:pStyle w:val="Heading2"/>
        <w:spacing w:after="100" w:before="240"/>
      </w:pPr>
      <w:r>
        <w:rPr>
          <w:rFonts w:ascii="Inter" w:cs="Inter" w:eastAsia="Inter" w:hAnsi="Inter"/>
          <w:b/>
          <w:bCs/>
          <w:color w:val="3F5E4E"/>
          <w:sz w:val="24"/>
          <w:szCs w:val="24"/>
        </w:rPr>
        <w:t xml:space="preserve">2.7  Engineering buildability</w:t>
      </w:r>
    </w:p>
    <w:p>
      <w:pPr>
        <w:spacing w:after="140" w:before="0" w:line="276"/>
        <w:jc w:val="both"/>
      </w:pPr>
      <w:r>
        <w:rPr>
          <w:rFonts w:ascii="Inter" w:cs="Inter" w:eastAsia="Inter" w:hAnsi="Inter"/>
          <w:b w:val="false"/>
          <w:bCs w:val="false"/>
          <w:i w:val="false"/>
          <w:iCs w:val="false"/>
          <w:color w:val="22302A"/>
          <w:sz w:val="21"/>
          <w:szCs w:val="21"/>
        </w:rPr>
        <w:t xml:space="preserve">Buildability improved materially. The canonical form (§6.4.2) and the fixed conditioning order (§8.4) remove the two largest sources of two-team divergence identified previously. The explainability record remains near-interface quality. A competent team could now implement the method to a single interpretation given the dependency documents.</w:t>
      </w:r>
    </w:p>
    <w:p>
      <w:pPr>
        <w:keepNext/>
        <w:pBdr>
          <w:left w:val="single" w:color="6E8B7A" w:sz="20" w:space="8"/>
        </w:pBdr>
        <w:spacing w:after="60" w:before="240"/>
      </w:pPr>
      <w:r>
        <w:rPr>
          <w:rFonts w:ascii="Inter" w:cs="Inter" w:eastAsia="Inter" w:hAnsi="Inter"/>
          <w:b/>
          <w:bCs/>
          <w:color w:val="6E8B7A"/>
          <w:sz w:val="20"/>
          <w:szCs w:val="20"/>
        </w:rPr>
        <w:t xml:space="preserve">MINOR  ·  </w:t>
      </w:r>
      <w:r>
        <w:rPr>
          <w:rFonts w:ascii="Inter" w:cs="Inter" w:eastAsia="Inter" w:hAnsi="Inter"/>
          <w:b/>
          <w:bCs/>
          <w:color w:val="3F5E4E"/>
          <w:sz w:val="22"/>
          <w:szCs w:val="22"/>
        </w:rPr>
        <w:t xml:space="preserve">R-5   The protection ceiling and the negative-protection term need a single owner of their interaction</w:t>
      </w:r>
    </w:p>
    <w:p>
      <w:pPr>
        <w:spacing w:after="140" w:before="0" w:line="276"/>
        <w:jc w:val="both"/>
      </w:pPr>
      <w:r>
        <w:rPr>
          <w:rFonts w:ascii="Inter" w:cs="Inter" w:eastAsia="Inter" w:hAnsi="Inter"/>
          <w:b/>
          <w:bCs/>
          <w:i w:val="false"/>
          <w:iCs w:val="false"/>
          <w:color w:val="3F5E4E"/>
          <w:sz w:val="21"/>
          <w:szCs w:val="21"/>
        </w:rPr>
        <w:t xml:space="preserve">Location.  </w:t>
      </w:r>
      <w:r>
        <w:rPr>
          <w:rFonts w:ascii="Inter" w:cs="Inter" w:eastAsia="Inter" w:hAnsi="Inter"/>
          <w:b w:val="false"/>
          <w:bCs w:val="false"/>
          <w:i w:val="false"/>
          <w:iCs w:val="false"/>
          <w:color w:val="22302A"/>
          <w:sz w:val="21"/>
          <w:szCs w:val="21"/>
        </w:rPr>
        <w:t xml:space="preserve">§6.4.2 (negative-protection term), §7.4 (protection ceiling).</w:t>
      </w:r>
    </w:p>
    <w:p>
      <w:pPr>
        <w:spacing w:after="140" w:before="0" w:line="276"/>
        <w:jc w:val="both"/>
      </w:pPr>
      <w:r>
        <w:rPr>
          <w:rFonts w:ascii="Inter" w:cs="Inter" w:eastAsia="Inter" w:hAnsi="Inter"/>
          <w:b/>
          <w:bCs/>
          <w:i w:val="false"/>
          <w:iCs w:val="false"/>
          <w:color w:val="3F5E4E"/>
          <w:sz w:val="21"/>
          <w:szCs w:val="21"/>
        </w:rPr>
        <w:t xml:space="preserve">Explanation.  </w:t>
      </w:r>
      <w:r>
        <w:rPr>
          <w:rFonts w:ascii="Inter" w:cs="Inter" w:eastAsia="Inter" w:hAnsi="Inter"/>
          <w:b w:val="false"/>
          <w:bCs w:val="false"/>
          <w:i w:val="false"/>
          <w:iCs w:val="false"/>
          <w:color w:val="22302A"/>
          <w:sz w:val="21"/>
          <w:szCs w:val="21"/>
        </w:rPr>
        <w:t xml:space="preserve">Two mechanisms now bound how far a material negative can move the score: the negative-protection term in the canonical form (§6.4.2) and the protection ceiling in §7.4. They are consistent, but the document describes them in two places without stating that they are the same ceiling. A careful implementer could treat them as two separate limits.</w:t>
      </w:r>
    </w:p>
    <w:p>
      <w:pPr>
        <w:spacing w:after="140" w:before="0" w:line="276"/>
        <w:jc w:val="both"/>
      </w:pPr>
      <w:r>
        <w:rPr>
          <w:rFonts w:ascii="Inter" w:cs="Inter" w:eastAsia="Inter" w:hAnsi="Inter"/>
          <w:b/>
          <w:bCs/>
          <w:i w:val="false"/>
          <w:iCs w:val="false"/>
          <w:color w:val="3F5E4E"/>
          <w:sz w:val="21"/>
          <w:szCs w:val="21"/>
        </w:rPr>
        <w:t xml:space="preserve">Why it matters.  </w:t>
      </w:r>
      <w:r>
        <w:rPr>
          <w:rFonts w:ascii="Inter" w:cs="Inter" w:eastAsia="Inter" w:hAnsi="Inter"/>
          <w:b w:val="false"/>
          <w:bCs w:val="false"/>
          <w:i w:val="false"/>
          <w:iCs w:val="false"/>
          <w:color w:val="22302A"/>
          <w:sz w:val="21"/>
          <w:szCs w:val="21"/>
        </w:rPr>
        <w:t xml:space="preserve">Duplicate or divergent expression of the same bound is a classic source of subtle implementation inconsistency, precisely on the severe-finding cases that matter most.</w:t>
      </w:r>
    </w:p>
    <w:p>
      <w:pPr>
        <w:spacing w:after="140" w:before="0" w:line="276"/>
        <w:jc w:val="both"/>
      </w:pPr>
      <w:r>
        <w:rPr>
          <w:rFonts w:ascii="Inter" w:cs="Inter" w:eastAsia="Inter" w:hAnsi="Inter"/>
          <w:b/>
          <w:bCs/>
          <w:i w:val="false"/>
          <w:iCs w:val="false"/>
          <w:color w:val="3F5E4E"/>
          <w:sz w:val="21"/>
          <w:szCs w:val="21"/>
        </w:rPr>
        <w:t xml:space="preserve">Recommendation.  </w:t>
      </w:r>
      <w:r>
        <w:rPr>
          <w:rFonts w:ascii="Inter" w:cs="Inter" w:eastAsia="Inter" w:hAnsi="Inter"/>
          <w:b w:val="false"/>
          <w:bCs w:val="false"/>
          <w:i w:val="false"/>
          <w:iCs w:val="false"/>
          <w:color w:val="22302A"/>
          <w:sz w:val="21"/>
          <w:szCs w:val="21"/>
        </w:rPr>
        <w:t xml:space="preserve">Add a half-sentence cross-reference making explicit that the §7.4 protection ceiling is the bound applied to the §6.4.2 negative-protection term — one ceiling, described from two angles. Trivial to fix; worth doing before freeze for the same reason SR-2 was raised originally.</w:t>
      </w:r>
    </w:p>
    <w:p>
      <w:pPr>
        <w:pStyle w:val="Heading2"/>
        <w:spacing w:after="100" w:before="240"/>
      </w:pPr>
      <w:r>
        <w:rPr>
          <w:rFonts w:ascii="Inter" w:cs="Inter" w:eastAsia="Inter" w:hAnsi="Inter"/>
          <w:b/>
          <w:bCs/>
          <w:color w:val="3F5E4E"/>
          <w:sz w:val="24"/>
          <w:szCs w:val="24"/>
        </w:rPr>
        <w:t xml:space="preserve">2.8  Intellectual-property strength</w:t>
      </w:r>
    </w:p>
    <w:p>
      <w:pPr>
        <w:spacing w:after="140" w:before="0" w:line="276"/>
        <w:jc w:val="both"/>
      </w:pPr>
      <w:r>
        <w:rPr>
          <w:rFonts w:ascii="Inter" w:cs="Inter" w:eastAsia="Inter" w:hAnsi="Inter"/>
          <w:b w:val="false"/>
          <w:bCs w:val="false"/>
          <w:i w:val="false"/>
          <w:iCs w:val="false"/>
          <w:color w:val="22302A"/>
          <w:sz w:val="21"/>
          <w:szCs w:val="21"/>
        </w:rPr>
        <w:t xml:space="preserve">IP is stronger than at first review. The named "BioSense present-health composition" (§6.4.2) and the dual-reference technique (§8.7) are two specific, defensible, non-obvious method elements that a competitor could not arrive at merely by adopting the general philosophy. Together with the negative-protection asymmetry and the explainability contract, the document now protects its most valuable behaviours as named, versioned assets.</w:t>
      </w:r>
    </w:p>
    <w:p>
      <w:pPr>
        <w:spacing w:after="140" w:before="0" w:line="276"/>
        <w:jc w:val="both"/>
      </w:pPr>
      <w:r>
        <w:rPr>
          <w:rFonts w:ascii="Inter" w:cs="Inter" w:eastAsia="Inter" w:hAnsi="Inter"/>
          <w:b/>
          <w:bCs/>
          <w:i w:val="false"/>
          <w:iCs w:val="false"/>
          <w:color w:val="3F5E4E"/>
          <w:sz w:val="21"/>
          <w:szCs w:val="21"/>
        </w:rPr>
        <w:t xml:space="preserve">No issues identified.</w:t>
      </w:r>
    </w:p>
    <w:p>
      <w:pPr>
        <w:pStyle w:val="Heading2"/>
        <w:spacing w:after="100" w:before="240"/>
      </w:pPr>
      <w:r>
        <w:rPr>
          <w:rFonts w:ascii="Inter" w:cs="Inter" w:eastAsia="Inter" w:hAnsi="Inter"/>
          <w:b/>
          <w:bCs/>
          <w:color w:val="3F5E4E"/>
          <w:sz w:val="24"/>
          <w:szCs w:val="24"/>
        </w:rPr>
        <w:t xml:space="preserve">2.9  Future document interactions</w:t>
      </w:r>
    </w:p>
    <w:p>
      <w:pPr>
        <w:spacing w:after="140" w:before="0" w:line="276"/>
        <w:jc w:val="both"/>
      </w:pPr>
      <w:r>
        <w:rPr>
          <w:rFonts w:ascii="Inter" w:cs="Inter" w:eastAsia="Inter" w:hAnsi="Inter"/>
          <w:b w:val="false"/>
          <w:bCs w:val="false"/>
          <w:i w:val="false"/>
          <w:iCs w:val="false"/>
          <w:color w:val="22302A"/>
          <w:sz w:val="21"/>
          <w:szCs w:val="21"/>
        </w:rPr>
        <w:t xml:space="preserve">The document leaves clean room for GSC-002 through GSC-009. It consumes GSC-003/004/008, references GSC-005/006/009 as disclaimers, and now places two explicit requirements on siblings (materiality on GSC-004; longitudinal-weighting ownership on GSC-008) framed as requirements rather than annexations. Chapter 20 remains a model for sibling decoupling.</w:t>
      </w:r>
    </w:p>
    <w:p>
      <w:pPr>
        <w:keepNext/>
        <w:pBdr>
          <w:left w:val="single" w:color="8FA99A" w:sz="20" w:space="8"/>
        </w:pBdr>
        <w:spacing w:after="60" w:before="240"/>
      </w:pPr>
      <w:r>
        <w:rPr>
          <w:rFonts w:ascii="Inter" w:cs="Inter" w:eastAsia="Inter" w:hAnsi="Inter"/>
          <w:b/>
          <w:bCs/>
          <w:color w:val="8FA99A"/>
          <w:sz w:val="20"/>
          <w:szCs w:val="20"/>
        </w:rPr>
        <w:t xml:space="preserve">OBSERVATION  ·  </w:t>
      </w:r>
      <w:r>
        <w:rPr>
          <w:rFonts w:ascii="Inter" w:cs="Inter" w:eastAsia="Inter" w:hAnsi="Inter"/>
          <w:b/>
          <w:bCs/>
          <w:color w:val="3F5E4E"/>
          <w:sz w:val="22"/>
          <w:szCs w:val="22"/>
        </w:rPr>
        <w:t xml:space="preserve">R-6   Two clean requirements are now placed on unwritten siblings</w:t>
      </w:r>
    </w:p>
    <w:p>
      <w:pPr>
        <w:spacing w:after="140" w:before="0" w:line="276"/>
        <w:jc w:val="both"/>
      </w:pPr>
      <w:r>
        <w:rPr>
          <w:rFonts w:ascii="Inter" w:cs="Inter" w:eastAsia="Inter" w:hAnsi="Inter"/>
          <w:b/>
          <w:bCs/>
          <w:i w:val="false"/>
          <w:iCs w:val="false"/>
          <w:color w:val="3F5E4E"/>
          <w:sz w:val="21"/>
          <w:szCs w:val="21"/>
        </w:rPr>
        <w:t xml:space="preserve">Location.  </w:t>
      </w:r>
      <w:r>
        <w:rPr>
          <w:rFonts w:ascii="Inter" w:cs="Inter" w:eastAsia="Inter" w:hAnsi="Inter"/>
          <w:b w:val="false"/>
          <w:bCs w:val="false"/>
          <w:i w:val="false"/>
          <w:iCs w:val="false"/>
          <w:color w:val="22302A"/>
          <w:sz w:val="21"/>
          <w:szCs w:val="21"/>
        </w:rPr>
        <w:t xml:space="preserve">§9.1 (materiality → GSC-004), §11.2 (longitudinal weighting → GSC-008).</w:t>
      </w:r>
    </w:p>
    <w:p>
      <w:pPr>
        <w:spacing w:after="140" w:before="0" w:line="276"/>
        <w:jc w:val="both"/>
      </w:pPr>
      <w:r>
        <w:rPr>
          <w:rFonts w:ascii="Inter" w:cs="Inter" w:eastAsia="Inter" w:hAnsi="Inter"/>
          <w:b/>
          <w:bCs/>
          <w:i w:val="false"/>
          <w:iCs w:val="false"/>
          <w:color w:val="3F5E4E"/>
          <w:sz w:val="21"/>
          <w:szCs w:val="21"/>
        </w:rPr>
        <w:t xml:space="preserve">Explanation.  </w:t>
      </w:r>
      <w:r>
        <w:rPr>
          <w:rFonts w:ascii="Inter" w:cs="Inter" w:eastAsia="Inter" w:hAnsi="Inter"/>
          <w:b w:val="false"/>
          <w:bCs w:val="false"/>
          <w:i w:val="false"/>
          <w:iCs w:val="false"/>
          <w:color w:val="22302A"/>
          <w:sz w:val="21"/>
          <w:szCs w:val="21"/>
        </w:rPr>
        <w:t xml:space="preserve">GSC-001 now depends on GSC-004 defining materiality and on GSC-008 owning longitudinal weighting. These are correctly framed as requirements, but they are commitments the sibling documents must honour.</w:t>
      </w:r>
    </w:p>
    <w:p>
      <w:pPr>
        <w:spacing w:after="140" w:before="0" w:line="276"/>
        <w:jc w:val="both"/>
      </w:pPr>
      <w:r>
        <w:rPr>
          <w:rFonts w:ascii="Inter" w:cs="Inter" w:eastAsia="Inter" w:hAnsi="Inter"/>
          <w:b/>
          <w:bCs/>
          <w:i w:val="false"/>
          <w:iCs w:val="false"/>
          <w:color w:val="3F5E4E"/>
          <w:sz w:val="21"/>
          <w:szCs w:val="21"/>
        </w:rPr>
        <w:t xml:space="preserve">Why it matters.  </w:t>
      </w:r>
      <w:r>
        <w:rPr>
          <w:rFonts w:ascii="Inter" w:cs="Inter" w:eastAsia="Inter" w:hAnsi="Inter"/>
          <w:b w:val="false"/>
          <w:bCs w:val="false"/>
          <w:i w:val="false"/>
          <w:iCs w:val="false"/>
          <w:color w:val="22302A"/>
          <w:sz w:val="21"/>
          <w:szCs w:val="21"/>
        </w:rPr>
        <w:t xml:space="preserve">If GSC-004 or GSC-008 are authored without these requirements in view, a seam could reopen.</w:t>
      </w:r>
    </w:p>
    <w:p>
      <w:pPr>
        <w:spacing w:after="140" w:before="0" w:line="276"/>
        <w:jc w:val="both"/>
      </w:pPr>
      <w:r>
        <w:rPr>
          <w:rFonts w:ascii="Inter" w:cs="Inter" w:eastAsia="Inter" w:hAnsi="Inter"/>
          <w:b/>
          <w:bCs/>
          <w:i w:val="false"/>
          <w:iCs w:val="false"/>
          <w:color w:val="3F5E4E"/>
          <w:sz w:val="21"/>
          <w:szCs w:val="21"/>
        </w:rPr>
        <w:t xml:space="preserve">Recommendation.  </w:t>
      </w:r>
      <w:r>
        <w:rPr>
          <w:rFonts w:ascii="Inter" w:cs="Inter" w:eastAsia="Inter" w:hAnsi="Inter"/>
          <w:b w:val="false"/>
          <w:bCs w:val="false"/>
          <w:i w:val="false"/>
          <w:iCs w:val="false"/>
          <w:color w:val="22302A"/>
          <w:sz w:val="21"/>
          <w:szCs w:val="21"/>
        </w:rPr>
        <w:t xml:space="preserve">No change to GSC-001. Carry these two requirements into the GSC-004 and GSC-008 authoring briefs so the siblings are built to meet them.</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  Consolidated Findings</w:t>
      </w:r>
    </w:p>
    <w:p>
      <w:pPr>
        <w:spacing w:after="140" w:before="0" w:line="276"/>
        <w:jc w:val="both"/>
      </w:pPr>
      <w:r>
        <w:rPr>
          <w:rFonts w:ascii="Inter" w:cs="Inter" w:eastAsia="Inter" w:hAnsi="Inter"/>
          <w:b w:val="false"/>
          <w:bCs w:val="false"/>
          <w:i w:val="false"/>
          <w:iCs w:val="false"/>
          <w:color w:val="22302A"/>
          <w:sz w:val="21"/>
          <w:szCs w:val="21"/>
        </w:rPr>
        <w:t xml:space="preserve">This independent pass found no Critical and no Major findings. It found three Minor items and three Observations. None of the Minor items blocks freeze; two of them (R-4, R-5) are trivial, high-value clarifications worth folding in before or immediately at freeze, and one (R-2) is a legitimate fast-follow. The Observations are strengths or inter-document handshakes, not defects.</w:t>
      </w:r>
    </w:p>
    <w:p>
      <w:pPr>
        <w:spacing w:after="40"/>
      </w:pP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800"/>
        <w:gridCol w:w="1500"/>
        <w:gridCol w:w="5300"/>
        <w:gridCol w:w="1760"/>
      </w:tblGrid>
      <w:tr>
        <w:trPr>
          <w:tblHeader/>
        </w:trPr>
        <w:tc>
          <w:tcPr>
            <w:tcW w:type="dxa" w:w="8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ID</w:t>
            </w:r>
          </w:p>
        </w:tc>
        <w:tc>
          <w:tcPr>
            <w:tcW w:type="dxa" w:w="15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Severity</w:t>
            </w:r>
          </w:p>
        </w:tc>
        <w:tc>
          <w:tcPr>
            <w:tcW w:type="dxa" w:w="53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Title</w:t>
            </w:r>
          </w:p>
        </w:tc>
        <w:tc>
          <w:tcPr>
            <w:tcW w:type="dxa" w:w="17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Blocks freeze?</w:t>
            </w:r>
          </w:p>
        </w:tc>
      </w:tr>
      <w:tr>
        <w:tc>
          <w:tcPr>
            <w:tcW w:type="dxa" w:w="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R-1</w:t>
            </w:r>
          </w:p>
        </w:tc>
        <w:tc>
          <w:tcPr>
            <w:tcW w:type="dxa" w:w="1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Observation</w:t>
            </w:r>
          </w:p>
        </w:tc>
        <w:tc>
          <w:tcPr>
            <w:tcW w:type="dxa" w:w="53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Canonical form is the right amount of specification</w:t>
            </w:r>
          </w:p>
        </w:tc>
        <w:tc>
          <w:tcPr>
            <w:tcW w:type="dxa" w:w="17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r>
      <w:tr>
        <w:tc>
          <w:tcPr>
            <w:tcW w:type="dxa" w:w="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R-2</w:t>
            </w:r>
          </w:p>
        </w:tc>
        <w:tc>
          <w:tcPr>
            <w:tcW w:type="dxa" w:w="1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Minor</w:t>
            </w:r>
          </w:p>
        </w:tc>
        <w:tc>
          <w:tcPr>
            <w:tcW w:type="dxa" w:w="53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Always-on streams vs cadence-based freshness</w:t>
            </w:r>
          </w:p>
        </w:tc>
        <w:tc>
          <w:tcPr>
            <w:tcW w:type="dxa" w:w="17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 fast-follow</w:t>
            </w:r>
          </w:p>
        </w:tc>
      </w:tr>
      <w:tr>
        <w:tc>
          <w:tcPr>
            <w:tcW w:type="dxa" w:w="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R-3</w:t>
            </w:r>
          </w:p>
        </w:tc>
        <w:tc>
          <w:tcPr>
            <w:tcW w:type="dxa" w:w="1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Observation</w:t>
            </w:r>
          </w:p>
        </w:tc>
        <w:tc>
          <w:tcPr>
            <w:tcW w:type="dxa" w:w="53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Reproducibility-with-state must be mirrored in ENG-001</w:t>
            </w:r>
          </w:p>
        </w:tc>
        <w:tc>
          <w:tcPr>
            <w:tcW w:type="dxa" w:w="17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 handshake</w:t>
            </w:r>
          </w:p>
        </w:tc>
      </w:tr>
      <w:tr>
        <w:tc>
          <w:tcPr>
            <w:tcW w:type="dxa" w:w="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R-4</w:t>
            </w:r>
          </w:p>
        </w:tc>
        <w:tc>
          <w:tcPr>
            <w:tcW w:type="dxa" w:w="1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Minor</w:t>
            </w:r>
          </w:p>
        </w:tc>
        <w:tc>
          <w:tcPr>
            <w:tcW w:type="dxa" w:w="53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Population anchor must not become a clinical claim</w:t>
            </w:r>
          </w:p>
        </w:tc>
        <w:tc>
          <w:tcPr>
            <w:tcW w:type="dxa" w:w="17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 worth pre-freeze</w:t>
            </w:r>
          </w:p>
        </w:tc>
      </w:tr>
      <w:tr>
        <w:tc>
          <w:tcPr>
            <w:tcW w:type="dxa" w:w="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R-5</w:t>
            </w:r>
          </w:p>
        </w:tc>
        <w:tc>
          <w:tcPr>
            <w:tcW w:type="dxa" w:w="1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Minor</w:t>
            </w:r>
          </w:p>
        </w:tc>
        <w:tc>
          <w:tcPr>
            <w:tcW w:type="dxa" w:w="53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Protection ceiling and negative-protection term: one owner</w:t>
            </w:r>
          </w:p>
        </w:tc>
        <w:tc>
          <w:tcPr>
            <w:tcW w:type="dxa" w:w="17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 worth pre-freeze</w:t>
            </w:r>
          </w:p>
        </w:tc>
      </w:tr>
      <w:tr>
        <w:tc>
          <w:tcPr>
            <w:tcW w:type="dxa" w:w="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R-6</w:t>
            </w:r>
          </w:p>
        </w:tc>
        <w:tc>
          <w:tcPr>
            <w:tcW w:type="dxa" w:w="1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Observation</w:t>
            </w:r>
          </w:p>
        </w:tc>
        <w:tc>
          <w:tcPr>
            <w:tcW w:type="dxa" w:w="53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Two clean requirements now placed on siblings</w:t>
            </w:r>
          </w:p>
        </w:tc>
        <w:tc>
          <w:tcPr>
            <w:tcW w:type="dxa" w:w="17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 handshake</w:t>
            </w:r>
          </w:p>
        </w:tc>
      </w:tr>
    </w:tbl>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Comparison to the first review.  </w:t>
            </w:r>
            <w:r>
              <w:rPr>
                <w:rFonts w:ascii="Inter" w:cs="Inter" w:eastAsia="Inter" w:hAnsi="Inter"/>
                <w:b w:val="false"/>
                <w:bCs w:val="false"/>
                <w:i w:val="false"/>
                <w:iCs w:val="false"/>
                <w:color w:val="22302A"/>
                <w:sz w:val="21"/>
                <w:szCs w:val="21"/>
              </w:rPr>
              <w:t xml:space="preserve">The first pass found zero Critical and seven Major, all clustered on the temporal-state/baseline seam. This pass finds zero Critical and zero Major: that cluster is genuinely resolved, not merely papered over. What remains are three Minor clarifications and three inter-document handshakes — the residue of a healthy revision, not evidence of an unstable one.</w:t>
            </w:r>
          </w:p>
        </w:tc>
      </w:tr>
    </w:tbl>
    <w:p>
      <w:pPr>
        <w:pStyle w:val="Heading2"/>
        <w:spacing w:after="100" w:before="240"/>
      </w:pPr>
      <w:r>
        <w:rPr>
          <w:rFonts w:ascii="Inter" w:cs="Inter" w:eastAsia="Inter" w:hAnsi="Inter"/>
          <w:b/>
          <w:bCs/>
          <w:color w:val="3F5E4E"/>
          <w:sz w:val="24"/>
          <w:szCs w:val="24"/>
        </w:rPr>
        <w:t xml:space="preserve">3.1  What was specifically re-challenged and found sound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 seam.  </w:t>
      </w:r>
      <w:r>
        <w:rPr>
          <w:rFonts w:ascii="Inter" w:cs="Inter" w:eastAsia="Inter" w:hAnsi="Inter"/>
          <w:b w:val="false"/>
          <w:bCs w:val="false"/>
          <w:i w:val="false"/>
          <w:iCs w:val="false"/>
          <w:color w:val="22302A"/>
          <w:sz w:val="21"/>
          <w:szCs w:val="21"/>
        </w:rPr>
        <w:t xml:space="preserve">Temporal state and baseline are now unambiguously owned by ENG-001, with GSC-001 owning policy; reproducibility is redefined to include supplied prior state. Re-examined from scratch, this is internally consistent and non-circular.</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 aggregation.  </w:t>
      </w:r>
      <w:r>
        <w:rPr>
          <w:rFonts w:ascii="Inter" w:cs="Inter" w:eastAsia="Inter" w:hAnsi="Inter"/>
          <w:b w:val="false"/>
          <w:bCs w:val="false"/>
          <w:i w:val="false"/>
          <w:iCs w:val="false"/>
          <w:color w:val="22302A"/>
          <w:sz w:val="21"/>
          <w:szCs w:val="21"/>
        </w:rPr>
        <w:t xml:space="preserve">The canonical form removes the identical-build ambiguity without crossing into engineering. Re-checked against the boundedness, saturation and negative-protection properties — consistent.</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 drift safeguard.  </w:t>
      </w:r>
      <w:r>
        <w:rPr>
          <w:rFonts w:ascii="Inter" w:cs="Inter" w:eastAsia="Inter" w:hAnsi="Inter"/>
          <w:b w:val="false"/>
          <w:bCs w:val="false"/>
          <w:i w:val="false"/>
          <w:iCs w:val="false"/>
          <w:color w:val="22302A"/>
          <w:sz w:val="21"/>
          <w:szCs w:val="21"/>
        </w:rPr>
        <w:t xml:space="preserve">The dual reference closes the slow-drift gap through owned mechanisms with no outbound dependency and no loop. Re-checked for circularity — none.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Scope.  </w:t>
      </w:r>
      <w:r>
        <w:rPr>
          <w:rFonts w:ascii="Inter" w:cs="Inter" w:eastAsia="Inter" w:hAnsi="Inter"/>
          <w:b w:val="false"/>
          <w:bCs w:val="false"/>
          <w:i w:val="false"/>
          <w:iCs w:val="false"/>
          <w:color w:val="22302A"/>
          <w:sz w:val="21"/>
          <w:szCs w:val="21"/>
        </w:rPr>
        <w:t xml:space="preserve">No revision introduced code, science, safety or narrative ownership. Re-checked line by line in the changed sections — clean.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4.  Freeze Decision</w:t>
      </w:r>
    </w:p>
    <w:p>
      <w:pPr>
        <w:pStyle w:val="Heading2"/>
        <w:spacing w:after="100" w:before="240"/>
      </w:pPr>
      <w:r>
        <w:rPr>
          <w:rFonts w:ascii="Inter" w:cs="Inter" w:eastAsia="Inter" w:hAnsi="Inter"/>
          <w:b/>
          <w:bCs/>
          <w:color w:val="3F5E4E"/>
          <w:sz w:val="24"/>
          <w:szCs w:val="24"/>
        </w:rPr>
        <w:t xml:space="preserve">4.1  Ratings (re-assessed)</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500"/>
        <w:gridCol w:w="1400"/>
        <w:gridCol w:w="1400"/>
        <w:gridCol w:w="4060"/>
      </w:tblGrid>
      <w:tr>
        <w:trPr>
          <w:tblHeader/>
        </w:trPr>
        <w:tc>
          <w:tcPr>
            <w:tcW w:type="dxa" w:w="25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Dimension</w:t>
            </w:r>
          </w:p>
        </w:tc>
        <w:tc>
          <w:tcPr>
            <w:tcW w:type="dxa" w:w="1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First pass</w:t>
            </w:r>
          </w:p>
        </w:tc>
        <w:tc>
          <w:tcPr>
            <w:tcW w:type="dxa" w:w="1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This pass</w:t>
            </w:r>
          </w:p>
        </w:tc>
        <w:tc>
          <w:tcPr>
            <w:tcW w:type="dxa" w:w="40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Basis for change</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Overall quality</w:t>
            </w:r>
          </w:p>
        </w:tc>
        <w:tc>
          <w:tcPr>
            <w:tcW w:type="dxa" w:w="1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8.5 / 10</w:t>
            </w:r>
          </w:p>
        </w:tc>
        <w:tc>
          <w:tcPr>
            <w:tcW w:type="dxa" w:w="1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9 / 10</w:t>
            </w:r>
          </w:p>
        </w:tc>
        <w:tc>
          <w:tcPr>
            <w:tcW w:type="dxa" w:w="4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Temporal-state seam resolved; IP and buildability strengthened.</w:t>
            </w:r>
          </w:p>
        </w:tc>
      </w:tr>
      <w:tr>
        <w:tc>
          <w:tcPr>
            <w:tcW w:type="dxa" w:w="2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Architecture</w:t>
            </w:r>
          </w:p>
        </w:tc>
        <w:tc>
          <w:tcPr>
            <w:tcW w:type="dxa" w:w="1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 / 10</w:t>
            </w:r>
          </w:p>
        </w:tc>
        <w:tc>
          <w:tcPr>
            <w:tcW w:type="dxa" w:w="1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9 / 10</w:t>
            </w:r>
          </w:p>
        </w:tc>
        <w:tc>
          <w:tcPr>
            <w:tcW w:type="dxa" w:w="4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Baseline, temporal state and longitudinal seams now clean.</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Scientific robustness</w:t>
            </w:r>
          </w:p>
        </w:tc>
        <w:tc>
          <w:tcPr>
            <w:tcW w:type="dxa" w:w="1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7.5 / 10</w:t>
            </w:r>
          </w:p>
        </w:tc>
        <w:tc>
          <w:tcPr>
            <w:tcW w:type="dxa" w:w="1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8.5 / 10</w:t>
            </w:r>
          </w:p>
        </w:tc>
        <w:tc>
          <w:tcPr>
            <w:tcW w:type="dxa" w:w="4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Dual reference closes the slow-drift gap; bound/exception precedence fixed.</w:t>
            </w:r>
          </w:p>
        </w:tc>
      </w:tr>
      <w:tr>
        <w:tc>
          <w:tcPr>
            <w:tcW w:type="dxa" w:w="2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Engineering readiness</w:t>
            </w:r>
          </w:p>
        </w:tc>
        <w:tc>
          <w:tcPr>
            <w:tcW w:type="dxa" w:w="1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7 / 10</w:t>
            </w:r>
          </w:p>
        </w:tc>
        <w:tc>
          <w:tcPr>
            <w:tcW w:type="dxa" w:w="1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8.5 / 10</w:t>
            </w:r>
          </w:p>
        </w:tc>
        <w:tc>
          <w:tcPr>
            <w:tcW w:type="dxa" w:w="4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Canonical form and fixed conditioning order remove divergence.</w:t>
            </w:r>
          </w:p>
        </w:tc>
      </w:tr>
      <w:tr>
        <w:tc>
          <w:tcPr>
            <w:tcW w:type="dxa" w:w="25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Long-term maintainability</w:t>
            </w:r>
          </w:p>
        </w:tc>
        <w:tc>
          <w:tcPr>
            <w:tcW w:type="dxa" w:w="1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8.5 / 10</w:t>
            </w:r>
          </w:p>
        </w:tc>
        <w:tc>
          <w:tcPr>
            <w:tcW w:type="dxa" w:w="1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9 / 10</w:t>
            </w:r>
          </w:p>
        </w:tc>
        <w:tc>
          <w:tcPr>
            <w:tcW w:type="dxa" w:w="4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Domain-extensibility procedure added; governance already complete.</w:t>
            </w:r>
          </w:p>
        </w:tc>
      </w:tr>
      <w:tr>
        <w:tc>
          <w:tcPr>
            <w:tcW w:type="dxa" w:w="25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IP defensibility</w:t>
            </w:r>
          </w:p>
        </w:tc>
        <w:tc>
          <w:tcPr>
            <w:tcW w:type="dxa" w:w="1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 / 10</w:t>
            </w:r>
          </w:p>
        </w:tc>
        <w:tc>
          <w:tcPr>
            <w:tcW w:type="dxa" w:w="1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9 / 10</w:t>
            </w:r>
          </w:p>
        </w:tc>
        <w:tc>
          <w:tcPr>
            <w:tcW w:type="dxa" w:w="4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Named composition form and dual-reference technique are defensible assets.</w:t>
            </w:r>
          </w:p>
        </w:tc>
      </w:tr>
    </w:tbl>
    <w:p>
      <w:pPr>
        <w:pStyle w:val="Heading2"/>
        <w:spacing w:after="100" w:before="240"/>
      </w:pPr>
      <w:r>
        <w:rPr>
          <w:rFonts w:ascii="Inter" w:cs="Inter" w:eastAsia="Inter" w:hAnsi="Inter"/>
          <w:b/>
          <w:bCs/>
          <w:color w:val="3F5E4E"/>
          <w:sz w:val="24"/>
          <w:szCs w:val="24"/>
        </w:rPr>
        <w:t xml:space="preserve">4.2  Decision</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Verdict:  </w:t>
            </w:r>
            <w:r>
              <w:rPr>
                <w:rFonts w:ascii="Inter" w:cs="Inter" w:eastAsia="Inter" w:hAnsi="Inter"/>
                <w:b/>
                <w:bCs/>
                <w:i w:val="false"/>
                <w:iCs w:val="false"/>
                <w:color w:val="3F5E4E"/>
                <w:sz w:val="21"/>
                <w:szCs w:val="21"/>
              </w:rPr>
              <w:t xml:space="preserve">READY FOR FREEZE.</w:t>
            </w:r>
          </w:p>
          <w:p>
            <w:pPr>
              <w:spacing w:after="140" w:before="0" w:line="276"/>
              <w:jc w:val="both"/>
            </w:pPr>
            <w:r>
              <w:rPr>
                <w:rFonts w:ascii="Inter" w:cs="Inter" w:eastAsia="Inter" w:hAnsi="Inter"/>
                <w:b w:val="false"/>
                <w:bCs w:val="false"/>
                <w:i w:val="false"/>
                <w:iCs w:val="false"/>
                <w:color w:val="22302A"/>
                <w:sz w:val="21"/>
                <w:szCs w:val="21"/>
              </w:rPr>
              <w:t xml:space="preserve">GSC-001 v1.0 can now be frozen and used as the canonical Health Score methodology for the remainder of the BioSense platform. </w:t>
            </w:r>
            <w:r>
              <w:rPr>
                <w:rFonts w:ascii="Inter" w:cs="Inter" w:eastAsia="Inter" w:hAnsi="Inter"/>
                <w:b w:val="false"/>
                <w:bCs w:val="false"/>
                <w:i w:val="false"/>
                <w:iCs w:val="false"/>
                <w:color w:val="22302A"/>
                <w:sz w:val="21"/>
                <w:szCs w:val="21"/>
              </w:rPr>
              <w:t xml:space="preserve">This independent pass found no Critical and no Major issues. The three Minor findings are clarifications, not defects, and none prevents freeze; the Observations are strengths and inter-document handshakes.</w:t>
            </w:r>
          </w:p>
        </w:tc>
      </w:tr>
    </w:tbl>
    <w:p>
      <w:pPr>
        <w:pStyle w:val="Heading2"/>
        <w:spacing w:after="100" w:before="240"/>
      </w:pPr>
      <w:r>
        <w:rPr>
          <w:rFonts w:ascii="Inter" w:cs="Inter" w:eastAsia="Inter" w:hAnsi="Inter"/>
          <w:b/>
          <w:bCs/>
          <w:color w:val="3F5E4E"/>
          <w:sz w:val="24"/>
          <w:szCs w:val="24"/>
        </w:rPr>
        <w:t xml:space="preserve">4.3  Two trivial clarifications — applied at freeze</w:t>
      </w:r>
    </w:p>
    <w:p>
      <w:pPr>
        <w:spacing w:after="140" w:before="0" w:line="276"/>
        <w:jc w:val="both"/>
      </w:pPr>
      <w:r>
        <w:rPr>
          <w:rFonts w:ascii="Inter" w:cs="Inter" w:eastAsia="Inter" w:hAnsi="Inter"/>
          <w:b w:val="false"/>
          <w:bCs w:val="false"/>
          <w:i w:val="false"/>
          <w:iCs w:val="false"/>
          <w:color w:val="22302A"/>
          <w:sz w:val="21"/>
          <w:szCs w:val="21"/>
        </w:rPr>
        <w:t xml:space="preserve">The two clarifications below were identified by this pass and folded into the freeze candidate at the point of freeze, without a further review cycle, so the frozen document is maximally clean. Neither gated the freeze; the document was sound with or without them, and is now sound with them applied.</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R-4 (applied):  </w:t>
      </w:r>
      <w:r>
        <w:rPr>
          <w:rFonts w:ascii="Inter" w:cs="Inter" w:eastAsia="Inter" w:hAnsi="Inter"/>
          <w:b w:val="false"/>
          <w:bCs w:val="false"/>
          <w:i w:val="false"/>
          <w:iCs w:val="false"/>
          <w:color w:val="22302A"/>
          <w:sz w:val="21"/>
          <w:szCs w:val="21"/>
        </w:rPr>
        <w:t xml:space="preserve">§8.7 now states the population anchor is used only to detect and surface drift, never to assert clinical abnormality or risk, preserving the wellness-first posture.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R-5 (applied):  </w:t>
      </w:r>
      <w:r>
        <w:rPr>
          <w:rFonts w:ascii="Inter" w:cs="Inter" w:eastAsia="Inter" w:hAnsi="Inter"/>
          <w:b w:val="false"/>
          <w:bCs w:val="false"/>
          <w:i w:val="false"/>
          <w:iCs w:val="false"/>
          <w:color w:val="22302A"/>
          <w:sz w:val="21"/>
          <w:szCs w:val="21"/>
        </w:rPr>
        <w:t xml:space="preserve">§7.4 now states explicitly that its protection ceiling is the same bound applied to the §6.4.2 negative-protection term — one ceiling, not two limits.</w:t>
      </w:r>
    </w:p>
    <w:p>
      <w:pPr>
        <w:spacing w:after="140" w:before="0" w:line="276"/>
        <w:jc w:val="both"/>
      </w:pPr>
      <w:r>
        <w:rPr>
          <w:rFonts w:ascii="Inter" w:cs="Inter" w:eastAsia="Inter" w:hAnsi="Inter"/>
          <w:b w:val="false"/>
          <w:bCs w:val="false"/>
          <w:i w:val="false"/>
          <w:iCs w:val="false"/>
          <w:color w:val="22302A"/>
          <w:sz w:val="21"/>
          <w:szCs w:val="21"/>
        </w:rPr>
        <w:t xml:space="preserve">R-2 (always-on streams) and R-3/R-6 (ENG-001 and sibling handshakes) should be carried into the relevant authoring briefs but require no change to GSC-001 before freeze.</w:t>
      </w:r>
    </w:p>
    <w:p>
      <w:pPr>
        <w:pStyle w:val="Heading2"/>
        <w:spacing w:after="100" w:before="240"/>
      </w:pPr>
      <w:r>
        <w:rPr>
          <w:rFonts w:ascii="Inter" w:cs="Inter" w:eastAsia="Inter" w:hAnsi="Inter"/>
          <w:b/>
          <w:bCs/>
          <w:color w:val="3F5E4E"/>
          <w:sz w:val="24"/>
          <w:szCs w:val="24"/>
        </w:rPr>
        <w:t xml:space="preserve">4.4  Statement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For the record.  </w:t>
            </w:r>
            <w:r>
              <w:rPr>
                <w:rFonts w:ascii="Inter" w:cs="Inter" w:eastAsia="Inter" w:hAnsi="Inter"/>
                <w:b w:val="false"/>
                <w:bCs w:val="false"/>
                <w:i w:val="false"/>
                <w:iCs w:val="false"/>
                <w:color w:val="22302A"/>
                <w:sz w:val="21"/>
                <w:szCs w:val="21"/>
              </w:rPr>
              <w:t xml:space="preserve">Assessed independently and challenged afresh, GSC-001 is architecturally clean, scientifically robust, buildable to a single interpretation, maintainable for the platform’s lifetime, and defensible as core BioSense intellectual property. It is consistent with GSC-000, the Constitution, the Engineering library and the Scientific Configuration Library, with no duplicated ownership, no methodology drift and no contradiction. GSC-001 is Ready for Freeze as Version 1.0.</w:t>
            </w:r>
          </w:p>
        </w:tc>
      </w:tr>
    </w:tbl>
    <w:p>
      <w:pPr>
        <w:spacing w:after="60"/>
      </w:pPr>
    </w:p>
    <w:p>
      <w:pPr>
        <w:spacing w:before="200"/>
      </w:pPr>
      <w:r>
        <w:rPr>
          <w:rFonts w:ascii="Inter" w:cs="Inter" w:eastAsia="Inter" w:hAnsi="Inter"/>
          <w:b/>
          <w:bCs/>
          <w:color w:val="8FA99A"/>
          <w:sz w:val="20"/>
          <w:szCs w:val="20"/>
        </w:rPr>
        <w:t xml:space="preserve">END OF RE-REVIEW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E" w:sz="4" w:space="4"/>
      </w:pBdr>
      <w:jc w:val="center"/>
    </w:pPr>
    <w:r>
      <w:rPr>
        <w:rFonts w:ascii="Inter" w:cs="Inter" w:eastAsia="Inter" w:hAnsi="Inter"/>
        <w:color w:val="8FA99A"/>
        <w:sz w:val="15"/>
        <w:szCs w:val="15"/>
      </w:rPr>
      <w:t xml:space="preserve">Confidential — Internal Engineering Review        </w:t>
    </w:r>
    <w:r>
      <w:rPr>
        <w:rFonts w:ascii="Inter" w:cs="Inter" w:eastAsia="Inter" w:hAnsi="Inter"/>
        <w:color w:val="8FA9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E" w:sz="4" w:space="4"/>
      </w:pBdr>
      <w:jc w:val="right"/>
    </w:pPr>
    <w:r>
      <w:rPr>
        <w:rFonts w:ascii="Inter" w:cs="Inter" w:eastAsia="Inter" w:hAnsi="Inter"/>
        <w:b/>
        <w:bCs/>
        <w:color w:val="8FA99A"/>
        <w:sz w:val="16"/>
        <w:szCs w:val="16"/>
      </w:rPr>
      <w:t xml:space="preserve">BioSense  ·  </w:t>
    </w:r>
    <w:r>
      <w:rPr>
        <w:rFonts w:ascii="Inter" w:cs="Inter" w:eastAsia="Inter" w:hAnsi="Inter"/>
        <w:color w:val="8FA99A"/>
        <w:sz w:val="16"/>
        <w:szCs w:val="16"/>
      </w:rPr>
      <w:t xml:space="preserve">GSC-001 Independent Re-Review · Freeze Candidate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A99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3F5E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Inter" w:cs="Inter" w:eastAsia="Inter" w:hAnsi="Inter"/>
      <w:b/>
      <w:bCs/>
      <w:color w:val="3F5E4E"/>
      <w:sz w:val="30"/>
      <w:szCs w:val="30"/>
    </w:rPr>
  </w:style>
  <w:style w:type="paragraph" w:styleId="Heading2">
    <w:name w:val="Heading 2"/>
    <w:basedOn w:val="Normal"/>
    <w:next w:val="Normal"/>
    <w:qFormat/>
    <w:pPr>
      <w:spacing w:after="100" w:before="240"/>
    </w:pPr>
    <w:rPr>
      <w:rFonts w:ascii="Inter" w:cs="Inter" w:eastAsia="Inter" w:hAnsi="Inter"/>
      <w:b/>
      <w:bCs/>
      <w:color w:val="3F5E4E"/>
      <w:sz w:val="24"/>
      <w:szCs w:val="24"/>
    </w:rPr>
  </w:style>
  <w:style w:type="paragraph" w:styleId="Heading3">
    <w:name w:val="Heading 3"/>
    <w:basedOn w:val="Normal"/>
    <w:next w:val="Normal"/>
    <w:qFormat/>
    <w:pPr>
      <w:spacing w:after="80" w:before="180"/>
    </w:pPr>
    <w:rPr>
      <w:rFonts w:ascii="Inter" w:cs="Inter" w:eastAsia="Inter" w:hAnsi="Inter"/>
      <w:b/>
      <w:bCs/>
      <w:color w:val="2230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GSC-001 Independent Re-Review</dc:title>
  <dc:creator>BioSense — Origin BioSense Technologies FZCO</dc:creator>
  <dc:description>Independent second-pass architectural review of GSC-001</dc:description>
  <cp:lastModifiedBy>Un-named</cp:lastModifiedBy>
  <cp:revision>1</cp:revision>
  <dcterms:created xsi:type="dcterms:W3CDTF">2026-08-05T19:15:19.194Z</dcterms:created>
  <dcterms:modified xsi:type="dcterms:W3CDTF">2026-08-05T19:15:19.194Z</dcterms:modified>
</cp:coreProperties>
</file>

<file path=docProps/custom.xml><?xml version="1.0" encoding="utf-8"?>
<Properties xmlns="http://schemas.openxmlformats.org/officeDocument/2006/custom-properties" xmlns:vt="http://schemas.openxmlformats.org/officeDocument/2006/docPropsVTypes"/>
</file>