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pPr>
      <w:r>
        <w:rPr>
          <w:rFonts w:ascii="Inter" w:cs="Inter" w:eastAsia="Inter" w:hAnsi="Inter"/>
          <w:b/>
          <w:bCs/>
          <w:color w:val="8FA99A"/>
          <w:sz w:val="30"/>
          <w:szCs w:val="30"/>
        </w:rPr>
        <w:t xml:space="preserve">BioSense</w:t>
      </w:r>
    </w:p>
    <w:p>
      <w:pPr>
        <w:spacing w:after="0" w:before="40"/>
      </w:pPr>
      <w:r>
        <w:rPr>
          <w:rFonts w:ascii="Inter" w:cs="Inter" w:eastAsia="Inter" w:hAnsi="Inter"/>
          <w:color w:val="22302A"/>
          <w:sz w:val="20"/>
          <w:szCs w:val="20"/>
        </w:rPr>
        <w:t xml:space="preserve">Global Scientific Configuration · Governance Record</w:t>
      </w:r>
    </w:p>
    <w:p>
      <w:pPr>
        <w:pBdr>
          <w:bottom w:val="single" w:color="3F5E4E" w:sz="12" w:space="10"/>
        </w:pBdr>
        <w:spacing w:after="0" w:before="520"/>
      </w:pPr>
      <w:r>
        <w:rPr>
          <w:rFonts w:ascii="Inter" w:cs="Inter" w:eastAsia="Inter" w:hAnsi="Inter"/>
          <w:b/>
          <w:bCs/>
          <w:color w:val="3F5E4E"/>
          <w:sz w:val="58"/>
          <w:szCs w:val="58"/>
        </w:rPr>
        <w:t xml:space="preserve">GSC-002</w:t>
      </w:r>
    </w:p>
    <w:p>
      <w:pPr>
        <w:spacing w:after="0" w:before="160"/>
      </w:pPr>
      <w:r>
        <w:rPr>
          <w:rFonts w:ascii="Inter" w:cs="Inter" w:eastAsia="Inter" w:hAnsi="Inter"/>
          <w:b/>
          <w:bCs/>
          <w:color w:val="22302A"/>
          <w:sz w:val="30"/>
          <w:szCs w:val="30"/>
        </w:rPr>
        <w:t xml:space="preserve">Pre-Freeze Decision Register</w:t>
      </w:r>
    </w:p>
    <w:p>
      <w:pPr>
        <w:spacing w:after="0" w:before="40"/>
      </w:pPr>
      <w:r>
        <w:rPr>
          <w:rFonts w:ascii="Inter" w:cs="Inter" w:eastAsia="Inter" w:hAnsi="Inter"/>
          <w:i/>
          <w:iCs/>
          <w:color w:val="3F5E4E"/>
          <w:sz w:val="22"/>
          <w:szCs w:val="22"/>
        </w:rPr>
        <w:t xml:space="preserve">Adjudication of the independent architectural review findings</w:t>
      </w:r>
    </w:p>
    <w:p>
      <w:pPr>
        <w:spacing w:before="820"/>
      </w:pPr>
      <w:r>
        <w:rPr>
          <w:rFonts w:ascii="Inter" w:cs="Inter" w:eastAsia="Inter" w:hAnsi="Inter"/>
          <w:b/>
          <w:bCs/>
          <w:color w:val="3F5E4E"/>
          <w:sz w:val="20"/>
          <w:szCs w:val="20"/>
        </w:rPr>
        <w:t xml:space="preserve">Role  </w:t>
      </w:r>
      <w:r>
        <w:rPr>
          <w:rFonts w:ascii="Inter" w:cs="Inter" w:eastAsia="Inter" w:hAnsi="Inter"/>
          <w:color w:val="22302A"/>
          <w:sz w:val="20"/>
          <w:szCs w:val="20"/>
        </w:rPr>
        <w:t xml:space="preserve">Chief Scientific Architect, BioSense</w:t>
      </w:r>
    </w:p>
    <w:p>
      <w:pPr>
        <w:spacing w:before="40"/>
      </w:pPr>
      <w:r>
        <w:rPr>
          <w:rFonts w:ascii="Inter" w:cs="Inter" w:eastAsia="Inter" w:hAnsi="Inter"/>
          <w:b/>
          <w:bCs/>
          <w:color w:val="3F5E4E"/>
          <w:sz w:val="20"/>
          <w:szCs w:val="20"/>
        </w:rPr>
        <w:t xml:space="preserve">Applies to  </w:t>
      </w:r>
      <w:r>
        <w:rPr>
          <w:rFonts w:ascii="Inter" w:cs="Inter" w:eastAsia="Inter" w:hAnsi="Inter"/>
          <w:color w:val="22302A"/>
          <w:sz w:val="20"/>
          <w:szCs w:val="20"/>
        </w:rPr>
        <w:t xml:space="preserve">GSC-002 Biological Age Methodology, v1.0 Freeze Candidate</w:t>
      </w:r>
    </w:p>
    <w:p>
      <w:pPr>
        <w:spacing w:before="40"/>
      </w:pPr>
      <w:r>
        <w:rPr>
          <w:rFonts w:ascii="Inter" w:cs="Inter" w:eastAsia="Inter" w:hAnsi="Inter"/>
          <w:b/>
          <w:bCs/>
          <w:color w:val="3F5E4E"/>
          <w:sz w:val="20"/>
          <w:szCs w:val="20"/>
        </w:rPr>
        <w:t xml:space="preserve">Outcome  </w:t>
      </w:r>
      <w:r>
        <w:rPr>
          <w:rFonts w:ascii="Inter" w:cs="Inter" w:eastAsia="Inter" w:hAnsi="Inter"/>
          <w:color w:val="22302A"/>
          <w:sz w:val="20"/>
          <w:szCs w:val="20"/>
        </w:rPr>
        <w:t xml:space="preserve">All findings accepted (Observations retained as strengths); 0 rejected</w:t>
      </w:r>
    </w:p>
    <w:p>
      <w:pPr>
        <w:spacing w:before="40"/>
      </w:pPr>
      <w:r>
        <w:rPr>
          <w:rFonts w:ascii="Inter" w:cs="Inter" w:eastAsia="Inter" w:hAnsi="Inter"/>
          <w:b/>
          <w:bCs/>
          <w:color w:val="3F5E4E"/>
          <w:sz w:val="20"/>
          <w:szCs w:val="20"/>
        </w:rPr>
        <w:t xml:space="preserve">Classification  </w:t>
      </w:r>
      <w:r>
        <w:rPr>
          <w:rFonts w:ascii="Inter" w:cs="Inter" w:eastAsia="Inter" w:hAnsi="Inter"/>
          <w:color w:val="22302A"/>
          <w:sz w:val="20"/>
          <w:szCs w:val="20"/>
        </w:rPr>
        <w:t xml:space="preserve">Confidential — Internal Engineering Governance Record</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  Adjudication Method</w:t>
      </w:r>
    </w:p>
    <w:p>
      <w:pPr>
        <w:spacing w:after="160" w:line="288"/>
        <w:jc w:val="both"/>
      </w:pPr>
      <w:r>
        <w:rPr>
          <w:rFonts w:ascii="Inter" w:cs="Inter" w:eastAsia="Inter" w:hAnsi="Inter"/>
          <w:b w:val="false"/>
          <w:bCs w:val="false"/>
          <w:i/>
          <w:iCs/>
          <w:color w:val="3F5E4E"/>
          <w:sz w:val="22"/>
          <w:szCs w:val="22"/>
        </w:rPr>
        <w:t xml:space="preserve">Each finding of the independent GSC-002 Pre-Freeze Architectural Review was evaluated against the BioSense architectural principles — long-term stability, clean ownership, buildability, scientific defensibility, scalability, IP defensibility, and zero duplication, drift or contradiction with GSC-000, GSC-001, the Constitution, the Engineering library and the Scientific Configuration Library. The task was not to implement every recommendation but to determine whether each genuinely improves the architecture.</w:t>
      </w:r>
    </w:p>
    <w:p>
      <w:pPr>
        <w:spacing w:after="140" w:before="0" w:line="276"/>
        <w:jc w:val="both"/>
      </w:pPr>
      <w:r>
        <w:rPr>
          <w:rFonts w:ascii="Inter" w:cs="Inter" w:eastAsia="Inter" w:hAnsi="Inter"/>
          <w:b w:val="false"/>
          <w:bCs w:val="false"/>
          <w:i w:val="false"/>
          <w:iCs w:val="false"/>
          <w:color w:val="22302A"/>
          <w:sz w:val="21"/>
          <w:szCs w:val="21"/>
        </w:rPr>
        <w:t xml:space="preserve">Where a finding was accepted, the smallest possible change was made to GSC-002, preserving the existing writing style and structure. No finding was rejected: every Major and Minor item identified a real ambiguity, contradiction or gap, and every Observation was a genuine strength retained without change. The register below records every finding, its decision, the reasoning, and the exact change made.</w:t>
      </w:r>
    </w:p>
    <w:p>
      <w:pPr>
        <w:pStyle w:val="Heading2"/>
        <w:spacing w:after="100" w:before="240"/>
      </w:pPr>
      <w:r>
        <w:rPr>
          <w:rFonts w:ascii="Inter" w:cs="Inter" w:eastAsia="Inter" w:hAnsi="Inter"/>
          <w:b/>
          <w:bCs/>
          <w:color w:val="3F5E4E"/>
          <w:sz w:val="24"/>
          <w:szCs w:val="24"/>
        </w:rPr>
        <w:t xml:space="preserve">1.1  Outcome summary</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2600"/>
        <w:gridCol w:w="900"/>
        <w:gridCol w:w="5860"/>
      </w:tblGrid>
      <w:tr>
        <w:trPr>
          <w:tblHeader/>
        </w:trPr>
        <w:tc>
          <w:tcPr>
            <w:tcW w:type="dxa" w:w="26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Decision</w:t>
            </w:r>
          </w:p>
        </w:tc>
        <w:tc>
          <w:tcPr>
            <w:tcW w:type="dxa" w:w="9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Count</w:t>
            </w:r>
          </w:p>
        </w:tc>
        <w:tc>
          <w:tcPr>
            <w:tcW w:type="dxa" w:w="58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Findings</w:t>
            </w:r>
          </w:p>
        </w:tc>
      </w:tr>
      <w:tr>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Accepted (change made)</w:t>
            </w:r>
          </w:p>
        </w:tc>
        <w:tc>
          <w:tcPr>
            <w:tcW w:type="dxa" w:w="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9</w:t>
            </w:r>
          </w:p>
        </w:tc>
        <w:tc>
          <w:tcPr>
            <w:tcW w:type="dxa" w:w="58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AC-1/HC-1/EB-2 (one fix), AC-2, AC-3/EB-1 (one fix), SR-1, SR-2, OD-1, HC-2, SD-1, FS-2.</w:t>
            </w:r>
          </w:p>
        </w:tc>
      </w:tr>
      <w:tr>
        <w:tc>
          <w:tcPr>
            <w:tcW w:type="dxa" w:w="26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Accepted (retained, no change)</w:t>
            </w:r>
          </w:p>
        </w:tc>
        <w:tc>
          <w:tcPr>
            <w:tcW w:type="dxa" w:w="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6</w:t>
            </w:r>
          </w:p>
        </w:tc>
        <w:tc>
          <w:tcPr>
            <w:tcW w:type="dxa" w:w="58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SD-2, FS-1, HC-3, SR-3, EB-3, IP-1/FD-1 — Observations confirming strengths.</w:t>
            </w:r>
          </w:p>
        </w:tc>
      </w:tr>
      <w:tr>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Rejected</w:t>
            </w:r>
          </w:p>
        </w:tc>
        <w:tc>
          <w:tcPr>
            <w:tcW w:type="dxa" w:w="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0</w:t>
            </w:r>
          </w:p>
        </w:tc>
        <w:tc>
          <w:tcPr>
            <w:tcW w:type="dxa" w:w="58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None. No finding was architecturally harmful.</w:t>
            </w:r>
          </w:p>
        </w:tc>
      </w:tr>
    </w:tbl>
    <w:p>
      <w:pPr>
        <w:spacing w:after="140" w:before="0" w:line="276"/>
        <w:jc w:val="both"/>
      </w:pPr>
      <w:r>
        <w:rPr>
          <w:rFonts w:ascii="Inter" w:cs="Inter" w:eastAsia="Inter" w:hAnsi="Inter"/>
          <w:b w:val="false"/>
          <w:bCs w:val="false"/>
          <w:i w:val="false"/>
          <w:iCs w:val="false"/>
          <w:color w:val="22302A"/>
          <w:sz w:val="21"/>
          <w:szCs w:val="21"/>
        </w:rPr>
        <w:t xml:space="preserve">The four Major findings reduced to three underlying issues — the sustained-evidence-gate ownership contradiction, the reference-version pinning contract, and chronological-age anchoring — each resolved by a targeted, paragraph-scale edit without restructuring the document or changing its scope.</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2.  The Decision Register</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AC-1 / HC-1 / EB-2   Sustained-evidence-gate thresholds claimed by both GSC-002 and GSC-008</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A genuine internal contradiction on the method’s central stability mechanism: §7.4 claimed the gate’s durability thresholds while §20.3 and §21.3 inherited them from GSC-008. Both cannot be true, and leaving it unresolved would let GSC-002 and GSC-008 diverge on the single most load-bearing parameter of the method — the exact class of dual-ownership seam GSC-001 taught the library to avoid.</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Amended §7.4 so the gate’s durability thresholds are consumed from GSC-008 (not "owned by this document"), leaving GSC-002 owning the gate structure and its mapping-side defaults. Added an "Ownership of the sustained-evidence gate" callout making the split explicit and stating that every later gate reference (Chapters 20, 21) consumes thresholds from GSC-008. §7.4 is now consistent with §20.3 and §21.3. Recorded as design decision 33.9.</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AC-3 / EB-1   New "reference version" pinning object lacks a confirmed SCL contract</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The estimate pinned to and recorded a "reference version" for the population and trajectory references — a new versioning object not declared in the dependency list and asserted to be owned by the SCL without confirming the SCL exposes a discrete, pinnable reference version. As written, the flagship reproducibility guarantee and the handover Step 8 rested on a contract that may not exist, making them unbuildable.</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Reframed the pin throughout (§8.5, §28.4, §29.1, §29.5, §29.6, §30 Step 8, §30.3, glossary) onto the existing Scientific Configuration Library science version — the same ENG-008-grounded mechanism by which every scientific claim is already version-pinned — rather than a new object. No new contract is invented; reproducibility now rests on a mechanism that exists.</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AC-2   SCL under-declared on the title page (Authority, not Consumes)</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The Scientific Configuration Library is a hard, central dependency for Biological Age (it supplies the ageing science, the population reference and the expected trajectory), yet the title-page "Consumes" line omitted it, listing it only under "Authority". For a freeze-grade IP document the front matter should reflect the true dependency shape, especially given the reference-version pin.</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Added the Scientific Configuration Library (ageing science, population reference, expected trajectory) to the front of the title-page "Consumes" line.</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SR-1   Chronological-age anchoring of the estimate is under-specified</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Biological Age is expressed as an age and measured as departure from expectation for the person’s chronological age, yet the document did not specify how strongly chronological age anchors the estimate for the large population of sparse-evidence users. Two reasonable implementations could diverge sharply on the most common case, and the estimate-not-fact posture was weaker than it should be for thin evidence.</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Added §9.5 "Chronological age as the low-confidence prior": absent sufficient evidence the estimate defaults toward chronological age at low confidence and departs only as sustained, corroborated evidence accrues, with a callout naming it as a cold-start method element. Recorded as design decision 33.10; also strengthens IP (IP-1).</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SR-2   Ceiling and floor should be plausible relative to chronological age</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The ceiling and floor bounded the estimate to an absolute human range, but ageing plausibility is person-relative: a biological age far below chronological is implausible even within the human range. Absolute-only bounds could permit a seventy-year-old being estimated at twenty-five, breaching credibility and estimate-not-fact.</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Rewrote §22.2 and §22.3 so the ceiling and floor are bounded maximum acceleration and reduction relative to the person’s chronological age, not only absolute human-range caps. Folded into design decision 33.10.</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OD-1   "Material / contribute materially" load-bearing but undefined</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Materiality is the gate between a departure that moves the estimate and one that does not, yet the term was never defined — the same gap GSC-001 raised (its HC-2) and resolved by assigning materiality to GSC-004. GSC-002 had not carried that resolution across, delegating a core scientific-methodology decision to whoever built first.</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Added a glossary entry "Material (departure)" defining it as a function of magnitude, confidence and sustained duration, with the magnitude-and-confidence threshold owned by GSC-004 and the durability component consumed from GSC-008 — consistent with GSC-001 and with the AC-1 fix.</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HC-2   "Corroborated" undefined</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The rejuvenation and accelerated-ageing detection require corroboration before the estimate moves, but "corroborated" was never defined, leaving the degree and kind of corroboration to the implementer.</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Added a glossary entry "Corroborated": agreement across independent markers, systems or time-points, with genuine independence assessed by GSC-003 so correlated views of the same measurement do not count.</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SD-1   Reading convention does not cover "reads/consumes/expresses"</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The §1.4 reading convention covered "moves/resists/resets" but not the "reads/consumes/expresses" verbs the document also uses of the method, leaving a minor literalist ambiguity of the kind SD-2 raised for GSC-001.</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Extended the §1.4 reading-convention callout to cover "reads", "consumes" and "expresses" as well, so all runtime verbs uniformly denote engine actions the method specifies. No per-passage rewrite.</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FS-2   Fixed genetic inputs must not inflate longitudinal confidence</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Genetics is correctly routed into the reference rather than as a present-trajectory domain, but the document did not say how a fixed, high-certainty input interacts with confidence — leaving open that a future genetics integration could raise confidence in a moving estimate on the strength of an unchanging input.</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Appended a sentence to §32.3: a fixed high-certainty predisposition informs the reference but does not, by its permanence and certainty, raise confidence in the longitudinal estimate, which depends on sustained observed evidence of movement.</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SD-2   Configurable-default discipline maintained</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Correct that every concrete value (ceiling, floor, saturation curve, gate mapping) is marked a configurable default tuned under governance. This is the right pattern and a continued strength.</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No change; retained. The AC-1 and SR-2 edits follow the same configurable-default discipline.</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FS-1   "No single clock" invariant is valuable</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Agreed; the rule that no single ageing clock may become the sole determinant protects the constitutional multi-system requirement as ageing-clock science matures.</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No change; retained and highlighted as a model invariant for the library.</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HC-3   Governance complete</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Agreed; versioning, ownership, review, regression protection, backward compatibility and amendment procedure are all present and consistent with the frozen governance model.</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No change, beyond the AC-3 reference-version reframe which the governance chapter now reflects.</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SR-3   Symmetric resilience is signature IP</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Agreed; treating temporary improvement and deterioration even-handedly is constitutionally required, scientifically sound and distinctive.</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No change; retained. Articulated as a named method property in the IP framing.</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EB-3   Developer handover exemplary</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Agreed; the eight-step sequence, ownership table, contracts and "what the team does not decide" list let a team build without inventing scientific logic.</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No change; retained. The handover Step 8 was updated only to reflect the AC-3 reference-version reframe.</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IP-1 / FD-1   Chronological-age prior is defensible IP; sibling requirements honoured</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Agreed; the chronological-age prior (adopted via SR-1) is a defensible cold-start technique, and GSC-002 correctly honours the GSC-001 sibling requirements (materiality to GSC-004, longitudinal weighting to GSC-008) once AC-1 and OD-1 are fixed.</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No standalone change; satisfied by the SR-1, AC-1 and OD-1 edits. The chronological-age prior is documented as a named method element in §9.5.</w:t>
      </w:r>
    </w:p>
    <w:p>
      <w:pPr>
        <w:spacing w:after="60"/>
      </w:pP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Net effect on the document.  </w:t>
            </w:r>
            <w:r>
              <w:rPr>
                <w:rFonts w:ascii="Inter" w:cs="Inter" w:eastAsia="Inter" w:hAnsi="Inter"/>
                <w:b w:val="false"/>
                <w:bCs w:val="false"/>
                <w:i w:val="false"/>
                <w:iCs w:val="false"/>
                <w:color w:val="22302A"/>
                <w:sz w:val="21"/>
                <w:szCs w:val="21"/>
              </w:rPr>
              <w:t xml:space="preserve">Two targeted callouts (gate ownership; chronological-age prior), one new subsection (§9.5), person-relative rewrites of the ceiling and floor, a reframed reference-pin across eight locations, three glossary terms, an extended reading convention, one confidence sentence and two design-decision entries. During the subsequent independent re-review, one new inconsistency introduced by the person-relative bounds edit (residual absolute-range phrasing in §7.2, §7.4, §16.1, §16.4, §22.4 and the glossary) was caught and corrected, and one clarity clarification (R-3, prior vs drift-guard) was folded in. No chapter was restructured and no scope changed; the document grew from 63 to 66 pages entirely through accepted, architecture-strengthening edits.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CE" w:sz="4" w:space="4"/>
      </w:pBdr>
      <w:jc w:val="center"/>
    </w:pPr>
    <w:r>
      <w:rPr>
        <w:rFonts w:ascii="Inter" w:cs="Inter" w:eastAsia="Inter" w:hAnsi="Inter"/>
        <w:color w:val="8FA99A"/>
        <w:sz w:val="15"/>
        <w:szCs w:val="15"/>
      </w:rPr>
      <w:t xml:space="preserve">Confidential — Internal Governance Record        </w:t>
    </w:r>
    <w:r>
      <w:rPr>
        <w:rFonts w:ascii="Inter" w:cs="Inter" w:eastAsia="Inter" w:hAnsi="Inter"/>
        <w:color w:val="8FA99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CE" w:sz="4" w:space="4"/>
      </w:pBdr>
      <w:jc w:val="right"/>
    </w:pPr>
    <w:r>
      <w:rPr>
        <w:rFonts w:ascii="Inter" w:cs="Inter" w:eastAsia="Inter" w:hAnsi="Inter"/>
        <w:b/>
        <w:bCs/>
        <w:color w:val="8FA99A"/>
        <w:sz w:val="16"/>
        <w:szCs w:val="16"/>
      </w:rPr>
      <w:t xml:space="preserve">BioSense  ·  </w:t>
    </w:r>
    <w:r>
      <w:rPr>
        <w:rFonts w:ascii="Inter" w:cs="Inter" w:eastAsia="Inter" w:hAnsi="Inter"/>
        <w:color w:val="8FA99A"/>
        <w:sz w:val="16"/>
        <w:szCs w:val="16"/>
      </w:rPr>
      <w:t xml:space="preserve">GSC-002 Pre-Freeze Decision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8FA99A"/>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3F5E4E"/>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23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Inter" w:cs="Inter" w:eastAsia="Inter" w:hAnsi="Inter"/>
      <w:b/>
      <w:bCs/>
      <w:color w:val="3F5E4E"/>
      <w:sz w:val="30"/>
      <w:szCs w:val="30"/>
    </w:rPr>
  </w:style>
  <w:style w:type="paragraph" w:styleId="Heading2">
    <w:name w:val="Heading 2"/>
    <w:basedOn w:val="Normal"/>
    <w:next w:val="Normal"/>
    <w:qFormat/>
    <w:pPr>
      <w:spacing w:after="100" w:before="240"/>
    </w:pPr>
    <w:rPr>
      <w:rFonts w:ascii="Inter" w:cs="Inter" w:eastAsia="Inter" w:hAnsi="Inter"/>
      <w:b/>
      <w:bCs/>
      <w:color w:val="3F5E4E"/>
      <w:sz w:val="24"/>
      <w:szCs w:val="24"/>
    </w:rPr>
  </w:style>
  <w:style w:type="paragraph" w:styleId="Heading3">
    <w:name w:val="Heading 3"/>
    <w:basedOn w:val="Normal"/>
    <w:next w:val="Normal"/>
    <w:qFormat/>
    <w:pPr>
      <w:spacing w:after="80" w:before="180"/>
    </w:pPr>
    <w:rPr>
      <w:rFonts w:ascii="Inter" w:cs="Inter" w:eastAsia="Inter" w:hAnsi="Inter"/>
      <w:b/>
      <w:bCs/>
      <w:color w:val="22302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GSC-002 Pre-Freeze Decision Register</dc:title>
  <dc:creator>BioSense — Origin BioSense Technologies FZCO</dc:creator>
  <dc:description>Adjudication of the GSC-002 architectural review findings</dc:description>
  <cp:lastModifiedBy>Un-named</cp:lastModifiedBy>
  <cp:revision>1</cp:revision>
  <dcterms:created xsi:type="dcterms:W3CDTF">2026-08-06T10:40:05.862Z</dcterms:created>
  <dcterms:modified xsi:type="dcterms:W3CDTF">2026-08-06T10:40:05.862Z</dcterms:modified>
</cp:coreProperties>
</file>

<file path=docProps/custom.xml><?xml version="1.0" encoding="utf-8"?>
<Properties xmlns="http://schemas.openxmlformats.org/officeDocument/2006/custom-properties" xmlns:vt="http://schemas.openxmlformats.org/officeDocument/2006/docPropsVTypes"/>
</file>