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300"/>
      </w:pPr>
      <w:r>
        <w:rPr>
          <w:rFonts w:ascii="Inter" w:cs="Inter" w:eastAsia="Inter" w:hAnsi="Inter"/>
          <w:b/>
          <w:bCs/>
          <w:color w:val="8FA99A"/>
          <w:sz w:val="30"/>
          <w:szCs w:val="30"/>
        </w:rPr>
        <w:t xml:space="preserve">BioSense</w:t>
      </w:r>
    </w:p>
    <w:p>
      <w:pPr>
        <w:spacing w:after="0" w:before="40"/>
      </w:pPr>
      <w:r>
        <w:rPr>
          <w:rFonts w:ascii="Inter" w:cs="Inter" w:eastAsia="Inter" w:hAnsi="Inter"/>
          <w:color w:val="22302A"/>
          <w:sz w:val="20"/>
          <w:szCs w:val="20"/>
        </w:rPr>
        <w:t xml:space="preserve">Independent Architectural Review — Second Pass</w:t>
      </w:r>
    </w:p>
    <w:p>
      <w:pPr>
        <w:pBdr>
          <w:bottom w:val="single" w:color="3F5E4E" w:sz="12" w:space="10"/>
        </w:pBdr>
        <w:spacing w:after="0" w:before="520"/>
      </w:pPr>
      <w:r>
        <w:rPr>
          <w:rFonts w:ascii="Inter" w:cs="Inter" w:eastAsia="Inter" w:hAnsi="Inter"/>
          <w:b/>
          <w:bCs/>
          <w:color w:val="3F5E4E"/>
          <w:sz w:val="58"/>
          <w:szCs w:val="58"/>
        </w:rPr>
        <w:t xml:space="preserve">GSC-002</w:t>
      </w:r>
    </w:p>
    <w:p>
      <w:pPr>
        <w:spacing w:after="0" w:before="160"/>
      </w:pPr>
      <w:r>
        <w:rPr>
          <w:rFonts w:ascii="Inter" w:cs="Inter" w:eastAsia="Inter" w:hAnsi="Inter"/>
          <w:b/>
          <w:bCs/>
          <w:color w:val="22302A"/>
          <w:sz w:val="30"/>
          <w:szCs w:val="30"/>
        </w:rPr>
        <w:t xml:space="preserve">Biological Age Methodology</w:t>
      </w:r>
    </w:p>
    <w:p>
      <w:pPr>
        <w:spacing w:after="0" w:before="40"/>
      </w:pPr>
      <w:r>
        <w:rPr>
          <w:rFonts w:ascii="Inter" w:cs="Inter" w:eastAsia="Inter" w:hAnsi="Inter"/>
          <w:i/>
          <w:iCs/>
          <w:color w:val="3F5E4E"/>
          <w:sz w:val="24"/>
          <w:szCs w:val="24"/>
        </w:rPr>
        <w:t xml:space="preserve">Independent Re-Review of the Freeze Candidate</w:t>
      </w:r>
    </w:p>
    <w:p>
      <w:pPr>
        <w:spacing w:before="820"/>
      </w:pPr>
      <w:r>
        <w:rPr>
          <w:rFonts w:ascii="Inter" w:cs="Inter" w:eastAsia="Inter" w:hAnsi="Inter"/>
          <w:b/>
          <w:bCs/>
          <w:color w:val="3F5E4E"/>
          <w:sz w:val="20"/>
          <w:szCs w:val="20"/>
        </w:rPr>
        <w:t xml:space="preserve">Reviewer role  </w:t>
      </w:r>
      <w:r>
        <w:rPr>
          <w:rFonts w:ascii="Inter" w:cs="Inter" w:eastAsia="Inter" w:hAnsi="Inter"/>
          <w:color w:val="22302A"/>
          <w:sz w:val="20"/>
          <w:szCs w:val="20"/>
        </w:rPr>
        <w:t xml:space="preserve">Independent reviewer (no prior involvement assumed)</w:t>
      </w:r>
    </w:p>
    <w:p>
      <w:pPr>
        <w:spacing w:before="40"/>
      </w:pPr>
      <w:r>
        <w:rPr>
          <w:rFonts w:ascii="Inter" w:cs="Inter" w:eastAsia="Inter" w:hAnsi="Inter"/>
          <w:b/>
          <w:bCs/>
          <w:color w:val="3F5E4E"/>
          <w:sz w:val="20"/>
          <w:szCs w:val="20"/>
        </w:rPr>
        <w:t xml:space="preserve">Document under review  </w:t>
      </w:r>
      <w:r>
        <w:rPr>
          <w:rFonts w:ascii="Inter" w:cs="Inter" w:eastAsia="Inter" w:hAnsi="Inter"/>
          <w:color w:val="22302A"/>
          <w:sz w:val="20"/>
          <w:szCs w:val="20"/>
        </w:rPr>
        <w:t xml:space="preserve">GSC-002 v1.0 Freeze Candidate, against GSC-000, GSC-001 and the Constitution</w:t>
      </w:r>
    </w:p>
    <w:p>
      <w:pPr>
        <w:spacing w:before="40"/>
      </w:pPr>
      <w:r>
        <w:rPr>
          <w:rFonts w:ascii="Inter" w:cs="Inter" w:eastAsia="Inter" w:hAnsi="Inter"/>
          <w:b/>
          <w:bCs/>
          <w:color w:val="3F5E4E"/>
          <w:sz w:val="20"/>
          <w:szCs w:val="20"/>
        </w:rPr>
        <w:t xml:space="preserve">Method  </w:t>
      </w:r>
      <w:r>
        <w:rPr>
          <w:rFonts w:ascii="Inter" w:cs="Inter" w:eastAsia="Inter" w:hAnsi="Inter"/>
          <w:color w:val="22302A"/>
          <w:sz w:val="20"/>
          <w:szCs w:val="20"/>
        </w:rPr>
        <w:t xml:space="preserve">Full fresh review; new issues sought as though the document had never been seen</w:t>
      </w:r>
    </w:p>
    <w:p>
      <w:pPr>
        <w:spacing w:before="40"/>
      </w:pPr>
      <w:r>
        <w:rPr>
          <w:rFonts w:ascii="Inter" w:cs="Inter" w:eastAsia="Inter" w:hAnsi="Inter"/>
          <w:b/>
          <w:bCs/>
          <w:color w:val="3F5E4E"/>
          <w:sz w:val="20"/>
          <w:szCs w:val="20"/>
        </w:rPr>
        <w:t xml:space="preserve">Verdict  </w:t>
      </w:r>
      <w:r>
        <w:rPr>
          <w:rFonts w:ascii="Inter" w:cs="Inter" w:eastAsia="Inter" w:hAnsi="Inter"/>
          <w:color w:val="22302A"/>
          <w:sz w:val="20"/>
          <w:szCs w:val="20"/>
        </w:rPr>
        <w:t xml:space="preserve">Ready for Freeze (see Chapter 4)</w:t>
      </w:r>
    </w:p>
    <w:p>
      <w:pPr>
        <w:spacing w:before="40"/>
      </w:pPr>
      <w:r>
        <w:rPr>
          <w:rFonts w:ascii="Inter" w:cs="Inter" w:eastAsia="Inter" w:hAnsi="Inter"/>
          <w:b/>
          <w:bCs/>
          <w:color w:val="3F5E4E"/>
          <w:sz w:val="20"/>
          <w:szCs w:val="20"/>
        </w:rPr>
        <w:t xml:space="preserve">Classification  </w:t>
      </w:r>
      <w:r>
        <w:rPr>
          <w:rFonts w:ascii="Inter" w:cs="Inter" w:eastAsia="Inter" w:hAnsi="Inter"/>
          <w:color w:val="22302A"/>
          <w:sz w:val="20"/>
          <w:szCs w:val="20"/>
        </w:rPr>
        <w:t xml:space="preserve">Confidential — Internal Engineering Review</w:t>
      </w:r>
    </w:p>
    <w:p>
      <w:r>
        <w:br w:type="page"/>
      </w:r>
    </w:p>
    <w:p>
      <w:pPr>
        <w:pBdr>
          <w:bottom w:val="single" w:color="8FA99A" w:sz="8" w:space="6"/>
        </w:pBdr>
        <w:spacing w:after="160"/>
      </w:pPr>
      <w:r>
        <w:rPr>
          <w:rFonts w:ascii="Inter" w:cs="Inter" w:eastAsia="Inter" w:hAnsi="Inter"/>
          <w:b/>
          <w:bCs/>
          <w:color w:val="3F5E4E"/>
          <w:sz w:val="30"/>
          <w:szCs w:val="30"/>
        </w:rPr>
        <w:t xml:space="preserve">Contents</w:t>
      </w:r>
    </w:p>
    <w:p>
      <w:pPr>
        <w:spacing w:after="84" w:line="264"/>
      </w:pPr>
      <w:r>
        <w:rPr>
          <w:rFonts w:ascii="Inter" w:cs="Inter" w:eastAsia="Inter" w:hAnsi="Inter"/>
          <w:color w:val="22302A"/>
          <w:sz w:val="21"/>
          <w:szCs w:val="21"/>
        </w:rPr>
        <w:t xml:space="preserve">1.  Method &amp; Stance</w:t>
      </w:r>
    </w:p>
    <w:p>
      <w:pPr>
        <w:spacing w:after="84" w:line="264"/>
      </w:pPr>
      <w:r>
        <w:rPr>
          <w:rFonts w:ascii="Inter" w:cs="Inter" w:eastAsia="Inter" w:hAnsi="Inter"/>
          <w:color w:val="22302A"/>
          <w:sz w:val="21"/>
          <w:szCs w:val="21"/>
        </w:rPr>
        <w:t xml:space="preserve">2.  Findings by Review Area</w:t>
      </w:r>
    </w:p>
    <w:p>
      <w:pPr>
        <w:spacing w:after="84" w:line="264"/>
      </w:pPr>
      <w:r>
        <w:rPr>
          <w:rFonts w:ascii="Inter" w:cs="Inter" w:eastAsia="Inter" w:hAnsi="Inter"/>
          <w:color w:val="22302A"/>
          <w:sz w:val="21"/>
          <w:szCs w:val="21"/>
        </w:rPr>
        <w:t xml:space="preserve">3.  Consolidated Findings</w:t>
      </w:r>
    </w:p>
    <w:p>
      <w:pPr>
        <w:spacing w:after="84" w:line="264"/>
      </w:pPr>
      <w:r>
        <w:rPr>
          <w:rFonts w:ascii="Inter" w:cs="Inter" w:eastAsia="Inter" w:hAnsi="Inter"/>
          <w:color w:val="22302A"/>
          <w:sz w:val="21"/>
          <w:szCs w:val="21"/>
        </w:rPr>
        <w:t xml:space="preserve">4.  Freeze Decision</w:t>
      </w:r>
    </w:p>
    <w:p>
      <w:pPr>
        <w:pStyle w:val="Heading1"/>
        <w:pBdr>
          <w:bottom w:val="single" w:color="8FA99A" w:sz="8" w:space="6"/>
        </w:pBdr>
        <w:spacing w:after="140" w:before="0"/>
      </w:pPr>
      <w:r>
        <w:br w:type="page"/>
      </w:r>
      <w:r>
        <w:rPr>
          <w:rFonts w:ascii="Inter" w:cs="Inter" w:eastAsia="Inter" w:hAnsi="Inter"/>
          <w:b/>
          <w:bCs/>
          <w:color w:val="3F5E4E"/>
          <w:sz w:val="30"/>
          <w:szCs w:val="30"/>
        </w:rPr>
        <w:t xml:space="preserve">1.  Method &amp; Stance</w:t>
      </w:r>
    </w:p>
    <w:p>
      <w:pPr>
        <w:spacing w:after="160" w:line="288"/>
        <w:jc w:val="both"/>
      </w:pPr>
      <w:r>
        <w:rPr>
          <w:rFonts w:ascii="Inter" w:cs="Inter" w:eastAsia="Inter" w:hAnsi="Inter"/>
          <w:b w:val="false"/>
          <w:bCs w:val="false"/>
          <w:i/>
          <w:iCs/>
          <w:color w:val="3F5E4E"/>
          <w:sz w:val="22"/>
          <w:szCs w:val="22"/>
        </w:rPr>
        <w:t xml:space="preserve">This is a fresh, independent architectural review of GSC-002 as it now stands. It does not take the previous review or its resolutions on trust. It re-examines the document across all mandated areas — architectural consistency, scope discipline, future scalability, ownership boundaries, hidden contradictions, circular dependencies, scientific robustness, engineering buildability, IP strength, future-document interactions and freeze readiness — and actively searches for new issues rather than confirming old ones.</w:t>
      </w:r>
    </w:p>
    <w:p>
      <w:pPr>
        <w:spacing w:after="140" w:before="0" w:line="276"/>
        <w:jc w:val="both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22302A"/>
          <w:sz w:val="21"/>
          <w:szCs w:val="21"/>
        </w:rPr>
        <w:t xml:space="preserve">Where the document is sound, that is stated plainly. Where a residual or newly-identified issue exists, it is graded with the same discipline as any first review. The freeze decision in Chapter 4 is one of four: Reject, Major Revision Required, Minor Revision Required, or Ready for Freeze.</w:t>
      </w:r>
    </w:p>
    <w:p>
      <w:pPr>
        <w:pStyle w:val="Heading1"/>
        <w:pBdr>
          <w:bottom w:val="single" w:color="8FA99A" w:sz="8" w:space="6"/>
        </w:pBdr>
        <w:spacing w:after="140" w:before="0"/>
      </w:pPr>
      <w:r>
        <w:br w:type="page"/>
      </w:r>
      <w:r>
        <w:rPr>
          <w:rFonts w:ascii="Inter" w:cs="Inter" w:eastAsia="Inter" w:hAnsi="Inter"/>
          <w:b/>
          <w:bCs/>
          <w:color w:val="3F5E4E"/>
          <w:sz w:val="30"/>
          <w:szCs w:val="30"/>
        </w:rPr>
        <w:t xml:space="preserve">2.  Findings by Review Area</w:t>
      </w:r>
    </w:p>
    <w:p>
      <w:pPr>
        <w:pStyle w:val="Heading2"/>
        <w:spacing w:after="100" w:before="240"/>
      </w:pPr>
      <w:r>
        <w:rPr>
          <w:rFonts w:ascii="Inter" w:cs="Inter" w:eastAsia="Inter" w:hAnsi="Inter"/>
          <w:b/>
          <w:bCs/>
          <w:color w:val="3F5E4E"/>
          <w:sz w:val="24"/>
          <w:szCs w:val="24"/>
        </w:rPr>
        <w:t xml:space="preserve">2.1  Architectural consistency</w:t>
      </w:r>
    </w:p>
    <w:p>
      <w:pPr>
        <w:spacing w:after="140" w:before="0" w:line="276"/>
        <w:jc w:val="both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22302A"/>
          <w:sz w:val="21"/>
          <w:szCs w:val="21"/>
        </w:rPr>
        <w:t xml:space="preserve">The document is consistent with GSC-000 and GSC-001 throughout. It positions itself at Level 3.5, respects the ENG-001 §7.8 seam, and now resolves cleanly the one place where ownership was previously contradictory: the sustained-evidence gate’s durability thresholds are consumed from GSC-008, with GSC-002 owning the gate policy, and §7.4, §20.3 and §21.3 now agree. The reciprocal Health-Score boundary remains identical to GSC-001 Chapter 20. No architectural inconsistency was found.</w:t>
      </w:r>
    </w:p>
    <w:p>
      <w:pPr>
        <w:spacing w:after="140" w:before="0" w:line="276"/>
        <w:jc w:val="both"/>
      </w:pPr>
      <w:r>
        <w:rPr>
          <w:rFonts w:ascii="Inter" w:cs="Inter" w:eastAsia="Inter" w:hAnsi="Inter"/>
          <w:b/>
          <w:bCs/>
          <w:i w:val="false"/>
          <w:iCs w:val="false"/>
          <w:color w:val="3F5E4E"/>
          <w:sz w:val="21"/>
          <w:szCs w:val="21"/>
        </w:rPr>
        <w:t xml:space="preserve">No issues identified.</w:t>
      </w:r>
    </w:p>
    <w:p>
      <w:pPr>
        <w:pStyle w:val="Heading2"/>
        <w:spacing w:after="100" w:before="240"/>
      </w:pPr>
      <w:r>
        <w:rPr>
          <w:rFonts w:ascii="Inter" w:cs="Inter" w:eastAsia="Inter" w:hAnsi="Inter"/>
          <w:b/>
          <w:bCs/>
          <w:color w:val="3F5E4E"/>
          <w:sz w:val="24"/>
          <w:szCs w:val="24"/>
        </w:rPr>
        <w:t xml:space="preserve">2.2  Scope discipline</w:t>
      </w:r>
    </w:p>
    <w:p>
      <w:pPr>
        <w:spacing w:after="140" w:before="0" w:line="276"/>
        <w:jc w:val="both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22302A"/>
          <w:sz w:val="21"/>
          <w:szCs w:val="21"/>
        </w:rPr>
        <w:t xml:space="preserve">Scope holds. The canonical estimation form fixes structure and order while deferring coefficients to calibration; the reading convention now covers reads, consumes and expresses as well as moves, resists and resets. Nothing introduces code, science, safety or narrative ownership.</w:t>
      </w:r>
    </w:p>
    <w:p>
      <w:pPr>
        <w:keepNext/>
        <w:pBdr>
          <w:left w:val="single" w:color="8FA99A" w:sz="20" w:space="8"/>
        </w:pBdr>
        <w:spacing w:after="60" w:before="240"/>
      </w:pPr>
      <w:r>
        <w:rPr>
          <w:rFonts w:ascii="Inter" w:cs="Inter" w:eastAsia="Inter" w:hAnsi="Inter"/>
          <w:b/>
          <w:bCs/>
          <w:color w:val="8FA99A"/>
          <w:sz w:val="20"/>
          <w:szCs w:val="20"/>
        </w:rPr>
        <w:t xml:space="preserve">OBSERVATION  ·  </w:t>
      </w:r>
      <w:r>
        <w:rPr>
          <w:rFonts w:ascii="Inter" w:cs="Inter" w:eastAsia="Inter" w:hAnsi="Inter"/>
          <w:b/>
          <w:bCs/>
          <w:color w:val="3F5E4E"/>
          <w:sz w:val="22"/>
          <w:szCs w:val="22"/>
        </w:rPr>
        <w:t xml:space="preserve">R-1   The gate-ownership split is now a model seam</w:t>
      </w:r>
    </w:p>
    <w:p>
      <w:pPr>
        <w:spacing w:after="140" w:before="0" w:line="276"/>
        <w:jc w:val="both"/>
      </w:pPr>
      <w:r>
        <w:rPr>
          <w:rFonts w:ascii="Inter" w:cs="Inter" w:eastAsia="Inter" w:hAnsi="Inter"/>
          <w:b/>
          <w:bCs/>
          <w:i w:val="false"/>
          <w:iCs w:val="false"/>
          <w:color w:val="3F5E4E"/>
          <w:sz w:val="21"/>
          <w:szCs w:val="21"/>
        </w:rPr>
        <w:t xml:space="preserve">Location.  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22302A"/>
          <w:sz w:val="21"/>
          <w:szCs w:val="21"/>
        </w:rPr>
        <w:t xml:space="preserve">§7.4 and its ownership callout; §20.3, §21.3.</w:t>
      </w:r>
    </w:p>
    <w:p>
      <w:pPr>
        <w:spacing w:after="140" w:before="0" w:line="276"/>
        <w:jc w:val="both"/>
      </w:pPr>
      <w:r>
        <w:rPr>
          <w:rFonts w:ascii="Inter" w:cs="Inter" w:eastAsia="Inter" w:hAnsi="Inter"/>
          <w:b/>
          <w:bCs/>
          <w:i w:val="false"/>
          <w:iCs w:val="false"/>
          <w:color w:val="3F5E4E"/>
          <w:sz w:val="21"/>
          <w:szCs w:val="21"/>
        </w:rPr>
        <w:t xml:space="preserve">Explanation.  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22302A"/>
          <w:sz w:val="21"/>
          <w:szCs w:val="21"/>
        </w:rPr>
        <w:t xml:space="preserve">Assigning the durability thresholds to GSC-008 and the gate policy to GSC-002, with an explicit callout and consistent downstream references, is exactly the clean seam the library favours. It resolves the previous contradiction without redistributing any other ownership.</w:t>
      </w:r>
    </w:p>
    <w:p>
      <w:pPr>
        <w:spacing w:after="140" w:before="0" w:line="276"/>
        <w:jc w:val="both"/>
      </w:pPr>
      <w:r>
        <w:rPr>
          <w:rFonts w:ascii="Inter" w:cs="Inter" w:eastAsia="Inter" w:hAnsi="Inter"/>
          <w:b/>
          <w:bCs/>
          <w:i w:val="false"/>
          <w:iCs w:val="false"/>
          <w:color w:val="3F5E4E"/>
          <w:sz w:val="21"/>
          <w:szCs w:val="21"/>
        </w:rPr>
        <w:t xml:space="preserve">Why it matters.  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22302A"/>
          <w:sz w:val="21"/>
          <w:szCs w:val="21"/>
        </w:rPr>
        <w:t xml:space="preserve">This is now a strength and a template for how future GSC documents should consume GSC-008.</w:t>
      </w:r>
    </w:p>
    <w:p>
      <w:pPr>
        <w:spacing w:after="140" w:before="0" w:line="276"/>
        <w:jc w:val="both"/>
      </w:pPr>
      <w:r>
        <w:rPr>
          <w:rFonts w:ascii="Inter" w:cs="Inter" w:eastAsia="Inter" w:hAnsi="Inter"/>
          <w:b/>
          <w:bCs/>
          <w:i w:val="false"/>
          <w:iCs w:val="false"/>
          <w:color w:val="3F5E4E"/>
          <w:sz w:val="21"/>
          <w:szCs w:val="21"/>
        </w:rPr>
        <w:t xml:space="preserve">Recommendation.  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22302A"/>
          <w:sz w:val="21"/>
          <w:szCs w:val="21"/>
        </w:rPr>
        <w:t xml:space="preserve">No change. Retain as the reference pattern.</w:t>
      </w:r>
    </w:p>
    <w:p>
      <w:pPr>
        <w:pStyle w:val="Heading2"/>
        <w:spacing w:after="100" w:before="240"/>
      </w:pPr>
      <w:r>
        <w:rPr>
          <w:rFonts w:ascii="Inter" w:cs="Inter" w:eastAsia="Inter" w:hAnsi="Inter"/>
          <w:b/>
          <w:bCs/>
          <w:color w:val="3F5E4E"/>
          <w:sz w:val="24"/>
          <w:szCs w:val="24"/>
        </w:rPr>
        <w:t xml:space="preserve">2.3  Future scalability</w:t>
      </w:r>
    </w:p>
    <w:p>
      <w:pPr>
        <w:spacing w:after="140" w:before="0" w:line="276"/>
        <w:jc w:val="both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22302A"/>
          <w:sz w:val="21"/>
          <w:szCs w:val="21"/>
        </w:rPr>
        <w:t xml:space="preserve">The open ageing-biomarkers domain, the no-single-clock invariant and the governed extensibility procedure remain strong. The genetics-confidence stance added to §32.3 closes the one open question about fixed inputs, so a future genetics or ageing-clock integration inherits a considered position.</w:t>
      </w:r>
    </w:p>
    <w:p>
      <w:pPr>
        <w:spacing w:after="140" w:before="0" w:line="276"/>
        <w:jc w:val="both"/>
      </w:pPr>
      <w:r>
        <w:rPr>
          <w:rFonts w:ascii="Inter" w:cs="Inter" w:eastAsia="Inter" w:hAnsi="Inter"/>
          <w:b/>
          <w:bCs/>
          <w:i w:val="false"/>
          <w:iCs w:val="false"/>
          <w:color w:val="3F5E4E"/>
          <w:sz w:val="21"/>
          <w:szCs w:val="21"/>
        </w:rPr>
        <w:t xml:space="preserve">No issues identified.</w:t>
      </w:r>
    </w:p>
    <w:p>
      <w:pPr>
        <w:pStyle w:val="Heading2"/>
        <w:spacing w:after="100" w:before="240"/>
      </w:pPr>
      <w:r>
        <w:rPr>
          <w:rFonts w:ascii="Inter" w:cs="Inter" w:eastAsia="Inter" w:hAnsi="Inter"/>
          <w:b/>
          <w:bCs/>
          <w:color w:val="3F5E4E"/>
          <w:sz w:val="24"/>
          <w:szCs w:val="24"/>
        </w:rPr>
        <w:t xml:space="preserve">2.4  Ownership boundaries</w:t>
      </w:r>
    </w:p>
    <w:p>
      <w:pPr>
        <w:spacing w:after="140" w:before="0" w:line="276"/>
        <w:jc w:val="both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22302A"/>
          <w:sz w:val="21"/>
          <w:szCs w:val="21"/>
        </w:rPr>
        <w:t xml:space="preserve">Ownership is clean across all dependencies. The reference pinning now rests on the existing Scientific Configuration Library science version rather than a new object, so the reproducibility guarantee no longer depends on an unconfirmed contract; the SCL is declared on the Consumes line; materiality is assigned to GSC-004 and the gate’s durability thresholds to GSC-008. No dependency’s ownership is wrongly assumed.</w:t>
      </w:r>
    </w:p>
    <w:p>
      <w:pPr>
        <w:spacing w:after="140" w:before="0" w:line="276"/>
        <w:jc w:val="both"/>
      </w:pPr>
      <w:r>
        <w:rPr>
          <w:rFonts w:ascii="Inter" w:cs="Inter" w:eastAsia="Inter" w:hAnsi="Inter"/>
          <w:b/>
          <w:bCs/>
          <w:i w:val="false"/>
          <w:iCs w:val="false"/>
          <w:color w:val="3F5E4E"/>
          <w:sz w:val="21"/>
          <w:szCs w:val="21"/>
        </w:rPr>
        <w:t xml:space="preserve">No issues identified.</w:t>
      </w:r>
    </w:p>
    <w:p>
      <w:pPr>
        <w:pStyle w:val="Heading2"/>
        <w:spacing w:after="100" w:before="240"/>
      </w:pPr>
      <w:r>
        <w:rPr>
          <w:rFonts w:ascii="Inter" w:cs="Inter" w:eastAsia="Inter" w:hAnsi="Inter"/>
          <w:b/>
          <w:bCs/>
          <w:color w:val="3F5E4E"/>
          <w:sz w:val="24"/>
          <w:szCs w:val="24"/>
        </w:rPr>
        <w:t xml:space="preserve">2.5  Hidden contradictions &amp; circular dependencies</w:t>
      </w:r>
    </w:p>
    <w:p>
      <w:pPr>
        <w:spacing w:after="140" w:before="0" w:line="276"/>
        <w:jc w:val="both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22302A"/>
          <w:sz w:val="21"/>
          <w:szCs w:val="21"/>
        </w:rPr>
        <w:t xml:space="preserve">The previously-identified gate-ownership contradiction is resolved. Re-examining afresh, the bounds are now described consistently as plausible relative to chronological age in every location (§7.2, §7.4, §16.1, §16.4, §22 and the glossary), with no residual absolute-range phrasing to contradict the person-relative rule. No circular dependency exists; Biological Age and the Health Score remain decoupled, and the dual reference draws on the population reference from the science, not from any downstream output.</w:t>
      </w:r>
    </w:p>
    <w:p>
      <w:pPr>
        <w:keepNext/>
        <w:pBdr>
          <w:left w:val="single" w:color="8FA99A" w:sz="20" w:space="8"/>
        </w:pBdr>
        <w:spacing w:after="60" w:before="240"/>
      </w:pPr>
      <w:r>
        <w:rPr>
          <w:rFonts w:ascii="Inter" w:cs="Inter" w:eastAsia="Inter" w:hAnsi="Inter"/>
          <w:b/>
          <w:bCs/>
          <w:color w:val="8FA99A"/>
          <w:sz w:val="20"/>
          <w:szCs w:val="20"/>
        </w:rPr>
        <w:t xml:space="preserve">OBSERVATION  ·  </w:t>
      </w:r>
      <w:r>
        <w:rPr>
          <w:rFonts w:ascii="Inter" w:cs="Inter" w:eastAsia="Inter" w:hAnsi="Inter"/>
          <w:b/>
          <w:bCs/>
          <w:color w:val="3F5E4E"/>
          <w:sz w:val="22"/>
          <w:szCs w:val="22"/>
        </w:rPr>
        <w:t xml:space="preserve">R-2   Reproducibility now rests on an existing mechanism</w:t>
      </w:r>
    </w:p>
    <w:p>
      <w:pPr>
        <w:spacing w:after="140" w:before="0" w:line="276"/>
        <w:jc w:val="both"/>
      </w:pPr>
      <w:r>
        <w:rPr>
          <w:rFonts w:ascii="Inter" w:cs="Inter" w:eastAsia="Inter" w:hAnsi="Inter"/>
          <w:b/>
          <w:bCs/>
          <w:i w:val="false"/>
          <w:iCs w:val="false"/>
          <w:color w:val="3F5E4E"/>
          <w:sz w:val="21"/>
          <w:szCs w:val="21"/>
        </w:rPr>
        <w:t xml:space="preserve">Location.  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22302A"/>
          <w:sz w:val="21"/>
          <w:szCs w:val="21"/>
        </w:rPr>
        <w:t xml:space="preserve">§8.5, §28.4, §29, §30.</w:t>
      </w:r>
    </w:p>
    <w:p>
      <w:pPr>
        <w:spacing w:after="140" w:before="0" w:line="276"/>
        <w:jc w:val="both"/>
      </w:pPr>
      <w:r>
        <w:rPr>
          <w:rFonts w:ascii="Inter" w:cs="Inter" w:eastAsia="Inter" w:hAnsi="Inter"/>
          <w:b/>
          <w:bCs/>
          <w:i w:val="false"/>
          <w:iCs w:val="false"/>
          <w:color w:val="3F5E4E"/>
          <w:sz w:val="21"/>
          <w:szCs w:val="21"/>
        </w:rPr>
        <w:t xml:space="preserve">Explanation.  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22302A"/>
          <w:sz w:val="21"/>
          <w:szCs w:val="21"/>
        </w:rPr>
        <w:t xml:space="preserve">Pinning the population and trajectory references to the Library science version (grounded through ENG-008) means the reproducibility guarantee depends only on a mechanism that already exists, not on a new "reference version" contract. This is both more buildable and more honest.</w:t>
      </w:r>
    </w:p>
    <w:p>
      <w:pPr>
        <w:spacing w:after="140" w:before="0" w:line="276"/>
        <w:jc w:val="both"/>
      </w:pPr>
      <w:r>
        <w:rPr>
          <w:rFonts w:ascii="Inter" w:cs="Inter" w:eastAsia="Inter" w:hAnsi="Inter"/>
          <w:b/>
          <w:bCs/>
          <w:i w:val="false"/>
          <w:iCs w:val="false"/>
          <w:color w:val="3F5E4E"/>
          <w:sz w:val="21"/>
          <w:szCs w:val="21"/>
        </w:rPr>
        <w:t xml:space="preserve">Why it matters.  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22302A"/>
          <w:sz w:val="21"/>
          <w:szCs w:val="21"/>
        </w:rPr>
        <w:t xml:space="preserve">The flagship reproducibility property is now implementable as written, which matters for auditability and IP.</w:t>
      </w:r>
    </w:p>
    <w:p>
      <w:pPr>
        <w:spacing w:after="140" w:before="0" w:line="276"/>
        <w:jc w:val="both"/>
      </w:pPr>
      <w:r>
        <w:rPr>
          <w:rFonts w:ascii="Inter" w:cs="Inter" w:eastAsia="Inter" w:hAnsi="Inter"/>
          <w:b/>
          <w:bCs/>
          <w:i w:val="false"/>
          <w:iCs w:val="false"/>
          <w:color w:val="3F5E4E"/>
          <w:sz w:val="21"/>
          <w:szCs w:val="21"/>
        </w:rPr>
        <w:t xml:space="preserve">Recommendation.  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22302A"/>
          <w:sz w:val="21"/>
          <w:szCs w:val="21"/>
        </w:rPr>
        <w:t xml:space="preserve">No change. Flag to the SCL/ENG-008 owners only that the science version must be retrievable per snapshot — an existing expectation, not a new one.</w:t>
      </w:r>
    </w:p>
    <w:p>
      <w:pPr>
        <w:pStyle w:val="Heading2"/>
        <w:spacing w:after="100" w:before="240"/>
      </w:pPr>
      <w:r>
        <w:rPr>
          <w:rFonts w:ascii="Inter" w:cs="Inter" w:eastAsia="Inter" w:hAnsi="Inter"/>
          <w:b/>
          <w:bCs/>
          <w:color w:val="3F5E4E"/>
          <w:sz w:val="24"/>
          <w:szCs w:val="24"/>
        </w:rPr>
        <w:t xml:space="preserve">2.6  Scientific robustness</w:t>
      </w:r>
    </w:p>
    <w:p>
      <w:pPr>
        <w:spacing w:after="140" w:before="0" w:line="276"/>
        <w:jc w:val="both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22302A"/>
          <w:sz w:val="21"/>
          <w:szCs w:val="21"/>
        </w:rPr>
        <w:t xml:space="preserve">The chronological-age prior (§9.5) closes the previously under-specified behaviour for the largest, sparse-evidence population, and the person-relative ceiling and floor make the bounds scientifically credible. Combined with symmetric resilience, no-imputation, the dual reference and the no-single-clock invariant, the anti-bias posture is strong and coherent.</w:t>
      </w:r>
    </w:p>
    <w:p>
      <w:pPr>
        <w:keepNext/>
        <w:pBdr>
          <w:left w:val="single" w:color="6E8B7A" w:sz="20" w:space="8"/>
        </w:pBdr>
        <w:spacing w:after="60" w:before="240"/>
      </w:pPr>
      <w:r>
        <w:rPr>
          <w:rFonts w:ascii="Inter" w:cs="Inter" w:eastAsia="Inter" w:hAnsi="Inter"/>
          <w:b/>
          <w:bCs/>
          <w:color w:val="6E8B7A"/>
          <w:sz w:val="20"/>
          <w:szCs w:val="20"/>
        </w:rPr>
        <w:t xml:space="preserve">MINOR  ·  </w:t>
      </w:r>
      <w:r>
        <w:rPr>
          <w:rFonts w:ascii="Inter" w:cs="Inter" w:eastAsia="Inter" w:hAnsi="Inter"/>
          <w:b/>
          <w:bCs/>
          <w:color w:val="3F5E4E"/>
          <w:sz w:val="22"/>
          <w:szCs w:val="22"/>
        </w:rPr>
        <w:t xml:space="preserve">R-3   The chronological-age prior and the personal-baseline drift-guard should be stated as compatible</w:t>
      </w:r>
    </w:p>
    <w:p>
      <w:pPr>
        <w:spacing w:after="140" w:before="0" w:line="276"/>
        <w:jc w:val="both"/>
      </w:pPr>
      <w:r>
        <w:rPr>
          <w:rFonts w:ascii="Inter" w:cs="Inter" w:eastAsia="Inter" w:hAnsi="Inter"/>
          <w:b/>
          <w:bCs/>
          <w:i w:val="false"/>
          <w:iCs w:val="false"/>
          <w:color w:val="3F5E4E"/>
          <w:sz w:val="21"/>
          <w:szCs w:val="21"/>
        </w:rPr>
        <w:t xml:space="preserve">Location.  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22302A"/>
          <w:sz w:val="21"/>
          <w:szCs w:val="21"/>
        </w:rPr>
        <w:t xml:space="preserve">§9.2 (dual reference / drift), §9.5 (chronological-age prior).</w:t>
      </w:r>
    </w:p>
    <w:p>
      <w:pPr>
        <w:spacing w:after="140" w:before="0" w:line="276"/>
        <w:jc w:val="both"/>
      </w:pPr>
      <w:r>
        <w:rPr>
          <w:rFonts w:ascii="Inter" w:cs="Inter" w:eastAsia="Inter" w:hAnsi="Inter"/>
          <w:b/>
          <w:bCs/>
          <w:i w:val="false"/>
          <w:iCs w:val="false"/>
          <w:color w:val="3F5E4E"/>
          <w:sz w:val="21"/>
          <w:szCs w:val="21"/>
        </w:rPr>
        <w:t xml:space="preserve">Explanation.  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22302A"/>
          <w:sz w:val="21"/>
          <w:szCs w:val="21"/>
        </w:rPr>
        <w:t xml:space="preserve">Two mechanisms now govern how the estimate relates to references: the dual reference surfaces sustained divergence from healthy expectation, and the chronological-age prior pulls sparse-evidence estimates toward chronological age. They are compatible — one governs rich-evidence drift, the other governs thin-evidence defaulting — but the document does not explicitly say they operate at different evidence levels, so a careful implementer could wonder whether they can conflict.</w:t>
      </w:r>
    </w:p>
    <w:p>
      <w:pPr>
        <w:spacing w:after="140" w:before="0" w:line="276"/>
        <w:jc w:val="both"/>
      </w:pPr>
      <w:r>
        <w:rPr>
          <w:rFonts w:ascii="Inter" w:cs="Inter" w:eastAsia="Inter" w:hAnsi="Inter"/>
          <w:b/>
          <w:bCs/>
          <w:i w:val="false"/>
          <w:iCs w:val="false"/>
          <w:color w:val="3F5E4E"/>
          <w:sz w:val="21"/>
          <w:szCs w:val="21"/>
        </w:rPr>
        <w:t xml:space="preserve">Why it matters.  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22302A"/>
          <w:sz w:val="21"/>
          <w:szCs w:val="21"/>
        </w:rPr>
        <w:t xml:space="preserve">A one-line clarification would prevent a hypothetical implementer from treating the prior and the drift-guard as competing rather than complementary. It is a clarity nicety, not a defect: the mechanisms do not actually conflict.</w:t>
      </w:r>
    </w:p>
    <w:p>
      <w:pPr>
        <w:spacing w:after="140" w:before="0" w:line="276"/>
        <w:jc w:val="both"/>
      </w:pPr>
      <w:r>
        <w:rPr>
          <w:rFonts w:ascii="Inter" w:cs="Inter" w:eastAsia="Inter" w:hAnsi="Inter"/>
          <w:b/>
          <w:bCs/>
          <w:i w:val="false"/>
          <w:iCs w:val="false"/>
          <w:color w:val="3F5E4E"/>
          <w:sz w:val="21"/>
          <w:szCs w:val="21"/>
        </w:rPr>
        <w:t xml:space="preserve">Recommendation.  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22302A"/>
          <w:sz w:val="21"/>
          <w:szCs w:val="21"/>
        </w:rPr>
        <w:t xml:space="preserve">Optionally add a half-sentence noting that the chronological-age prior governs low-evidence defaulting while the dual-reference drift-guard governs sustained divergence once evidence is rich. Can be folded in at freeze or as a fast-follow; it does not gate the freeze.</w:t>
      </w:r>
    </w:p>
    <w:p>
      <w:pPr>
        <w:pStyle w:val="Heading2"/>
        <w:spacing w:after="100" w:before="240"/>
      </w:pPr>
      <w:r>
        <w:rPr>
          <w:rFonts w:ascii="Inter" w:cs="Inter" w:eastAsia="Inter" w:hAnsi="Inter"/>
          <w:b/>
          <w:bCs/>
          <w:color w:val="3F5E4E"/>
          <w:sz w:val="24"/>
          <w:szCs w:val="24"/>
        </w:rPr>
        <w:t xml:space="preserve">2.7  Engineering buildability</w:t>
      </w:r>
    </w:p>
    <w:p>
      <w:pPr>
        <w:spacing w:after="140" w:before="0" w:line="276"/>
        <w:jc w:val="both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22302A"/>
          <w:sz w:val="21"/>
          <w:szCs w:val="21"/>
        </w:rPr>
        <w:t xml:space="preserve">Buildability improved materially. The gate now has a single owner for its thresholds; the reference pin is implementable; the conditioning order and canonical form are fixed; the eight-step handover and ownership table remain exemplary. A competent team could implement the method to a single interpretation given the dependency documents.</w:t>
      </w:r>
    </w:p>
    <w:p>
      <w:pPr>
        <w:spacing w:after="140" w:before="0" w:line="276"/>
        <w:jc w:val="both"/>
      </w:pPr>
      <w:r>
        <w:rPr>
          <w:rFonts w:ascii="Inter" w:cs="Inter" w:eastAsia="Inter" w:hAnsi="Inter"/>
          <w:b/>
          <w:bCs/>
          <w:i w:val="false"/>
          <w:iCs w:val="false"/>
          <w:color w:val="3F5E4E"/>
          <w:sz w:val="21"/>
          <w:szCs w:val="21"/>
        </w:rPr>
        <w:t xml:space="preserve">No issues identified.</w:t>
      </w:r>
    </w:p>
    <w:p>
      <w:pPr>
        <w:pStyle w:val="Heading2"/>
        <w:spacing w:after="100" w:before="240"/>
      </w:pPr>
      <w:r>
        <w:rPr>
          <w:rFonts w:ascii="Inter" w:cs="Inter" w:eastAsia="Inter" w:hAnsi="Inter"/>
          <w:b/>
          <w:bCs/>
          <w:color w:val="3F5E4E"/>
          <w:sz w:val="24"/>
          <w:szCs w:val="24"/>
        </w:rPr>
        <w:t xml:space="preserve">2.8  Intellectual-property strength</w:t>
      </w:r>
    </w:p>
    <w:p>
      <w:pPr>
        <w:spacing w:after="140" w:before="0" w:line="276"/>
        <w:jc w:val="both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22302A"/>
          <w:sz w:val="21"/>
          <w:szCs w:val="21"/>
        </w:rPr>
        <w:t xml:space="preserve">IP is strong and slightly stronger than at first pass: the chronological-age prior is now a named, defensible cold-start technique alongside the named composition, the dual reference, symmetric resilience and the no-single-clock invariant. Together these protect the method’s most valuable behaviours as named, versioned assets.</w:t>
      </w:r>
    </w:p>
    <w:p>
      <w:pPr>
        <w:spacing w:after="140" w:before="0" w:line="276"/>
        <w:jc w:val="both"/>
      </w:pPr>
      <w:r>
        <w:rPr>
          <w:rFonts w:ascii="Inter" w:cs="Inter" w:eastAsia="Inter" w:hAnsi="Inter"/>
          <w:b/>
          <w:bCs/>
          <w:i w:val="false"/>
          <w:iCs w:val="false"/>
          <w:color w:val="3F5E4E"/>
          <w:sz w:val="21"/>
          <w:szCs w:val="21"/>
        </w:rPr>
        <w:t xml:space="preserve">No issues identified.</w:t>
      </w:r>
    </w:p>
    <w:p>
      <w:pPr>
        <w:pStyle w:val="Heading2"/>
        <w:spacing w:after="100" w:before="240"/>
      </w:pPr>
      <w:r>
        <w:rPr>
          <w:rFonts w:ascii="Inter" w:cs="Inter" w:eastAsia="Inter" w:hAnsi="Inter"/>
          <w:b/>
          <w:bCs/>
          <w:color w:val="3F5E4E"/>
          <w:sz w:val="24"/>
          <w:szCs w:val="24"/>
        </w:rPr>
        <w:t xml:space="preserve">2.9  Future document interactions</w:t>
      </w:r>
    </w:p>
    <w:p>
      <w:pPr>
        <w:spacing w:after="140" w:before="0" w:line="276"/>
        <w:jc w:val="both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22302A"/>
          <w:sz w:val="21"/>
          <w:szCs w:val="21"/>
        </w:rPr>
        <w:t xml:space="preserve">The document leaves clean room for the rest of the library and now honours the GSC-001 sibling requirements without qualification: materiality is consumed from GSC-004, longitudinal weighting and the gate thresholds from GSC-008, confidence from GSC-003, the conflict-aware view from GSC-009, and the reciprocal boundary matches GSC-001 exactly.</w:t>
      </w:r>
    </w:p>
    <w:p>
      <w:pPr>
        <w:keepNext/>
        <w:pBdr>
          <w:left w:val="single" w:color="8FA99A" w:sz="20" w:space="8"/>
        </w:pBdr>
        <w:spacing w:after="60" w:before="240"/>
      </w:pPr>
      <w:r>
        <w:rPr>
          <w:rFonts w:ascii="Inter" w:cs="Inter" w:eastAsia="Inter" w:hAnsi="Inter"/>
          <w:b/>
          <w:bCs/>
          <w:color w:val="8FA99A"/>
          <w:sz w:val="20"/>
          <w:szCs w:val="20"/>
        </w:rPr>
        <w:t xml:space="preserve">OBSERVATION  ·  </w:t>
      </w:r>
      <w:r>
        <w:rPr>
          <w:rFonts w:ascii="Inter" w:cs="Inter" w:eastAsia="Inter" w:hAnsi="Inter"/>
          <w:b/>
          <w:bCs/>
          <w:color w:val="3F5E4E"/>
          <w:sz w:val="22"/>
          <w:szCs w:val="22"/>
        </w:rPr>
        <w:t xml:space="preserve">R-4   Two clean requirements are placed on shared documents</w:t>
      </w:r>
    </w:p>
    <w:p>
      <w:pPr>
        <w:spacing w:after="140" w:before="0" w:line="276"/>
        <w:jc w:val="both"/>
      </w:pPr>
      <w:r>
        <w:rPr>
          <w:rFonts w:ascii="Inter" w:cs="Inter" w:eastAsia="Inter" w:hAnsi="Inter"/>
          <w:b/>
          <w:bCs/>
          <w:i w:val="false"/>
          <w:iCs w:val="false"/>
          <w:color w:val="3F5E4E"/>
          <w:sz w:val="21"/>
          <w:szCs w:val="21"/>
        </w:rPr>
        <w:t xml:space="preserve">Location.  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22302A"/>
          <w:sz w:val="21"/>
          <w:szCs w:val="21"/>
        </w:rPr>
        <w:t xml:space="preserve">§9.1 material → GSC-004; §7.4, §15.2 gate thresholds and longitudinal weighting → GSC-008.</w:t>
      </w:r>
    </w:p>
    <w:p>
      <w:pPr>
        <w:spacing w:after="140" w:before="0" w:line="276"/>
        <w:jc w:val="both"/>
      </w:pPr>
      <w:r>
        <w:rPr>
          <w:rFonts w:ascii="Inter" w:cs="Inter" w:eastAsia="Inter" w:hAnsi="Inter"/>
          <w:b/>
          <w:bCs/>
          <w:i w:val="false"/>
          <w:iCs w:val="false"/>
          <w:color w:val="3F5E4E"/>
          <w:sz w:val="21"/>
          <w:szCs w:val="21"/>
        </w:rPr>
        <w:t xml:space="preserve">Explanation.  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22302A"/>
          <w:sz w:val="21"/>
          <w:szCs w:val="21"/>
        </w:rPr>
        <w:t xml:space="preserve">GSC-002 now depends on GSC-004 owning materiality and GSC-008 owning the durability thresholds and longitudinal weighting. These are correctly framed as consumed requirements, consistent with GSC-001.</w:t>
      </w:r>
    </w:p>
    <w:p>
      <w:pPr>
        <w:spacing w:after="140" w:before="0" w:line="276"/>
        <w:jc w:val="both"/>
      </w:pPr>
      <w:r>
        <w:rPr>
          <w:rFonts w:ascii="Inter" w:cs="Inter" w:eastAsia="Inter" w:hAnsi="Inter"/>
          <w:b/>
          <w:bCs/>
          <w:i w:val="false"/>
          <w:iCs w:val="false"/>
          <w:color w:val="3F5E4E"/>
          <w:sz w:val="21"/>
          <w:szCs w:val="21"/>
        </w:rPr>
        <w:t xml:space="preserve">Why it matters.  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22302A"/>
          <w:sz w:val="21"/>
          <w:szCs w:val="21"/>
        </w:rPr>
        <w:t xml:space="preserve">If GSC-004 and GSC-008 are authored without these requirements in view, a seam could reopen; carrying them into those briefs keeps the library coherent.</w:t>
      </w:r>
    </w:p>
    <w:p>
      <w:pPr>
        <w:spacing w:after="140" w:before="0" w:line="276"/>
        <w:jc w:val="both"/>
      </w:pPr>
      <w:r>
        <w:rPr>
          <w:rFonts w:ascii="Inter" w:cs="Inter" w:eastAsia="Inter" w:hAnsi="Inter"/>
          <w:b/>
          <w:bCs/>
          <w:i w:val="false"/>
          <w:iCs w:val="false"/>
          <w:color w:val="3F5E4E"/>
          <w:sz w:val="21"/>
          <w:szCs w:val="21"/>
        </w:rPr>
        <w:t xml:space="preserve">Recommendation.  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22302A"/>
          <w:sz w:val="21"/>
          <w:szCs w:val="21"/>
        </w:rPr>
        <w:t xml:space="preserve">No change to GSC-002. Carry the materiality and gate-threshold requirements into the GSC-004 and GSC-008 authoring briefs.</w:t>
      </w:r>
    </w:p>
    <w:p>
      <w:pPr>
        <w:pStyle w:val="Heading1"/>
        <w:pBdr>
          <w:bottom w:val="single" w:color="8FA99A" w:sz="8" w:space="6"/>
        </w:pBdr>
        <w:spacing w:after="140" w:before="0"/>
      </w:pPr>
      <w:r>
        <w:br w:type="page"/>
      </w:r>
      <w:r>
        <w:rPr>
          <w:rFonts w:ascii="Inter" w:cs="Inter" w:eastAsia="Inter" w:hAnsi="Inter"/>
          <w:b/>
          <w:bCs/>
          <w:color w:val="3F5E4E"/>
          <w:sz w:val="30"/>
          <w:szCs w:val="30"/>
        </w:rPr>
        <w:t xml:space="preserve">3.  Consolidated Findings</w:t>
      </w:r>
    </w:p>
    <w:p>
      <w:pPr>
        <w:spacing w:after="140" w:before="0" w:line="276"/>
        <w:jc w:val="both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22302A"/>
          <w:sz w:val="21"/>
          <w:szCs w:val="21"/>
        </w:rPr>
        <w:t xml:space="preserve">This independent pass found no Critical and no Major findings. It found one Minor item and four Observations. The Minor item (R-3) is a clarity nicety, not a defect; it was folded into the freeze candidate at freeze. The Observations are strengths or inter-document handshakes.</w:t>
      </w:r>
    </w:p>
    <w:p>
      <w:pPr>
        <w:spacing w:after="40"/>
      </w:pPr>
    </w:p>
    <w:tbl>
      <w:tblPr>
        <w:tblW w:type="dxa" w:w="9360"/>
        <w:tblBorders>
          <w:top w:val="single" w:color="C9D6CE" w:sz="2"/>
          <w:left w:val="single" w:color="C9D6CE" w:sz="2"/>
          <w:bottom w:val="single" w:color="C9D6CE" w:sz="2"/>
          <w:right w:val="single" w:color="C9D6CE" w:sz="2"/>
          <w:insideH w:val="single" w:color="C9D6CE" w:sz="2"/>
          <w:insideV w:val="single" w:color="C9D6CE" w:sz="2"/>
        </w:tblBorders>
      </w:tblPr>
      <w:tblGrid>
        <w:gridCol w:w="800"/>
        <w:gridCol w:w="1500"/>
        <w:gridCol w:w="5300"/>
        <w:gridCol w:w="1760"/>
      </w:tblGrid>
      <w:tr>
        <w:trPr>
          <w:tblHeader/>
        </w:trPr>
        <w:tc>
          <w:tcPr>
            <w:tcW w:type="dxa" w:w="800"/>
            <w:shd w:fill="3F5E4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500"/>
            <w:shd w:fill="3F5E4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Severity</w:t>
            </w:r>
          </w:p>
        </w:tc>
        <w:tc>
          <w:tcPr>
            <w:tcW w:type="dxa" w:w="5300"/>
            <w:shd w:fill="3F5E4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Title</w:t>
            </w:r>
          </w:p>
        </w:tc>
        <w:tc>
          <w:tcPr>
            <w:tcW w:type="dxa" w:w="1760"/>
            <w:shd w:fill="3F5E4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Blocks freeze?</w:t>
            </w:r>
          </w:p>
        </w:tc>
      </w:tr>
      <w:tr>
        <w:tc>
          <w:tcPr>
            <w:tcW w:type="dxa" w:w="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302A"/>
                <w:sz w:val="18"/>
                <w:szCs w:val="18"/>
              </w:rPr>
              <w:t xml:space="preserve">R-1</w:t>
            </w:r>
          </w:p>
        </w:tc>
        <w:tc>
          <w:tcPr>
            <w:tcW w:type="dxa" w:w="1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302A"/>
                <w:sz w:val="18"/>
                <w:szCs w:val="18"/>
              </w:rPr>
              <w:t xml:space="preserve">Observation</w:t>
            </w:r>
          </w:p>
        </w:tc>
        <w:tc>
          <w:tcPr>
            <w:tcW w:type="dxa" w:w="53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302A"/>
                <w:sz w:val="18"/>
                <w:szCs w:val="18"/>
              </w:rPr>
              <w:t xml:space="preserve">Gate-ownership split is now a model seam</w:t>
            </w:r>
          </w:p>
        </w:tc>
        <w:tc>
          <w:tcPr>
            <w:tcW w:type="dxa" w:w="17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302A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800"/>
            <w:shd w:fill="F0EEE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302A"/>
                <w:sz w:val="18"/>
                <w:szCs w:val="18"/>
              </w:rPr>
              <w:t xml:space="preserve">R-2</w:t>
            </w:r>
          </w:p>
        </w:tc>
        <w:tc>
          <w:tcPr>
            <w:tcW w:type="dxa" w:w="1500"/>
            <w:shd w:fill="F0EEE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302A"/>
                <w:sz w:val="18"/>
                <w:szCs w:val="18"/>
              </w:rPr>
              <w:t xml:space="preserve">Observation</w:t>
            </w:r>
          </w:p>
        </w:tc>
        <w:tc>
          <w:tcPr>
            <w:tcW w:type="dxa" w:w="5300"/>
            <w:shd w:fill="F0EEE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302A"/>
                <w:sz w:val="18"/>
                <w:szCs w:val="18"/>
              </w:rPr>
              <w:t xml:space="preserve">Reproducibility rests on an existing mechanism</w:t>
            </w:r>
          </w:p>
        </w:tc>
        <w:tc>
          <w:tcPr>
            <w:tcW w:type="dxa" w:w="1760"/>
            <w:shd w:fill="F0EEE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302A"/>
                <w:sz w:val="18"/>
                <w:szCs w:val="18"/>
              </w:rPr>
              <w:t xml:space="preserve">No — handshake</w:t>
            </w:r>
          </w:p>
        </w:tc>
      </w:tr>
      <w:tr>
        <w:tc>
          <w:tcPr>
            <w:tcW w:type="dxa" w:w="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302A"/>
                <w:sz w:val="18"/>
                <w:szCs w:val="18"/>
              </w:rPr>
              <w:t xml:space="preserve">R-3</w:t>
            </w:r>
          </w:p>
        </w:tc>
        <w:tc>
          <w:tcPr>
            <w:tcW w:type="dxa" w:w="1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302A"/>
                <w:sz w:val="18"/>
                <w:szCs w:val="18"/>
              </w:rPr>
              <w:t xml:space="preserve">Minor</w:t>
            </w:r>
          </w:p>
        </w:tc>
        <w:tc>
          <w:tcPr>
            <w:tcW w:type="dxa" w:w="53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302A"/>
                <w:sz w:val="18"/>
                <w:szCs w:val="18"/>
              </w:rPr>
              <w:t xml:space="preserve">Chronological-age prior and drift-guard stated as complementary</w:t>
            </w:r>
          </w:p>
        </w:tc>
        <w:tc>
          <w:tcPr>
            <w:tcW w:type="dxa" w:w="17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302A"/>
                <w:sz w:val="18"/>
                <w:szCs w:val="18"/>
              </w:rPr>
              <w:t xml:space="preserve">No — applied at freeze</w:t>
            </w:r>
          </w:p>
        </w:tc>
      </w:tr>
      <w:tr>
        <w:tc>
          <w:tcPr>
            <w:tcW w:type="dxa" w:w="800"/>
            <w:shd w:fill="F0EEE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302A"/>
                <w:sz w:val="18"/>
                <w:szCs w:val="18"/>
              </w:rPr>
              <w:t xml:space="preserve">R-4</w:t>
            </w:r>
          </w:p>
        </w:tc>
        <w:tc>
          <w:tcPr>
            <w:tcW w:type="dxa" w:w="1500"/>
            <w:shd w:fill="F0EEE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302A"/>
                <w:sz w:val="18"/>
                <w:szCs w:val="18"/>
              </w:rPr>
              <w:t xml:space="preserve">Observation</w:t>
            </w:r>
          </w:p>
        </w:tc>
        <w:tc>
          <w:tcPr>
            <w:tcW w:type="dxa" w:w="5300"/>
            <w:shd w:fill="F0EEE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302A"/>
                <w:sz w:val="18"/>
                <w:szCs w:val="18"/>
              </w:rPr>
              <w:t xml:space="preserve">Two clean requirements placed on GSC-004/GSC-008</w:t>
            </w:r>
          </w:p>
        </w:tc>
        <w:tc>
          <w:tcPr>
            <w:tcW w:type="dxa" w:w="1760"/>
            <w:shd w:fill="F0EEE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302A"/>
                <w:sz w:val="18"/>
                <w:szCs w:val="18"/>
              </w:rPr>
              <w:t xml:space="preserve">No — handshake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single" w:color="F5F3EE" w:sz="2"/>
              <w:left w:val="single" w:color="3F5E4E" w:sz="24"/>
              <w:bottom w:val="single" w:color="F5F3EE" w:sz="2"/>
              <w:right w:val="single" w:color="F5F3EE" w:sz="2"/>
            </w:tcBorders>
            <w:shd w:fill="F5F3EE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40" w:before="0" w:line="276"/>
              <w:jc w:val="both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3F5E4E"/>
                <w:sz w:val="21"/>
                <w:szCs w:val="21"/>
              </w:rPr>
              <w:t xml:space="preserve">Comparison to the first review.  </w:t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2302A"/>
                <w:sz w:val="21"/>
                <w:szCs w:val="21"/>
              </w:rPr>
              <w:t xml:space="preserve">The first pass found zero Critical and four Major, reducing to three underlying issues (the gate-ownership contradiction, the reference-version contract, and chronological-age anchoring). This pass finds zero Critical and zero Major: all three are genuinely resolved, not papered over, and a new inconsistency introduced by the person-relative bounds edit (residual absolute-range phrasing) was caught and corrected during this pass. What remains is one clarity nicety and three inter-document handshakes — the residue of a healthy revision.</w:t>
            </w:r>
          </w:p>
        </w:tc>
      </w:tr>
    </w:tbl>
    <w:p>
      <w:pPr>
        <w:pStyle w:val="Heading2"/>
        <w:spacing w:after="100" w:before="240"/>
      </w:pPr>
      <w:r>
        <w:rPr>
          <w:rFonts w:ascii="Inter" w:cs="Inter" w:eastAsia="Inter" w:hAnsi="Inter"/>
          <w:b/>
          <w:bCs/>
          <w:color w:val="3F5E4E"/>
          <w:sz w:val="24"/>
          <w:szCs w:val="24"/>
        </w:rPr>
        <w:t xml:space="preserve">3.1  What was specifically re-challenged and found sound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Inter" w:cs="Inter" w:eastAsia="Inter" w:hAnsi="Inter"/>
          <w:b/>
          <w:bCs/>
          <w:i w:val="false"/>
          <w:iCs w:val="false"/>
          <w:color w:val="3F5E4E"/>
          <w:sz w:val="21"/>
          <w:szCs w:val="21"/>
        </w:rPr>
        <w:t xml:space="preserve">The gate.  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22302A"/>
          <w:sz w:val="21"/>
          <w:szCs w:val="21"/>
        </w:rPr>
        <w:t xml:space="preserve">Durability thresholds are owned by GSC-008 and the gate policy by GSC-002, consistently across §7.4, §20.3 and §21.3. Re-examined from scratch — no residual contradiction.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Inter" w:cs="Inter" w:eastAsia="Inter" w:hAnsi="Inter"/>
          <w:b/>
          <w:bCs/>
          <w:i w:val="false"/>
          <w:iCs w:val="false"/>
          <w:color w:val="3F5E4E"/>
          <w:sz w:val="21"/>
          <w:szCs w:val="21"/>
        </w:rPr>
        <w:t xml:space="preserve">Reproducibility.  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22302A"/>
          <w:sz w:val="21"/>
          <w:szCs w:val="21"/>
        </w:rPr>
        <w:t xml:space="preserve">Pinned to the existing Library science version, not a new object. Re-checked the full pinning chain — buildable and consistent.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Inter" w:cs="Inter" w:eastAsia="Inter" w:hAnsi="Inter"/>
          <w:b/>
          <w:bCs/>
          <w:i w:val="false"/>
          <w:iCs w:val="false"/>
          <w:color w:val="3F5E4E"/>
          <w:sz w:val="21"/>
          <w:szCs w:val="21"/>
        </w:rPr>
        <w:t xml:space="preserve">The bounds.  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22302A"/>
          <w:sz w:val="21"/>
          <w:szCs w:val="21"/>
        </w:rPr>
        <w:t xml:space="preserve">Person-relative in every location after the correction made during this pass. Re-checked §7.2, §7.4, §16.1, §16.4, §22 and the glossary — consistent.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Inter" w:cs="Inter" w:eastAsia="Inter" w:hAnsi="Inter"/>
          <w:b/>
          <w:bCs/>
          <w:i w:val="false"/>
          <w:iCs w:val="false"/>
          <w:color w:val="3F5E4E"/>
          <w:sz w:val="21"/>
          <w:szCs w:val="21"/>
        </w:rPr>
        <w:t xml:space="preserve">Decoupling &amp; circularity.  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22302A"/>
          <w:sz w:val="21"/>
          <w:szCs w:val="21"/>
        </w:rPr>
        <w:t xml:space="preserve">Biological Age and the Health Score remain decoupled; the dual reference introduces no loop. Re-checked — none.</w:t>
      </w:r>
    </w:p>
    <w:p>
      <w:pPr>
        <w:pStyle w:val="Heading1"/>
        <w:pBdr>
          <w:bottom w:val="single" w:color="8FA99A" w:sz="8" w:space="6"/>
        </w:pBdr>
        <w:spacing w:after="140" w:before="0"/>
      </w:pPr>
      <w:r>
        <w:br w:type="page"/>
      </w:r>
      <w:r>
        <w:rPr>
          <w:rFonts w:ascii="Inter" w:cs="Inter" w:eastAsia="Inter" w:hAnsi="Inter"/>
          <w:b/>
          <w:bCs/>
          <w:color w:val="3F5E4E"/>
          <w:sz w:val="30"/>
          <w:szCs w:val="30"/>
        </w:rPr>
        <w:t xml:space="preserve">4.  Freeze Decision</w:t>
      </w:r>
    </w:p>
    <w:p>
      <w:pPr>
        <w:pStyle w:val="Heading2"/>
        <w:spacing w:after="100" w:before="240"/>
      </w:pPr>
      <w:r>
        <w:rPr>
          <w:rFonts w:ascii="Inter" w:cs="Inter" w:eastAsia="Inter" w:hAnsi="Inter"/>
          <w:b/>
          <w:bCs/>
          <w:color w:val="3F5E4E"/>
          <w:sz w:val="24"/>
          <w:szCs w:val="24"/>
        </w:rPr>
        <w:t xml:space="preserve">4.1  Ratings (re-assessed)</w:t>
      </w:r>
    </w:p>
    <w:tbl>
      <w:tblPr>
        <w:tblW w:type="dxa" w:w="9360"/>
        <w:tblBorders>
          <w:top w:val="single" w:color="C9D6CE" w:sz="2"/>
          <w:left w:val="single" w:color="C9D6CE" w:sz="2"/>
          <w:bottom w:val="single" w:color="C9D6CE" w:sz="2"/>
          <w:right w:val="single" w:color="C9D6CE" w:sz="2"/>
          <w:insideH w:val="single" w:color="C9D6CE" w:sz="2"/>
          <w:insideV w:val="single" w:color="C9D6CE" w:sz="2"/>
        </w:tblBorders>
      </w:tblPr>
      <w:tblGrid>
        <w:gridCol w:w="2500"/>
        <w:gridCol w:w="1400"/>
        <w:gridCol w:w="1400"/>
        <w:gridCol w:w="4060"/>
      </w:tblGrid>
      <w:tr>
        <w:trPr>
          <w:tblHeader/>
        </w:trPr>
        <w:tc>
          <w:tcPr>
            <w:tcW w:type="dxa" w:w="2500"/>
            <w:shd w:fill="3F5E4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Dimension</w:t>
            </w:r>
          </w:p>
        </w:tc>
        <w:tc>
          <w:tcPr>
            <w:tcW w:type="dxa" w:w="1400"/>
            <w:shd w:fill="3F5E4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First pass</w:t>
            </w:r>
          </w:p>
        </w:tc>
        <w:tc>
          <w:tcPr>
            <w:tcW w:type="dxa" w:w="1400"/>
            <w:shd w:fill="3F5E4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This pass</w:t>
            </w:r>
          </w:p>
        </w:tc>
        <w:tc>
          <w:tcPr>
            <w:tcW w:type="dxa" w:w="4060"/>
            <w:shd w:fill="3F5E4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Basis for change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302A"/>
                <w:sz w:val="18"/>
                <w:szCs w:val="18"/>
              </w:rPr>
              <w:t xml:space="preserve">Overall quality</w:t>
            </w:r>
          </w:p>
        </w:tc>
        <w:tc>
          <w:tcPr>
            <w:tcW w:type="dxa" w:w="1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302A"/>
                <w:sz w:val="18"/>
                <w:szCs w:val="18"/>
              </w:rPr>
              <w:t xml:space="preserve">8.5 / 10</w:t>
            </w:r>
          </w:p>
        </w:tc>
        <w:tc>
          <w:tcPr>
            <w:tcW w:type="dxa" w:w="1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302A"/>
                <w:sz w:val="18"/>
                <w:szCs w:val="18"/>
              </w:rPr>
              <w:t xml:space="preserve">9 / 10</w:t>
            </w:r>
          </w:p>
        </w:tc>
        <w:tc>
          <w:tcPr>
            <w:tcW w:type="dxa" w:w="40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302A"/>
                <w:sz w:val="18"/>
                <w:szCs w:val="18"/>
              </w:rPr>
              <w:t xml:space="preserve">Gate-ownership contradiction and reference-version contract resolved; bounds made consistent.</w:t>
            </w:r>
          </w:p>
        </w:tc>
      </w:tr>
      <w:tr>
        <w:tc>
          <w:tcPr>
            <w:tcW w:type="dxa" w:w="2500"/>
            <w:shd w:fill="F0EEE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302A"/>
                <w:sz w:val="18"/>
                <w:szCs w:val="18"/>
              </w:rPr>
              <w:t xml:space="preserve">Architecture</w:t>
            </w:r>
          </w:p>
        </w:tc>
        <w:tc>
          <w:tcPr>
            <w:tcW w:type="dxa" w:w="1400"/>
            <w:shd w:fill="F0EEE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302A"/>
                <w:sz w:val="18"/>
                <w:szCs w:val="18"/>
              </w:rPr>
              <w:t xml:space="preserve">8 / 10</w:t>
            </w:r>
          </w:p>
        </w:tc>
        <w:tc>
          <w:tcPr>
            <w:tcW w:type="dxa" w:w="1400"/>
            <w:shd w:fill="F0EEE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302A"/>
                <w:sz w:val="18"/>
                <w:szCs w:val="18"/>
              </w:rPr>
              <w:t xml:space="preserve">9 / 10</w:t>
            </w:r>
          </w:p>
        </w:tc>
        <w:tc>
          <w:tcPr>
            <w:tcW w:type="dxa" w:w="4060"/>
            <w:shd w:fill="F0EEE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302A"/>
                <w:sz w:val="18"/>
                <w:szCs w:val="18"/>
              </w:rPr>
              <w:t xml:space="preserve">Central seam clean; reproducibility rests on an existing mechanism.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302A"/>
                <w:sz w:val="18"/>
                <w:szCs w:val="18"/>
              </w:rPr>
              <w:t xml:space="preserve">Scientific robustness</w:t>
            </w:r>
          </w:p>
        </w:tc>
        <w:tc>
          <w:tcPr>
            <w:tcW w:type="dxa" w:w="1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302A"/>
                <w:sz w:val="18"/>
                <w:szCs w:val="18"/>
              </w:rPr>
              <w:t xml:space="preserve">8 / 10</w:t>
            </w:r>
          </w:p>
        </w:tc>
        <w:tc>
          <w:tcPr>
            <w:tcW w:type="dxa" w:w="1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302A"/>
                <w:sz w:val="18"/>
                <w:szCs w:val="18"/>
              </w:rPr>
              <w:t xml:space="preserve">9 / 10</w:t>
            </w:r>
          </w:p>
        </w:tc>
        <w:tc>
          <w:tcPr>
            <w:tcW w:type="dxa" w:w="40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302A"/>
                <w:sz w:val="18"/>
                <w:szCs w:val="18"/>
              </w:rPr>
              <w:t xml:space="preserve">Chronological-age prior and person-relative bounds close the sparse-evidence and plausibility gaps.</w:t>
            </w:r>
          </w:p>
        </w:tc>
      </w:tr>
      <w:tr>
        <w:tc>
          <w:tcPr>
            <w:tcW w:type="dxa" w:w="2500"/>
            <w:shd w:fill="F0EEE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302A"/>
                <w:sz w:val="18"/>
                <w:szCs w:val="18"/>
              </w:rPr>
              <w:t xml:space="preserve">Engineering readiness</w:t>
            </w:r>
          </w:p>
        </w:tc>
        <w:tc>
          <w:tcPr>
            <w:tcW w:type="dxa" w:w="1400"/>
            <w:shd w:fill="F0EEE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302A"/>
                <w:sz w:val="18"/>
                <w:szCs w:val="18"/>
              </w:rPr>
              <w:t xml:space="preserve">7.5 / 10</w:t>
            </w:r>
          </w:p>
        </w:tc>
        <w:tc>
          <w:tcPr>
            <w:tcW w:type="dxa" w:w="1400"/>
            <w:shd w:fill="F0EEE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302A"/>
                <w:sz w:val="18"/>
                <w:szCs w:val="18"/>
              </w:rPr>
              <w:t xml:space="preserve">9 / 10</w:t>
            </w:r>
          </w:p>
        </w:tc>
        <w:tc>
          <w:tcPr>
            <w:tcW w:type="dxa" w:w="4060"/>
            <w:shd w:fill="F0EEE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302A"/>
                <w:sz w:val="18"/>
                <w:szCs w:val="18"/>
              </w:rPr>
              <w:t xml:space="preserve">Gate has a single threshold owner; reference pin is buildable; handover exemplary.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302A"/>
                <w:sz w:val="18"/>
                <w:szCs w:val="18"/>
              </w:rPr>
              <w:t xml:space="preserve">Long-term maintainability</w:t>
            </w:r>
          </w:p>
        </w:tc>
        <w:tc>
          <w:tcPr>
            <w:tcW w:type="dxa" w:w="1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302A"/>
                <w:sz w:val="18"/>
                <w:szCs w:val="18"/>
              </w:rPr>
              <w:t xml:space="preserve">8.5 / 10</w:t>
            </w:r>
          </w:p>
        </w:tc>
        <w:tc>
          <w:tcPr>
            <w:tcW w:type="dxa" w:w="1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302A"/>
                <w:sz w:val="18"/>
                <w:szCs w:val="18"/>
              </w:rPr>
              <w:t xml:space="preserve">9 / 10</w:t>
            </w:r>
          </w:p>
        </w:tc>
        <w:tc>
          <w:tcPr>
            <w:tcW w:type="dxa" w:w="40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302A"/>
                <w:sz w:val="18"/>
                <w:szCs w:val="18"/>
              </w:rPr>
              <w:t xml:space="preserve">Complete governance, mature extensibility, configurable-default discipline maintained.</w:t>
            </w:r>
          </w:p>
        </w:tc>
      </w:tr>
      <w:tr>
        <w:tc>
          <w:tcPr>
            <w:tcW w:type="dxa" w:w="2500"/>
            <w:shd w:fill="F0EEE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302A"/>
                <w:sz w:val="18"/>
                <w:szCs w:val="18"/>
              </w:rPr>
              <w:t xml:space="preserve">IP defensibility</w:t>
            </w:r>
          </w:p>
        </w:tc>
        <w:tc>
          <w:tcPr>
            <w:tcW w:type="dxa" w:w="1400"/>
            <w:shd w:fill="F0EEE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302A"/>
                <w:sz w:val="18"/>
                <w:szCs w:val="18"/>
              </w:rPr>
              <w:t xml:space="preserve">8.5 / 10</w:t>
            </w:r>
          </w:p>
        </w:tc>
        <w:tc>
          <w:tcPr>
            <w:tcW w:type="dxa" w:w="1400"/>
            <w:shd w:fill="F0EEE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302A"/>
                <w:sz w:val="18"/>
                <w:szCs w:val="18"/>
              </w:rPr>
              <w:t xml:space="preserve">9 / 10</w:t>
            </w:r>
          </w:p>
        </w:tc>
        <w:tc>
          <w:tcPr>
            <w:tcW w:type="dxa" w:w="4060"/>
            <w:shd w:fill="F0EEE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302A"/>
                <w:sz w:val="18"/>
                <w:szCs w:val="18"/>
              </w:rPr>
              <w:t xml:space="preserve">Chronological-age prior adds a named cold-start asset to an already-strong set.</w:t>
            </w:r>
          </w:p>
        </w:tc>
      </w:tr>
    </w:tbl>
    <w:p>
      <w:pPr>
        <w:pStyle w:val="Heading2"/>
        <w:spacing w:after="100" w:before="240"/>
      </w:pPr>
      <w:r>
        <w:rPr>
          <w:rFonts w:ascii="Inter" w:cs="Inter" w:eastAsia="Inter" w:hAnsi="Inter"/>
          <w:b/>
          <w:bCs/>
          <w:color w:val="3F5E4E"/>
          <w:sz w:val="24"/>
          <w:szCs w:val="24"/>
        </w:rPr>
        <w:t xml:space="preserve">4.2  Decision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single" w:color="F5F3EE" w:sz="2"/>
              <w:left w:val="single" w:color="3F5E4E" w:sz="24"/>
              <w:bottom w:val="single" w:color="F5F3EE" w:sz="2"/>
              <w:right w:val="single" w:color="F5F3EE" w:sz="2"/>
            </w:tcBorders>
            <w:shd w:fill="F5F3EE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40" w:before="0" w:line="276"/>
              <w:jc w:val="both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3F5E4E"/>
                <w:sz w:val="21"/>
                <w:szCs w:val="21"/>
              </w:rPr>
              <w:t xml:space="preserve">Verdict:  </w:t>
            </w: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3F5E4E"/>
                <w:sz w:val="21"/>
                <w:szCs w:val="21"/>
              </w:rPr>
              <w:t xml:space="preserve">READY FOR FREEZE.</w:t>
            </w:r>
          </w:p>
          <w:p>
            <w:pPr>
              <w:spacing w:after="140" w:before="0" w:line="276"/>
              <w:jc w:val="both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2302A"/>
                <w:sz w:val="21"/>
                <w:szCs w:val="21"/>
              </w:rPr>
              <w:t xml:space="preserve">GSC-002 v1.0 can now be frozen and used as the canonical Biological Age methodology for the remainder of the BioSense platform. </w:t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2302A"/>
                <w:sz w:val="21"/>
                <w:szCs w:val="21"/>
              </w:rPr>
              <w:t xml:space="preserve">This independent pass found no Critical and no Major issues. The single Minor finding was a clarity nicety folded in at freeze; the Observations are strengths and inter-document handshakes. The three Major issues from the first pass are genuinely resolved, and the one new inconsistency this pass identified was corrected before freeze.</w:t>
            </w:r>
          </w:p>
        </w:tc>
      </w:tr>
    </w:tbl>
    <w:p>
      <w:pPr>
        <w:pStyle w:val="Heading2"/>
        <w:spacing w:after="100" w:before="240"/>
      </w:pPr>
      <w:r>
        <w:rPr>
          <w:rFonts w:ascii="Inter" w:cs="Inter" w:eastAsia="Inter" w:hAnsi="Inter"/>
          <w:b/>
          <w:bCs/>
          <w:color w:val="3F5E4E"/>
          <w:sz w:val="24"/>
          <w:szCs w:val="24"/>
        </w:rPr>
        <w:t xml:space="preserve">4.3  One clarification — applied at freeze</w:t>
      </w:r>
    </w:p>
    <w:p>
      <w:pPr>
        <w:spacing w:after="140" w:before="0" w:line="276"/>
        <w:jc w:val="both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22302A"/>
          <w:sz w:val="21"/>
          <w:szCs w:val="21"/>
        </w:rPr>
        <w:t xml:space="preserve">The clarification below was identified by this pass and folded into the freeze candidate at the point of freeze, without a further review cycle, so the frozen document is maximally clean. It did not gate the freeze.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rFonts w:ascii="Inter" w:cs="Inter" w:eastAsia="Inter" w:hAnsi="Inter"/>
          <w:b/>
          <w:bCs/>
          <w:i w:val="false"/>
          <w:iCs w:val="false"/>
          <w:color w:val="3F5E4E"/>
          <w:sz w:val="21"/>
          <w:szCs w:val="21"/>
        </w:rPr>
        <w:t xml:space="preserve">R-3 (applied):  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22302A"/>
          <w:sz w:val="21"/>
          <w:szCs w:val="21"/>
        </w:rPr>
        <w:t xml:space="preserve">§9.5 now states that the chronological-age prior and the dual-reference drift-guard are complementary and operate at different evidence levels (the prior governs low-evidence defaulting; the drift-guard governs sustained divergence once evidence is rich).</w:t>
      </w:r>
    </w:p>
    <w:p>
      <w:pPr>
        <w:spacing w:after="140" w:before="0" w:line="276"/>
        <w:jc w:val="both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22302A"/>
          <w:sz w:val="21"/>
          <w:szCs w:val="21"/>
        </w:rPr>
        <w:t xml:space="preserve">R-2 and R-4 are inter-document handshakes for the SCL/ENG-008, GSC-004 and GSC-008 authoring briefs and require no change to GSC-002 before freeze.</w:t>
      </w:r>
    </w:p>
    <w:p>
      <w:pPr>
        <w:pStyle w:val="Heading2"/>
        <w:spacing w:after="100" w:before="240"/>
      </w:pPr>
      <w:r>
        <w:rPr>
          <w:rFonts w:ascii="Inter" w:cs="Inter" w:eastAsia="Inter" w:hAnsi="Inter"/>
          <w:b/>
          <w:bCs/>
          <w:color w:val="3F5E4E"/>
          <w:sz w:val="24"/>
          <w:szCs w:val="24"/>
        </w:rPr>
        <w:t xml:space="preserve">4.4  Statement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single" w:color="F5F3EE" w:sz="2"/>
              <w:left w:val="single" w:color="3F5E4E" w:sz="24"/>
              <w:bottom w:val="single" w:color="F5F3EE" w:sz="2"/>
              <w:right w:val="single" w:color="F5F3EE" w:sz="2"/>
            </w:tcBorders>
            <w:shd w:fill="F5F3EE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40" w:before="0" w:line="276"/>
              <w:jc w:val="both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3F5E4E"/>
                <w:sz w:val="21"/>
                <w:szCs w:val="21"/>
              </w:rPr>
              <w:t xml:space="preserve">For the record.  </w:t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2302A"/>
                <w:sz w:val="21"/>
                <w:szCs w:val="21"/>
              </w:rPr>
              <w:t xml:space="preserve">Assessed independently and challenged afresh, GSC-002 is architecturally clean, scientifically robust, buildable to a single interpretation, maintainable for the platform’s lifetime, and defensible as core BioSense intellectual property. It is consistent with GSC-000, GSC-001, the Constitution, the Engineering library and the Scientific Configuration Library, with no duplicated ownership, no methodology drift and no contradiction. GSC-002 is Ready for Freeze as Version 1.0.</w:t>
            </w:r>
          </w:p>
        </w:tc>
      </w:tr>
    </w:tbl>
    <w:p>
      <w:pPr>
        <w:spacing w:after="60"/>
      </w:pPr>
    </w:p>
    <w:p>
      <w:pPr>
        <w:spacing w:before="200"/>
      </w:pPr>
      <w:r>
        <w:rPr>
          <w:rFonts w:ascii="Inter" w:cs="Inter" w:eastAsia="Inter" w:hAnsi="Inter"/>
          <w:b/>
          <w:bCs/>
          <w:color w:val="8FA99A"/>
          <w:sz w:val="20"/>
          <w:szCs w:val="20"/>
        </w:rPr>
        <w:t xml:space="preserve">END OF RE-REVIEW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6CE" w:sz="4" w:space="4"/>
      </w:pBdr>
      <w:jc w:val="center"/>
    </w:pPr>
    <w:r>
      <w:rPr>
        <w:rFonts w:ascii="Inter" w:cs="Inter" w:eastAsia="Inter" w:hAnsi="Inter"/>
        <w:color w:val="8FA99A"/>
        <w:sz w:val="15"/>
        <w:szCs w:val="15"/>
      </w:rPr>
      <w:t xml:space="preserve">Confidential — Internal Engineering Review        </w:t>
    </w:r>
    <w:r>
      <w:rPr>
        <w:rFonts w:ascii="Inter" w:cs="Inter" w:eastAsia="Inter" w:hAnsi="Inter"/>
        <w:color w:val="8FA99A"/>
        <w:sz w:val="15"/>
        <w:szCs w:val="15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6CE" w:sz="4" w:space="4"/>
      </w:pBdr>
      <w:jc w:val="right"/>
    </w:pPr>
    <w:r>
      <w:rPr>
        <w:rFonts w:ascii="Inter" w:cs="Inter" w:eastAsia="Inter" w:hAnsi="Inter"/>
        <w:b/>
        <w:bCs/>
        <w:color w:val="8FA99A"/>
        <w:sz w:val="16"/>
        <w:szCs w:val="16"/>
      </w:rPr>
      <w:t xml:space="preserve">BioSense  ·  </w:t>
    </w:r>
    <w:r>
      <w:rPr>
        <w:rFonts w:ascii="Inter" w:cs="Inter" w:eastAsia="Inter" w:hAnsi="Inter"/>
        <w:color w:val="8FA99A"/>
        <w:sz w:val="16"/>
        <w:szCs w:val="16"/>
      </w:rPr>
      <w:t xml:space="preserve">GSC-002 Independent Re-Review · Freeze Candidate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  <w:rPr>
        <w:color w:val="8FA99A"/>
      </w:rPr>
    </w:lvl>
    <w:lvl w:ilvl="1" w15:tentative="1">
      <w:start w:val="1"/>
      <w:numFmt w:val="bullet"/>
      <w:lvlText w:val="–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  <w:rPr>
        <w:b/>
        <w:bCs/>
        <w:color w:val="3F5E4E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22302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</w:pPr>
    <w:rPr>
      <w:rFonts w:ascii="Inter" w:cs="Inter" w:eastAsia="Inter" w:hAnsi="Inter"/>
      <w:b/>
      <w:bCs/>
      <w:color w:val="3F5E4E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</w:pPr>
    <w:rPr>
      <w:rFonts w:ascii="Inter" w:cs="Inter" w:eastAsia="Inter" w:hAnsi="Inter"/>
      <w:b/>
      <w:bCs/>
      <w:color w:val="3F5E4E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80"/>
    </w:pPr>
    <w:rPr>
      <w:rFonts w:ascii="Inter" w:cs="Inter" w:eastAsia="Inter" w:hAnsi="Inter"/>
      <w:b/>
      <w:bCs/>
      <w:color w:val="22302A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GSC-002 Independent Re-Review</dc:title>
  <dc:creator>BioSense — Origin BioSense Technologies FZCO</dc:creator>
  <dc:description>Independent second-pass architectural review of GSC-002</dc:description>
  <cp:lastModifiedBy>Un-named</cp:lastModifiedBy>
  <cp:revision>1</cp:revision>
  <dcterms:created xsi:type="dcterms:W3CDTF">2026-08-06T10:39:03.935Z</dcterms:created>
  <dcterms:modified xsi:type="dcterms:W3CDTF">2026-08-06T10:39:03.935Z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