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4pqdhy98w3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 textual do cenário: Fluxo básico de login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gjdfigpqibn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Participantes: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Usuário (Contratante ou Músico)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do Sistema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Lógica de Negócio / Autenticação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sgfuu8aijwa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Fluxo: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 acessa a tela de login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exibe o formulário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 insere e envia login + senha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envia dados para autenticação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de autenticação consulta o banco por usuário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retorna dados do usuário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Autenticação verifica senha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válido, retorna sucesso (token ou sessão iniciada)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redireciona para o sistema / dashboard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inválido, mostra erro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válido: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9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Senha inválida: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4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b w:val="1"/>
          <w:rtl w:val="0"/>
        </w:rPr>
        <w:t xml:space="preserve"> inválido: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7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