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Sarabun" w:hAnsi="Sarabun"/>
          <w:b/>
          <w:color w:val="133D33"/>
          <w:sz w:val="44"/>
        </w:rPr>
        <w:t>รายงานการวิเคราะห์โอกาสทางการตลาด (Market Size Analysis)</w:t>
      </w:r>
    </w:p>
    <w:p>
      <w:pPr>
        <w:spacing w:after="480"/>
        <w:jc w:val="center"/>
      </w:pPr>
      <w:r>
        <w:rPr>
          <w:rFonts w:ascii="Sarabun" w:hAnsi="Sarabun"/>
          <w:b w:val="0"/>
          <w:color w:val="555555"/>
          <w:sz w:val="24"/>
        </w:rPr>
        <w:t>โครงการระบบจัดการยาและตรวจสอบยาตีกันอัจฉริยะสำหรับผู้สูงอายุ (YaCheck)</w:t>
      </w:r>
    </w:p>
    <w:p>
      <w:pPr>
        <w:spacing w:after="360"/>
        <w:pBdr>
          <w:bottom w:val="single" w:sz="12" w:space="1" w:color="133D33"/>
        </w:pBdr>
      </w:pPr>
    </w:p>
    <w:p>
      <w:pPr>
        <w:spacing w:before="240" w:after="120"/>
      </w:pPr>
      <w:r>
        <w:rPr>
          <w:rFonts w:ascii="Sarabun" w:hAnsi="Sarabun"/>
          <w:b/>
          <w:color w:val="133D33"/>
          <w:sz w:val="32"/>
        </w:rPr>
        <w:t>1. บทนำและสมมติฐานทางธุรกิจ</w:t>
      </w:r>
    </w:p>
    <w:p>
      <w:pPr>
        <w:spacing w:line="300" w:lineRule="auto" w:after="160"/>
      </w:pPr>
      <w:r>
        <w:rPr>
          <w:rFonts w:ascii="Sarabun" w:hAnsi="Sarabun"/>
          <w:b w:val="0"/>
          <w:sz w:val="22"/>
        </w:rPr>
        <w:t>โครงการระบบ YaCheck ได้รับการออกแบบขึ้นมาเพื่อป้องกันความเสี่ยงจากการทานยาตีกันและลืมทานยาของผู้สูงอายุ โดยมีเป้าหมายการให้บริการผ่านระบบเว็บแอปพลิเคชันออฟไลน์แบบช่วยเหลือการแพทย์ทางเลือกสำหรับการประเมินขนาดตลาดเพื่อธุรกิจ เราตั้งสมมติฐานการหารายได้ผ่านโมเดลธุรกิจ B2B2C (Business-to-Business-to-Consumer) โดยทำสัญญากับทางโรงพยาบาลหรือกองทุนหลักประกันสุขภาพถ้วนหน้า (สปสช.) เป็นผู้สนับสนุนงบประมาณเพื่อการดูแลผู้สูงอายุอย่างมีคุณภาพ คิดค่าบริการในอัตราสนับสนุนที่ 200 บาท ต่อคนไข้ต่อปี เพื่อลดภาระและค่าใช้จ่ายของโรงพยาบาลในการดูแลผู้ป่วยนอนโรงพยาบาลซ้ำ (Readmission) จากการกินยาผิดพลาด</w:t>
      </w:r>
    </w:p>
    <w:p>
      <w:pPr>
        <w:spacing w:before="360" w:after="160"/>
      </w:pPr>
      <w:r>
        <w:rPr>
          <w:rFonts w:ascii="Sarabun" w:hAnsi="Sarabun"/>
          <w:b/>
          <w:color w:val="133D33"/>
          <w:sz w:val="32"/>
        </w:rPr>
        <w:t>2. ตารางสรุปมูลค่าตลาด TAM SAM SOM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33D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color w:val="FFFFFF"/>
                <w:sz w:val="20"/>
              </w:rPr>
              <w:t>ตัวย่อ</w:t>
            </w:r>
          </w:p>
        </w:tc>
        <w:tc>
          <w:tcPr>
            <w:tcW w:type="dxa" w:w="2340"/>
            <w:shd w:fill="133D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color w:val="FFFFFF"/>
                <w:sz w:val="20"/>
              </w:rPr>
              <w:t>ความหมายของระดับตลาด</w:t>
            </w:r>
          </w:p>
        </w:tc>
        <w:tc>
          <w:tcPr>
            <w:tcW w:type="dxa" w:w="2340"/>
            <w:shd w:fill="133D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color w:val="FFFFFF"/>
                <w:sz w:val="20"/>
              </w:rPr>
              <w:t>กลุ่มเป้าหมายผู้ใช้ (ในประเทศไทย)</w:t>
            </w:r>
          </w:p>
        </w:tc>
        <w:tc>
          <w:tcPr>
            <w:tcW w:type="dxa" w:w="2340"/>
            <w:shd w:fill="133D3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color w:val="FFFFFF"/>
                <w:sz w:val="20"/>
              </w:rPr>
              <w:t>มูลค่าประเมิน (ต่อปี)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sz w:val="20"/>
              </w:rPr>
              <w:t>TAM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Total Addressable Market</w:t>
              <w:br/>
              <w:t>(ตลาดที่ระบุได้ทั้งหมด)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ผู้สูงอายุทั้งหมดในประเทศไทย</w:t>
              <w:br/>
              <w:t>(จำนวนประมาณ 13 ล้านคน)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right"/>
            </w:pPr>
            <w:r/>
            <w:r>
              <w:rPr>
                <w:rFonts w:ascii="Sarabun" w:hAnsi="Sarabun"/>
                <w:b/>
                <w:color w:val="133D33"/>
                <w:sz w:val="20"/>
              </w:rPr>
              <w:t>2,600,000,000 บาท</w:t>
            </w:r>
          </w:p>
        </w:tc>
      </w:tr>
      <w:tr>
        <w:tc>
          <w:tcPr>
            <w:tcW w:type="dxa" w:w="2340"/>
            <w:shd w:fill="F2F7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sz w:val="20"/>
              </w:rPr>
              <w:t>SAM</w:t>
            </w:r>
          </w:p>
        </w:tc>
        <w:tc>
          <w:tcPr>
            <w:tcW w:type="dxa" w:w="2340"/>
            <w:shd w:fill="F2F7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Serviceable Addressable Market</w:t>
              <w:br/>
              <w:t>(ตลาดที่สามารถให้บริการได้ทั้งหมด)</w:t>
            </w:r>
          </w:p>
        </w:tc>
        <w:tc>
          <w:tcPr>
            <w:tcW w:type="dxa" w:w="2340"/>
            <w:shd w:fill="F2F7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ผู้สูงอายุที่มีสมาร์ตโฟนและทานยาหลายขนาน</w:t>
              <w:br/>
              <w:t>(จำนวนประมาณ 3.9 ล้านคน)</w:t>
            </w:r>
          </w:p>
        </w:tc>
        <w:tc>
          <w:tcPr>
            <w:tcW w:type="dxa" w:w="2340"/>
            <w:shd w:fill="F2F7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right"/>
            </w:pPr>
            <w:r/>
            <w:r>
              <w:rPr>
                <w:rFonts w:ascii="Sarabun" w:hAnsi="Sarabun"/>
                <w:b/>
                <w:color w:val="133D33"/>
                <w:sz w:val="20"/>
              </w:rPr>
              <w:t>780,000,000 บาท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Sarabun" w:hAnsi="Sarabun"/>
                <w:b/>
                <w:sz w:val="20"/>
              </w:rPr>
              <w:t>SOM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Serviceable Obtainable Market</w:t>
              <w:br/>
              <w:t>(ตลาดที่สามารถครอบครองได้ทั้งหมด)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left"/>
            </w:pPr>
            <w:r/>
            <w:r>
              <w:rPr>
                <w:rFonts w:ascii="Sarabun" w:hAnsi="Sarabun"/>
                <w:b w:val="0"/>
                <w:sz w:val="20"/>
              </w:rPr>
              <w:t>เป้าหมายผู้ใช้แอปช่วง 1-3 ปีแรก (3% ของ SAM)</w:t>
              <w:br/>
              <w:t>(จำนวนประมาณ 117,000 คน)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80" w:after="80"/>
              <w:jc w:val="right"/>
            </w:pPr>
            <w:r/>
            <w:r>
              <w:rPr>
                <w:rFonts w:ascii="Sarabun" w:hAnsi="Sarabun"/>
                <w:b/>
                <w:color w:val="133D33"/>
                <w:sz w:val="20"/>
              </w:rPr>
              <w:t>23,400,000 บาท</w:t>
            </w:r>
          </w:p>
        </w:tc>
      </w:tr>
    </w:tbl>
    <w:p>
      <w:pPr>
        <w:spacing w:before="440" w:after="120"/>
      </w:pPr>
      <w:r>
        <w:rPr>
          <w:rFonts w:ascii="Sarabun" w:hAnsi="Sarabun"/>
          <w:b/>
          <w:color w:val="133D33"/>
          <w:sz w:val="32"/>
        </w:rPr>
        <w:t>3. คำอธิบายรายละเอียดตลาดแต่ละระดับ</w:t>
      </w:r>
    </w:p>
    <w:p>
      <w:pPr>
        <w:spacing w:after="120" w:line="300" w:lineRule="auto"/>
        <w:ind w:left="288"/>
      </w:pPr>
      <w:r>
        <w:rPr>
          <w:rFonts w:ascii="Sarabun" w:hAnsi="Sarabun"/>
          <w:b/>
          <w:color w:val="2E7D6F"/>
          <w:sz w:val="22"/>
        </w:rPr>
        <w:t xml:space="preserve">TAM (ตลาดรวมทั้งหมด - 2,600 ล้านบาท): </w:t>
      </w:r>
      <w:r>
        <w:rPr>
          <w:rFonts w:ascii="Sarabun" w:hAnsi="Sarabun"/>
          <w:b w:val="0"/>
          <w:sz w:val="22"/>
        </w:rPr>
        <w:t>คำนวณจากจำนวนประชากรผู้สูงอายุทั้งหมดในประเทศไทยที่มีอายุ 60 ปีขึ้นไป ซึ่งมีอยู่ราว 13 ล้านคน หากทุกคนลงทะเบียนเข้าระบบที่คิดอัตราสนับสนุนจากโรงพยาบาลหรือสปสช. 200 บาท/ปี จะสร้างโอกาสรวมได้สูงสุดทางธุรกิจ</w:t>
      </w:r>
    </w:p>
    <w:p>
      <w:pPr>
        <w:spacing w:after="120" w:line="300" w:lineRule="auto"/>
        <w:ind w:left="288"/>
      </w:pPr>
      <w:r>
        <w:rPr>
          <w:rFonts w:ascii="Sarabun" w:hAnsi="Sarabun"/>
          <w:b/>
          <w:color w:val="2E7D6F"/>
          <w:sz w:val="22"/>
        </w:rPr>
        <w:t xml:space="preserve">SAM (ตลาดที่บริการเข้าถึงได้ - 780 ล้านบาท): </w:t>
      </w:r>
      <w:r>
        <w:rPr>
          <w:rFonts w:ascii="Sarabun" w:hAnsi="Sarabun"/>
          <w:b w:val="0"/>
          <w:sz w:val="22"/>
        </w:rPr>
        <w:t>คัดกรองจากกลุ่มผู้สูงอายุที่ใช้สมาร์ตโฟนและเข้าถึงสื่อดิจิทัลได้ (คิดเป็น 60% ของกลุ่มทั้งหมด) บวกกับเงื่อนไขทางการแพทย์ที่มีโรคประจำตัวเรื้อรังส่งผลให้เกิดการใช้ยาประจำหลายชนิด (ประมาณ 50% ของผู้สูงอายุกลุ่มออนไลน์) รวมจำนวนประชากรเป้าหมายได้ 3.9 ล้านคน</w:t>
      </w:r>
    </w:p>
    <w:p>
      <w:pPr>
        <w:spacing w:after="120" w:line="300" w:lineRule="auto"/>
        <w:ind w:left="288"/>
      </w:pPr>
      <w:r>
        <w:rPr>
          <w:rFonts w:ascii="Sarabun" w:hAnsi="Sarabun"/>
          <w:b/>
          <w:color w:val="2E7D6F"/>
          <w:sz w:val="22"/>
        </w:rPr>
        <w:t xml:space="preserve">SOM (ตลาดที่ครอบครองได้จริง - 23.4 ล้านบาท): </w:t>
      </w:r>
      <w:r>
        <w:rPr>
          <w:rFonts w:ascii="Sarabun" w:hAnsi="Sarabun"/>
          <w:b w:val="0"/>
          <w:sz w:val="22"/>
        </w:rPr>
        <w:t>เป็นสัดส่วนที่แอปพลิเคชัน YaCheck ตั้งเป้าดึงส่วนแบ่งการตลาดเข้ามาใช้บริการจริงในช่วงเปิดตัว 1-3 ปีแรก โดยประเมินจากเป้าหมายที่สมเหตุสมผลในการเก็บตลาด 3% ของ SAM ผ่านการร่วมมือสัญญากับเครือข่ายโรงพยาบาลชุมชนและโรงพยาบาลจังหวัดนำร่อง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