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Palatino Linotype" w:hAnsi="Palatino Linotype" w:cs="Palatino Linotype" w:eastAsia="Palatino Linotype"/>
          <w:sz w:val="40"/>
        </w:rPr>
        <w:t>Not All Geopolitical Turning Points Are Alike: Oil Price Effects and Implications for Energy Security Policy</w:t>
      </w:r>
    </w:p>
    <w:p>
      <w:pPr>
        <w:spacing w:after="160" w:line="300" w:lineRule="auto"/>
      </w:pPr>
      <w:r>
        <w:rPr>
          <w:rFonts w:ascii="Palatino Linotype" w:hAnsi="Palatino Linotype" w:cs="Palatino Linotype" w:eastAsia="Palatino Linotype"/>
          <w:sz w:val="24"/>
        </w:rPr>
        <w:t>William Ginn and Jamel Saadaoui</w:t>
      </w:r>
    </w:p>
    <w:p>
      <w:pPr>
        <w:spacing w:after="160" w:line="300" w:lineRule="auto"/>
      </w:pPr>
      <w:r>
        <w:rPr>
          <w:rFonts w:ascii="Palatino Linotype" w:hAnsi="Palatino Linotype"/>
          <w:sz w:val="24"/>
        </w:rPr>
        <w:t>William Ginn: Labcorp, Artificial Intelligence, USA; Coburg University of Applied Sciences, Germany; email: William.Ginn.OBA@said.oxford.edu</w:t>
      </w:r>
    </w:p>
    <w:p>
      <w:pPr>
        <w:spacing w:after="160" w:line="300" w:lineRule="auto"/>
      </w:pPr>
      <w:r>
        <w:rPr>
          <w:rFonts w:ascii="Palatino Linotype" w:hAnsi="Palatino Linotype"/>
          <w:sz w:val="24"/>
        </w:rPr>
        <w:t>Jamel Saadaoui (corresponding author): Université Paris 8 Vincennes–Saint-Denis, LED, France; Australian National University, Centre for Applied Macroeconomic Analysis, Australia; email: jamelsaadaoui@gmail.com</w:t>
      </w:r>
    </w:p>
    <w:p>
      <w:pPr>
        <w:pStyle w:val="Heading2"/>
      </w:pPr>
      <w:r>
        <w:rPr>
          <w:rFonts w:ascii="Palatino Linotype" w:hAnsi="Palatino Linotype" w:cs="Palatino Linotype" w:eastAsia="Palatino Linotype"/>
          <w:sz w:val="26"/>
        </w:rPr>
        <w:t>Abstract</w:t>
      </w:r>
    </w:p>
    <w:p>
      <w:pPr>
        <w:spacing w:line="300" w:lineRule="auto" w:after="160"/>
        <w:jc w:val="both"/>
      </w:pPr>
      <w:r>
        <w:rPr>
          <w:rFonts w:ascii="Palatino Linotype" w:hAnsi="Palatino Linotype" w:cs="Palatino Linotype" w:eastAsia="Palatino Linotype"/>
          <w:sz w:val="24"/>
        </w:rPr>
        <w:t>Energy-security decisions often treat geopolitical risk as a common source of upward oil-price pressure. This paper tests that premise using monthly event-specific AI-GPR indices, real Brent and WTI prices, and oil-market fundamentals. The established turning-point identification strategy instruments each geopolitical index with its raw second difference, emphasizing abrupt changes in trajectory. Lag-augmented instrumental-variable local projections reveal different medium-run responses across event types. In the joint Brent model, a 10% increase in one plus the relevant index is associated with an estimated 2.90% price decline after 24 months for diplomatic tension and a 1.18% increase for nuclear threat, conditional on the identifying assumptions. Equality of the principal category responses is rejected at medium horizons, and Sanderson–Windmeijer statistics show that every principal conditional first stage is exceptionally strong. Lead-curvature placebos do not reject for the principal categories, event-window exclusions preserve the main patterns, and the positive nuclear response remains stable in samples ending before 2012 and before 2019. The policy implication is diagnostic rather than mechanical: agencies should combine event-specific geopolitical monitoring with physical-market indicators before interpreting an escalation as an oil-supply emergency.</w:t>
      </w:r>
    </w:p>
    <w:p>
      <w:pPr>
        <w:spacing w:line="300" w:lineRule="auto" w:after="160"/>
        <w:jc w:val="both"/>
      </w:pPr>
      <w:r>
        <w:rPr>
          <w:rFonts w:ascii="Palatino Linotype" w:hAnsi="Palatino Linotype" w:cs="Palatino Linotype" w:eastAsia="Palatino Linotype"/>
          <w:sz w:val="24"/>
        </w:rPr>
        <w:t>Keywords: geopolitical risk; energy security; oil prices; strategic reserves; instrumental variables; local projections.</w:t>
      </w:r>
    </w:p>
    <w:p>
      <w:pPr>
        <w:spacing w:line="300" w:lineRule="auto" w:after="160"/>
        <w:jc w:val="both"/>
      </w:pPr>
      <w:r>
        <w:rPr>
          <w:rFonts w:ascii="Palatino Linotype" w:hAnsi="Palatino Linotype" w:cs="Palatino Linotype" w:eastAsia="Palatino Linotype"/>
          <w:sz w:val="24"/>
        </w:rPr>
        <w:t>JEL classification: C26; C32; F51; Q41.</w:t>
      </w:r>
    </w:p>
    <w:p>
      <w:pPr>
        <w:pStyle w:val="Heading1"/>
      </w:pPr>
      <w:r>
        <w:rPr>
          <w:rFonts w:ascii="Palatino Linotype" w:hAnsi="Palatino Linotype" w:cs="Palatino Linotype" w:eastAsia="Palatino Linotype"/>
          <w:sz w:val="30"/>
        </w:rPr>
        <w:t>1 Introduction</w:t>
      </w:r>
    </w:p>
    <w:p>
      <w:pPr>
        <w:spacing w:line="300" w:lineRule="auto" w:after="160"/>
        <w:jc w:val="both"/>
      </w:pPr>
      <w:r>
        <w:rPr>
          <w:rFonts w:ascii="Palatino Linotype" w:hAnsi="Palatino Linotype" w:cs="Palatino Linotype" w:eastAsia="Palatino Linotype"/>
          <w:sz w:val="24"/>
        </w:rPr>
        <w:t>Energy authorities must often decide whether a geopolitical escalation signals an imminent supply disruption, a deterioration in prospective energy demand, or primarily a change in risk perceptions. The distinction matters for emergency-stock readiness, market communication, and the scenarios used to assess inflation and energy affordability. A response appropriate to a threatened physical shortage may be unnecessary, or even counterproductive, when the dominant signal is weaker expected global activity.</w:t>
      </w:r>
    </w:p>
    <w:p>
      <w:pPr>
        <w:spacing w:line="300" w:lineRule="auto" w:after="160"/>
        <w:jc w:val="both"/>
      </w:pPr>
      <w:r>
        <w:rPr>
          <w:rFonts w:ascii="Palatino Linotype" w:hAnsi="Palatino Linotype" w:cs="Palatino Linotype" w:eastAsia="Palatino Linotype"/>
          <w:sz w:val="24"/>
        </w:rPr>
        <w:t>An escalation of geopolitical risk can raise oil prices through fears of supply disruption, yet lower them through weaker expectations of global activity. The balance depends on the event. A nuclear confrontation, a diplomatic dispute, and an armed conflict do not convey the same information about production capacity, trade, or future demand. Aggregating these developments into one risk index can therefore conceal economically different responses, including effects with opposite signs, and provide an ambiguous signal for energy policy.</w:t>
      </w:r>
    </w:p>
    <w:p>
      <w:pPr>
        <w:spacing w:line="300" w:lineRule="auto" w:after="160"/>
        <w:jc w:val="both"/>
      </w:pPr>
      <w:r>
        <w:rPr>
          <w:rFonts w:ascii="Palatino Linotype" w:hAnsi="Palatino Linotype" w:cs="Palatino Linotype" w:eastAsia="Palatino Linotype"/>
          <w:sz w:val="24"/>
        </w:rPr>
        <w:t>This paper examines that heterogeneity using monthly event-specific indices from the AI-based geopolitical risk database of Iacoviello and Tong (2026). The analysis covers the aggregate index and eight categories, with military conflict, diplomatic tension, and nuclear threat forming the principal comparison. Real oil-price levels are estimated from impact to four years, separately for Brent and WTI. The joint specification includes the three principal categories simultaneously, allowing the response to one category to condition on variation in the others.</w:t>
      </w:r>
    </w:p>
    <w:p>
      <w:pPr>
        <w:spacing w:line="300" w:lineRule="auto" w:after="160"/>
        <w:jc w:val="both"/>
      </w:pPr>
      <w:r>
        <w:rPr>
          <w:rFonts w:ascii="Palatino Linotype" w:hAnsi="Palatino Linotype" w:cs="Palatino Linotype" w:eastAsia="Palatino Linotype"/>
          <w:sz w:val="24"/>
        </w:rPr>
        <w:t>The turning-point strategy developed in Saadaoui (2026, Journal of Comparative Economics) distinguishes gradual geopolitical evolution from abrupt changes in trajectory. Rather than interpreting every movement in the level of geopolitical risk as exogenous, the instrument uses the second difference of the underlying index. This transformation removes an affine trajectory and gives prominence to abrupt accelerations or decelerations. The methodological contribution of the present paper is therefore not to introduce a new estimator or instrument design. It applies an established identification strategy to a new global, event-specific measurement framework and to the energy market. Economically, a sudden strategic escalation or an unexpected cessation of escalation is more plausibly driven by geopolitical decisions than by routine monthly oil-market news, conditional on recent oil prices, global activity, production growth, and geopolitical dynamics.</w:t>
      </w:r>
    </w:p>
    <w:p>
      <w:pPr>
        <w:spacing w:line="300" w:lineRule="auto" w:after="160"/>
        <w:jc w:val="both"/>
      </w:pPr>
      <w:r>
        <w:rPr>
          <w:rFonts w:ascii="Palatino Linotype" w:hAnsi="Palatino Linotype" w:cs="Palatino Linotype" w:eastAsia="Palatino Linotype"/>
          <w:sz w:val="24"/>
        </w:rPr>
        <w:t>The exclusion argument concerns the economic state represented by the index, not a causal influence of a numerical transformation in isolation. The selected turning-point variation operates through a change in geopolitical conditions and their consequences for economic expectations and decisions. When that change alters expected oil demand, precautionary inventory demand, or compensation for geopolitical risk, these are transmission mechanisms of the geopolitical state. They are not, merely by being economic mechanisms, separate violations of exclusion. For the event-specific application, the maintained restriction requires the corresponding risk measure to capture the market-relevant geopolitical variation sufficiently well for no independent component of the instrument to remain in the oil-price disturbance.</w:t>
      </w:r>
    </w:p>
    <w:p>
      <w:pPr>
        <w:spacing w:line="300" w:lineRule="auto" w:after="160"/>
        <w:jc w:val="both"/>
      </w:pPr>
      <w:r>
        <w:rPr>
          <w:rFonts w:ascii="Palatino Linotype" w:hAnsi="Palatino Linotype" w:cs="Palatino Linotype" w:eastAsia="Palatino Linotype"/>
          <w:sz w:val="24"/>
        </w:rPr>
        <w:t>The empirical design distinguishes that justification from the questions answered by diagnostics. The first stage establishes whether the instrument contains usable conditional variation. Lead-curvature regressions examine whether future turning-point measures are related to oil prices before their dated month. Event exclusions show whether a small set of episodes dominates the estimates. Lag-augmented inference and sample splits quantify further limits. None of these exercises is a substitute for specifying the economic source of variation and the channel through which it is allowed to affect prices.</w:t>
      </w:r>
    </w:p>
    <w:p>
      <w:pPr>
        <w:spacing w:line="300" w:lineRule="auto" w:after="160"/>
        <w:jc w:val="both"/>
      </w:pPr>
      <w:r>
        <w:rPr>
          <w:rFonts w:ascii="Palatino Linotype" w:hAnsi="Palatino Linotype" w:cs="Palatino Linotype" w:eastAsia="Palatino Linotype"/>
          <w:sz w:val="24"/>
        </w:rPr>
        <w:t>The principal full-sample finding is a medium-run divergence. In the joint Brent model, the 24-month coefficient on diplomatic tension is −0.309, while that on nuclear threat is 0.124. The military-conflict response is positive at impact but small and imprecise at 24 months. Tests of equality establish that the medium-run differences are not based solely on visually comparing separate confidence intervals. The descriptive subsample evidence is less uniform: the negative diplomatic response persists in sign, whereas the nuclear response changes substantially. Accordingly, the paper does not interpret every category or period as supporting one invariant geopolitical multiplier.</w:t>
      </w:r>
    </w:p>
    <w:p>
      <w:pPr>
        <w:spacing w:line="300" w:lineRule="auto" w:after="160"/>
        <w:jc w:val="both"/>
      </w:pPr>
      <w:r>
        <w:rPr>
          <w:rFonts w:ascii="Palatino Linotype" w:hAnsi="Palatino Linotype" w:cs="Palatino Linotype" w:eastAsia="Palatino Linotype"/>
          <w:sz w:val="24"/>
        </w:rPr>
        <w:t>The contribution to energy policy is to replace an undifferentiated geopolitical alarm signal with an event-specific diagnostic grounded in a transparent econometric design. The estimates do not identify the effect of releasing strategic stocks, imposing sanctions, or changing monetary policy. They indicate when the geopolitical composition of news is consistent with different oil-price risks. Event-specific indices can therefore guide scenario design and the intensity of monitoring, while physical production, trade, shipping, inventory, and futures-market evidence determine whether intervention is warranted.</w:t>
      </w:r>
    </w:p>
    <w:p>
      <w:pPr>
        <w:pStyle w:val="Heading1"/>
      </w:pPr>
      <w:r>
        <w:rPr>
          <w:rFonts w:ascii="Palatino Linotype" w:hAnsi="Palatino Linotype" w:cs="Palatino Linotype" w:eastAsia="Palatino Linotype"/>
          <w:sz w:val="30"/>
        </w:rPr>
        <w:t>2 Related literature</w:t>
      </w:r>
    </w:p>
    <w:p>
      <w:pPr>
        <w:pStyle w:val="Heading2"/>
      </w:pPr>
      <w:r>
        <w:rPr>
          <w:rFonts w:ascii="Palatino Linotype" w:hAnsi="Palatino Linotype" w:cs="Palatino Linotype" w:eastAsia="Palatino Linotype"/>
          <w:sz w:val="26"/>
        </w:rPr>
        <w:t>2.1 Measuring geopolitical conditions and uncertainty</w:t>
      </w:r>
    </w:p>
    <w:p>
      <w:pPr>
        <w:spacing w:line="300" w:lineRule="auto" w:after="160"/>
        <w:jc w:val="both"/>
      </w:pPr>
      <w:r>
        <w:rPr>
          <w:rFonts w:ascii="Palatino Linotype" w:hAnsi="Palatino Linotype" w:cs="Palatino Linotype" w:eastAsia="Palatino Linotype"/>
          <w:sz w:val="24"/>
        </w:rPr>
        <w:t>Geopolitical risk is a multidimensional economic object. Threats of conflict, realized violence, sanctions, and diplomatic confrontation can convey different information even when they occur during the same episode. Caldara and Iacoviello (2022) make this distinction operational with a news-based index and separate measures of geopolitical threats and acts. Their contribution provides a systematic alternative to selecting a few celebrated crises. Iacoviello and Tong (2026) extend this measurement agenda through AI-assisted classification and scoring. Event-specific indices permit comparisons that an aggregate index cannot reveal, but remain measures of reported geopolitical conditions rather than externally identified structural innovations.</w:t>
      </w:r>
    </w:p>
    <w:p>
      <w:pPr>
        <w:spacing w:line="300" w:lineRule="auto" w:after="160"/>
        <w:jc w:val="both"/>
      </w:pPr>
      <w:r>
        <w:rPr>
          <w:rFonts w:ascii="Palatino Linotype" w:hAnsi="Palatino Linotype" w:cs="Palatino Linotype" w:eastAsia="Palatino Linotype"/>
          <w:sz w:val="24"/>
        </w:rPr>
        <w:t>The broader uncertainty literature explains why these distinctions matter. Bloom (2009) studies how uncertainty can lead firms to postpone investment and employment decisions. Baker, Bloom, and Davis (2016) construct newspaper-based measures of economic policy uncertainty. Geopolitical risk and policy uncertainty can move together, yet they need not represent the same disturbance. A military threat may alter beliefs about a rare disruption, while a diplomatic disagreement may change the expected persistence of commercial restrictions. This paper uses the event classification to examine heterogeneous price responses rather than interpreting all uncertainty as a single shock.</w:t>
      </w:r>
    </w:p>
    <w:p>
      <w:pPr>
        <w:spacing w:line="300" w:lineRule="auto" w:after="160"/>
        <w:jc w:val="both"/>
      </w:pPr>
      <w:r>
        <w:rPr>
          <w:rFonts w:ascii="Palatino Linotype" w:hAnsi="Palatino Linotype" w:cs="Palatino Linotype" w:eastAsia="Palatino Linotype"/>
          <w:sz w:val="24"/>
        </w:rPr>
        <w:t>Trade-policy research gives economic content to the diplomatic channel. Handley and Limão (2017) show how uncertainty about trade policy affects entry, investment, trade, and welfare. Caldara et al. (2020) document adverse investment and activity responses to increases in trade-policy uncertainty. These mechanisms can reduce prospective energy demand when diplomatic relations deteriorate. Their relevance does not imply that the present regressions estimate a trade-policy shock or identify a trade mediator separately. They explain why a geopolitical deterioration can lower the oil price even in the absence of an immediate increase in oil supply.</w:t>
      </w:r>
    </w:p>
    <w:p>
      <w:pPr>
        <w:spacing w:line="300" w:lineRule="auto" w:after="160"/>
        <w:jc w:val="both"/>
      </w:pPr>
      <w:r>
        <w:rPr>
          <w:rFonts w:ascii="Palatino Linotype" w:hAnsi="Palatino Linotype" w:cs="Palatino Linotype" w:eastAsia="Palatino Linotype"/>
          <w:sz w:val="24"/>
        </w:rPr>
        <w:t>Bilateral relationship measures provide complementary information about the political state. Mignon and Saadaoui (2024) examine political tensions, geopolitical risks, and oil prices, while Mignon and Saadaoui (2025) study distributional asymmetries using quantile methods. Saadaoui (2026) develops and implements turning-point identification for bilateral political relations. The present application transfers that published strategy to global event-specific risk measures and the oil market. Its contribution is neither a new raw news index nor a new identification method. It establishes whether oil-price responses differ across geopolitical dimensions when abrupt trajectory changes supply the identifying variation.</w:t>
      </w:r>
    </w:p>
    <w:p>
      <w:pPr>
        <w:pStyle w:val="Heading2"/>
      </w:pPr>
      <w:r>
        <w:rPr>
          <w:rFonts w:ascii="Palatino Linotype" w:hAnsi="Palatino Linotype" w:cs="Palatino Linotype" w:eastAsia="Palatino Linotype"/>
          <w:sz w:val="26"/>
        </w:rPr>
        <w:t>2.2 Oil market mechanisms and geopolitical transmission</w:t>
      </w:r>
    </w:p>
    <w:p>
      <w:pPr>
        <w:spacing w:line="300" w:lineRule="auto" w:after="160"/>
        <w:jc w:val="both"/>
      </w:pPr>
      <w:r>
        <w:rPr>
          <w:rFonts w:ascii="Palatino Linotype" w:hAnsi="Palatino Linotype" w:cs="Palatino Linotype" w:eastAsia="Palatino Linotype"/>
          <w:sz w:val="24"/>
        </w:rPr>
        <w:t>The oil literature cautions against assigning a unique structural interpretation to a price movement. Kilian (2009) distinguishes disturbances to oil supply, global aggregate demand, and oil-specific demand, showing that their economic implications differ. Baumeister and Kilian (2016) place major historical fluctuations in this framework and explain why oil-price surprises depend on the information available to different market participants. The implication for geopolitical analysis is direct: an event label does not determine the sign of the equilibrium price response. The balance between expected demand, available supply, and precautionary behavior matters.</w:t>
      </w:r>
    </w:p>
    <w:p>
      <w:pPr>
        <w:spacing w:line="300" w:lineRule="auto" w:after="160"/>
        <w:jc w:val="both"/>
      </w:pPr>
      <w:r>
        <w:rPr>
          <w:rFonts w:ascii="Palatino Linotype" w:hAnsi="Palatino Linotype" w:cs="Palatino Linotype" w:eastAsia="Palatino Linotype"/>
          <w:sz w:val="24"/>
        </w:rPr>
        <w:t>Expectations can move spot prices before physical quantities adjust. Alquist and Kilian (2010) analyze the information contained in oil futures and the role of uncertainty about future scarcity. Kilian and Murphy (2014) incorporate inventory information to distinguish speculative demand from other oil-market forces. A nuclear threat can therefore affect oil prices through precautionary inventory demand or the valuation of disruption risk even when current production remains unchanged. Conversely, weaker expected activity after a diplomatic rupture can reduce oil demand. These are plausible mechanisms for the signs observed below; inventories, futures premia, and expectations are not separately estimated in this paper.</w:t>
      </w:r>
    </w:p>
    <w:p>
      <w:pPr>
        <w:spacing w:line="300" w:lineRule="auto" w:after="160"/>
        <w:jc w:val="both"/>
      </w:pPr>
      <w:r>
        <w:rPr>
          <w:rFonts w:ascii="Palatino Linotype" w:hAnsi="Palatino Linotype" w:cs="Palatino Linotype" w:eastAsia="Palatino Linotype"/>
          <w:sz w:val="24"/>
        </w:rPr>
        <w:t>Structural identification in the oil market depends on substantive restrictions. Caldara, Cavallo, and Iacoviello (2019) show how the choice of supply and demand elasticities affects the identification of oil shocks. Baumeister and Hamilton (2019) develop an approach that makes incomplete identifying information explicit. Their contributions motivate including world activity and oil-production dynamics, while avoiding the claim that those controls alone recover structural supply and demand shocks. Adding contemporaneous production growth is reported only as a change in the conditioning set, since production may itself be part of geopolitical transmission.</w:t>
      </w:r>
    </w:p>
    <w:p>
      <w:pPr>
        <w:spacing w:line="300" w:lineRule="auto" w:after="160"/>
        <w:jc w:val="both"/>
      </w:pPr>
      <w:r>
        <w:rPr>
          <w:rFonts w:ascii="Palatino Linotype" w:hAnsi="Palatino Linotype" w:cs="Palatino Linotype" w:eastAsia="Palatino Linotype"/>
          <w:sz w:val="24"/>
        </w:rPr>
        <w:t>Recent work by Verduzco-Bustos and Zanetti (2026) studies geopolitical oil-price shocks directly. The question here is complementary: whether different geopolitical states produce distinguishable response profiles under a common dynamic specification. The joint model conditions military conflict, diplomatic tension, and nuclear threat on one another. Its coefficients differ in interpretation from the separate-category estimates, which also reflect co-movement with omitted geopolitical dimensions. Comparing the two therefore informs interpretation, rather than supplying interchangeable estimates of an identical intervention.</w:t>
      </w:r>
    </w:p>
    <w:p>
      <w:pPr>
        <w:pStyle w:val="Heading2"/>
      </w:pPr>
      <w:r>
        <w:rPr>
          <w:rFonts w:ascii="Palatino Linotype" w:hAnsi="Palatino Linotype" w:cs="Palatino Linotype" w:eastAsia="Palatino Linotype"/>
          <w:sz w:val="26"/>
        </w:rPr>
        <w:t>2.3 Energy security policy and information</w:t>
      </w:r>
    </w:p>
    <w:p>
      <w:pPr>
        <w:spacing w:line="300" w:lineRule="auto" w:after="160"/>
        <w:jc w:val="both"/>
      </w:pPr>
      <w:r>
        <w:rPr>
          <w:rFonts w:ascii="Palatino Linotype" w:hAnsi="Palatino Linotype" w:cs="Palatino Linotype" w:eastAsia="Palatino Linotype"/>
          <w:sz w:val="24"/>
        </w:rPr>
        <w:t>Energy security is not a single observable condition. Winzer (2012) organizes it around the risks that interrupt energy continuity, while Cherp and Jewell (2014) emphasize the vulnerability of vital energy systems. These perspectives imply that policymakers require information about the source, probability, exposure, and likely duration of a disturbance, not merely a high aggregate risk reading. For oil-importing economies, the same geopolitical headline can imply different combinations of availability risk, price risk, and macroeconomic demand risk.</w:t>
      </w:r>
    </w:p>
    <w:p>
      <w:pPr>
        <w:spacing w:line="300" w:lineRule="auto" w:after="160"/>
        <w:jc w:val="both"/>
      </w:pPr>
      <w:r>
        <w:rPr>
          <w:rFonts w:ascii="Palatino Linotype" w:hAnsi="Palatino Linotype" w:cs="Palatino Linotype" w:eastAsia="Palatino Linotype"/>
          <w:sz w:val="24"/>
        </w:rPr>
        <w:t>This distinction is central to the use of emergency oil stocks and related contingency instruments. A news-based indicator cannot establish that a physical shortage exists, and the present estimates do not evaluate a reserve release. Event-specific geopolitical measures can nevertheless improve the diagnostic stage that precedes a policy decision. A category associated with precautionary or disruption-related price pressure can justify intensified surveillance and scenario preparation; a category associated with weaker demand expectations calls for a different assessment. In both cases, geopolitical signals should be corroborated with production, export, shipping, inventory, and forward-market information.</w:t>
      </w:r>
    </w:p>
    <w:p>
      <w:pPr>
        <w:spacing w:line="300" w:lineRule="auto" w:after="160"/>
        <w:jc w:val="both"/>
      </w:pPr>
      <w:r>
        <w:rPr>
          <w:rFonts w:ascii="Palatino Linotype" w:hAnsi="Palatino Linotype" w:cs="Palatino Linotype" w:eastAsia="Palatino Linotype"/>
          <w:sz w:val="24"/>
        </w:rPr>
        <w:t>The paper therefore contributes to energy-security policy through classification and timing. It estimates whether distinct geopolitical trajectories carry different oil-price implications and how those implications evolve over the policy horizon. The objective is not to derive a mechanical intervention threshold. It is to reduce the risk that decision-makers map every geopolitical escalation into the same presumed oil-supply shock.</w:t>
      </w:r>
    </w:p>
    <w:p>
      <w:pPr>
        <w:pStyle w:val="Heading2"/>
      </w:pPr>
      <w:r>
        <w:rPr>
          <w:rFonts w:ascii="Palatino Linotype" w:hAnsi="Palatino Linotype" w:cs="Palatino Linotype" w:eastAsia="Palatino Linotype"/>
          <w:sz w:val="26"/>
        </w:rPr>
        <w:t>2.4 Dynamic estimation and inference</w:t>
      </w:r>
    </w:p>
    <w:p>
      <w:pPr>
        <w:spacing w:line="300" w:lineRule="auto" w:after="160"/>
        <w:jc w:val="both"/>
      </w:pPr>
      <w:r>
        <w:rPr>
          <w:rFonts w:ascii="Palatino Linotype" w:hAnsi="Palatino Linotype" w:cs="Palatino Linotype" w:eastAsia="Palatino Linotype"/>
          <w:sz w:val="24"/>
        </w:rPr>
        <w:t>Jordà (2005) proposes local projections as direct horizon-specific regressions. Jordà and Taylor (2025) survey their use for dynamic causal analysis, including identification, inference, and practical specification choices. Plagborg-Møller and Wolf (2021) establish the population connection between local projections and vector autoregressions. Flexibility in the response profile should not be confused with an absence of identifying assumptions: the treatment, instrument, information set, and interpretation of a unit intervention still need to be specified. Stock and Watson (2018) and Nakamura and Steinsson (2018) provide the relevant framework for instrument-based identification of macroeconomic effects.</w:t>
      </w:r>
    </w:p>
    <w:p>
      <w:pPr>
        <w:spacing w:line="300" w:lineRule="auto" w:after="160"/>
        <w:jc w:val="both"/>
      </w:pPr>
      <w:r>
        <w:rPr>
          <w:rFonts w:ascii="Palatino Linotype" w:hAnsi="Palatino Linotype" w:cs="Palatino Linotype" w:eastAsia="Palatino Linotype"/>
          <w:sz w:val="24"/>
        </w:rPr>
        <w:t>Finite-sample precision and specification stability remain relevant. Barnichon and Brownlees (2019) propose smooth local projections to improve precision by imposing structure across horizons. Li, Plagborg-Møller, and Wolf (2024) compare the bias and variance of alternative estimators across many data-generating processes. Inoue, Rossi, and Wang (2024) develop local projections for unstable environments. The present estimates are unsmoothed and constant within each estimation sample. Their wide bands at some horizons and the descriptive subsample differences are reported directly; the sample splits do not constitute estimation of a time-varying parameter model.</w:t>
      </w:r>
    </w:p>
    <w:p>
      <w:pPr>
        <w:spacing w:line="300" w:lineRule="auto" w:after="160"/>
        <w:jc w:val="both"/>
      </w:pPr>
      <w:r>
        <w:rPr>
          <w:rFonts w:ascii="Palatino Linotype" w:hAnsi="Palatino Linotype" w:cs="Palatino Linotype" w:eastAsia="Palatino Linotype"/>
          <w:sz w:val="24"/>
        </w:rPr>
        <w:t>The baseline inference follows the lag-augmentation approach rather than appending a Newey–West correction to the augmented regression. Montiel Olea and Plagborg-Møller (2021) show that, under their conditions, lag-augmented local projections admit heteroskedasticity-robust inference despite serial correlation in the projection residuals. The relevant object is the regression score. White (1980) provides the heteroskedasticity-consistent sandwich framework, while MacKinnon and White (1985) study finite-sample leverage corrections. The baseline uses HC3 with an explicit IV implementation. Conventional two-price-lag projections with Newey and West (1987) covariance estimates are estimated separately as a comparison, following the distinction emphasized by Jordà and Taylor (2025).</w:t>
      </w:r>
    </w:p>
    <w:p>
      <w:pPr>
        <w:spacing w:line="300" w:lineRule="auto" w:after="160"/>
        <w:jc w:val="both"/>
      </w:pPr>
      <w:r>
        <w:rPr>
          <w:rFonts w:ascii="Palatino Linotype" w:hAnsi="Palatino Linotype" w:cs="Palatino Linotype" w:eastAsia="Palatino Linotype"/>
          <w:sz w:val="24"/>
        </w:rPr>
        <w:t>Instrument strength and instrument validity answer different questions. Staiger and Stock (1997) show why conventional IV inference can be unreliable when relevance is weak, while Sanderson and Windmeijer (2016) study conditional first stages in models with multiple endogenous regressors. These results motivate reporting both ordinary first-stage relevance statistics and formal conditional-strength diagnostics. In the present application, the resulting statistics are far above conventional weak-instrument ranges; the substantive identification discussion therefore concerns exclusion and economic interpretation rather than weak relevance.</w:t>
      </w:r>
    </w:p>
    <w:p>
      <w:pPr>
        <w:spacing w:line="300" w:lineRule="auto" w:after="160"/>
        <w:jc w:val="both"/>
      </w:pPr>
      <w:r>
        <w:rPr>
          <w:rFonts w:ascii="Palatino Linotype" w:hAnsi="Palatino Linotype" w:cs="Palatino Linotype" w:eastAsia="Palatino Linotype"/>
          <w:sz w:val="24"/>
        </w:rPr>
        <w:t>Two further distinctions govern interpretation. Angrist and Imbens (1995) explain how IV can identify instrument-dependent average causal responses with variable treatment intensity under additional assumptions. With continuous news indices, the coefficients here are described as local to the instrument-selected variation, without asserting a binary complier population or universally positive weights. Montiel Olea and Plagborg-Møller (2019) distinguish confidence statements about an entire response path from pointwise intervals. The paper consequently reports formal category-equality tests, selected-path tests, and approximate simultaneous bands alongside the main HC3 curves.</w:t>
      </w:r>
    </w:p>
    <w:p>
      <w:pPr>
        <w:spacing w:line="300" w:lineRule="auto" w:after="160"/>
        <w:jc w:val="both"/>
      </w:pPr>
      <w:r>
        <w:rPr>
          <w:rFonts w:ascii="Palatino Linotype" w:hAnsi="Palatino Linotype" w:cs="Palatino Linotype" w:eastAsia="Palatino Linotype"/>
          <w:sz w:val="24"/>
        </w:rPr>
        <w:t>The contribution brings these strands together in one event-specific oil-price analysis. The curvature filter selects changes in geopolitical trajectories; the economic exclusion argument describes how that variation reaches oil prices; and the separate and joint projections quantify the resulting dynamic associations under the maintained restrictions. This design makes the geopolitical composition of the response explicit. It does not replace structural oil-market models, nor claim that every geopolitical category has equal instrument strength, identical timing properties, or stable effects across historical periods.</w:t>
      </w:r>
    </w:p>
    <w:p>
      <w:pPr>
        <w:pStyle w:val="Heading1"/>
      </w:pPr>
      <w:r>
        <w:rPr>
          <w:rFonts w:ascii="Palatino Linotype" w:hAnsi="Palatino Linotype" w:cs="Palatino Linotype" w:eastAsia="Palatino Linotype"/>
          <w:sz w:val="30"/>
        </w:rPr>
        <w:t>3 Data and geopolitical turning points</w:t>
      </w:r>
    </w:p>
    <w:p>
      <w:pPr>
        <w:pStyle w:val="Heading2"/>
      </w:pPr>
      <w:r>
        <w:rPr>
          <w:rFonts w:ascii="Palatino Linotype" w:hAnsi="Palatino Linotype" w:cs="Palatino Linotype" w:eastAsia="Palatino Linotype"/>
          <w:sz w:val="26"/>
        </w:rPr>
        <w:t>3.1 Measurement and sample</w:t>
      </w:r>
    </w:p>
    <w:p>
      <w:pPr>
        <w:spacing w:line="300" w:lineRule="auto" w:after="160"/>
        <w:jc w:val="both"/>
      </w:pPr>
      <w:r>
        <w:rPr>
          <w:rFonts w:ascii="Palatino Linotype" w:hAnsi="Palatino Linotype" w:cs="Palatino Linotype" w:eastAsia="Palatino Linotype"/>
          <w:sz w:val="24"/>
        </w:rPr>
        <w:t>The monthly calendar runs from January 1990 to August 2026. AI-GPR supplies an aggregate risk index and eight event types: military conflict, diplomatic tension, terrorism, civil war, nuclear threat, coup or regime change, sanctions, and other events. These variables measure score-weighted news coverage, not counts of independent geopolitical incidents. The category series share the source's normalization; they are not each rescaled to have mean 100. The source vintage used here contains observations through August 2026. Appendix A records sources, transformations, and endpoint differences.</w:t>
      </w:r>
    </w:p>
    <w:p>
      <w:pPr>
        <w:spacing w:line="300" w:lineRule="auto" w:after="160"/>
        <w:jc w:val="both"/>
      </w:pPr>
      <w:r>
        <w:rPr>
          <w:rFonts w:ascii="Palatino Linotype" w:hAnsi="Palatino Linotype" w:cs="Palatino Linotype" w:eastAsia="Palatino Linotype"/>
          <w:sz w:val="24"/>
        </w:rPr>
        <w:t>Brent and WTI are monthly spot-price measures deflated by the U.S. consumer price index and expressed in natural logarithms. Global activity is measured by the Baumeister–Hamilton world industrial production series. The production control is the first difference of log global oil production. Because the BLS did not report CUSR0000SA0 for October 2025, its level is log-linearly interpolated between September and November 2025; nominal Brent and WTI remain observed EIA values. No other observation is filled. World industrial production ends in June 2026 and oil production in February 2026. These endpoints differ from the last available GPR observation and determine usable regression origins through the specified lags.</w:t>
      </w:r>
    </w:p>
    <w:p>
      <w:pPr>
        <w:spacing w:line="300" w:lineRule="auto" w:after="160"/>
        <w:jc w:val="both"/>
      </w:pPr>
      <w:r>
        <w:rPr>
          <w:rFonts w:ascii="Palatino Linotype" w:hAnsi="Palatino Linotype" w:cs="Palatino Linotype" w:eastAsia="Palatino Linotype"/>
          <w:sz w:val="24"/>
        </w:rPr>
        <w:t>Every lag and lead is constructed on the complete monthly calendar before missing observations are removed. Each horizon then uses only the variables entering that equation. Consequently, the impact regression has 428 complete origins, ending in March 2026; the 24-month regression has 412 origins and the 48-month regression 388. The sample at a positive horizon does not additionally require the contemporaneous oil price unless it appears in the specified regressors. This convention avoids dropping observations for a variable the equation does not use. Covariance calculations preserve the original calendar distances across missing months.</w:t>
      </w:r>
    </w:p>
    <w:p>
      <w:pPr>
        <w:spacing w:line="300" w:lineRule="auto" w:after="160"/>
        <w:jc w:val="both"/>
      </w:pPr>
      <w:r>
        <w:rPr>
          <w:rFonts w:ascii="Palatino Linotype" w:hAnsi="Palatino Linotype" w:cs="Palatino Linotype" w:eastAsia="Palatino Linotype"/>
          <w:sz w:val="24"/>
        </w:rPr>
        <w:t>Figure 1 displays all observed level variables and the transformed geopolitical indices. Table 1 summarizes both the estimation variables and the raw second differences. The logged production level is shown to document the source series; the regressions use its monthly growth rate. Comparisons of variability across event categories should respect their common source units and differing means. A unit increase in a rare-event index is not automatically economically equivalent to a unit increase in the aggregate index.</w:t>
      </w:r>
    </w:p>
    <w:p>
      <w:pPr>
        <w:pStyle w:val="Caption"/>
        <w:keepNext/>
        <w:spacing w:before="180" w:after="80"/>
      </w:pPr>
      <w:r>
        <w:rPr>
          <w:rFonts w:ascii="Palatino Linotype" w:hAnsi="Palatino Linotype" w:cs="Palatino Linotype" w:eastAsia="Palatino Linotype"/>
          <w:sz w:val="22"/>
        </w:rPr>
        <w:t>Table 1  Summary statistics</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3960"/>
        <w:gridCol w:w="648"/>
        <w:gridCol w:w="1152"/>
        <w:gridCol w:w="1152"/>
        <w:gridCol w:w="1368"/>
        <w:gridCol w:w="1368"/>
      </w:tblGrid>
      <w:tr>
        <w:trPr>
          <w:cantSplit/>
          <w:tblHeader/>
        </w:trPr>
        <w:tc>
          <w:tcPr>
            <w:tcW w:type="dxa" w:w="3960"/>
            <w:vAlign w:val="center"/>
            <w:tcMar>
              <w:top w:w="55" w:type="dxa"/>
              <w:bottom w:w="55" w:type="dxa"/>
              <w:start w:w="55" w:type="dxa"/>
              <w:end w:w="55" w:type="dxa"/>
            </w:tcMar>
            <w:tcBorders>
              <w:bottom w:val="single" w:sz="5"/>
            </w:tcBorders>
          </w:tcPr>
          <w:p>
            <w:pPr>
              <w:spacing w:after="80" w:before="80" w:line="259" w:lineRule="auto"/>
              <w:jc w:val="left"/>
            </w:pPr>
            <w:r>
              <w:rPr>
                <w:rFonts w:ascii="Palatino Linotype" w:hAnsi="Palatino Linotype" w:cs="Palatino Linotype" w:eastAsia="Palatino Linotype"/>
                <w:b/>
                <w:sz w:val="20"/>
              </w:rPr>
              <w:t>Variable</w:t>
            </w:r>
          </w:p>
        </w:tc>
        <w:tc>
          <w:tcPr>
            <w:tcW w:type="dxa" w:w="648"/>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N</w:t>
            </w:r>
          </w:p>
        </w:tc>
        <w:tc>
          <w:tcPr>
            <w:tcW w:type="dxa" w:w="1152"/>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Mean</w:t>
            </w:r>
          </w:p>
        </w:tc>
        <w:tc>
          <w:tcPr>
            <w:tcW w:type="dxa" w:w="1152"/>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SD</w:t>
            </w:r>
          </w:p>
        </w:tc>
        <w:tc>
          <w:tcPr>
            <w:tcW w:type="dxa" w:w="1368"/>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Minimum</w:t>
            </w:r>
          </w:p>
        </w:tc>
        <w:tc>
          <w:tcPr>
            <w:tcW w:type="dxa" w:w="1368"/>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Maximum</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Log real WTI price</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440</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3.051</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0.453</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1.866</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4.120</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Log real Brent price</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440</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3.052</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0.508</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1.787</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4.108</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Log world industrial production</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438</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4.287</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0.272</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3.821</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4.716</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Log global oil production</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434</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11.183</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0.114</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10.943</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11.370</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Global oil production growth</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433</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0.001</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0.012</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−0.145</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0.044</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ln(1 + Aggregate AI-GPR)</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440</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4.631</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0.295</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3.770</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5.768</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ln(1 + Military conflict)</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440</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3.229</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0.709</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1.366</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5.467</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ln(1 + Diplomatic tension)</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440</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3.436</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0.280</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2.806</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4.464</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ln(1 + Terrorism)</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440</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2.527</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0.564</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1.170</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5.211</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ln(1 + Civil war)</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440</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2.030</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0.572</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0.480</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3.664</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ln(1 + Nuclear threat)</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440</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1.463</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0.527</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0.000</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3.295</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ln(1 + Coup)</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440</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0.745</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0.528</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0.000</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3.338</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ln(1 + Sanctions)</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440</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1.234</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0.592</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0.053</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3.901</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ln(1 + Other events)</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440</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2.517</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0.311</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1.744</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3.470</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Δ² Aggregate AI-GPR</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438</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−0.028</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39.199</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−238.530</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199.590</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Δ² Military conflict</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438</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−0.054</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35.077</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−243.333</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187.226</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Δ² Diplomatic tension</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438</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−0.007</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12.502</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−45.651</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47.922</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Δ² Terrorism</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438</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0.008</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19.105</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−246.091</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173.674</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Δ² Civil war</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438</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0.002</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5.597</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−37.811</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18.932</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Δ² Nuclear threat</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438</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−0.005</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4.823</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−27.278</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16.000</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Δ² Coup</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438</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0.000</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4.517</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−48.159</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26.096</w:t>
            </w:r>
          </w:p>
        </w:tc>
      </w:tr>
      <w:tr>
        <w:trPr>
          <w:cantSplit/>
        </w:trPr>
        <w:tc>
          <w:tcPr>
            <w:tcW w:type="dxa" w:w="396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Δ² Sanctions</w:t>
            </w:r>
          </w:p>
        </w:tc>
        <w:tc>
          <w:tcPr>
            <w:tcW w:type="dxa" w:w="64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438</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0.019</w:t>
            </w:r>
          </w:p>
        </w:tc>
        <w:tc>
          <w:tcPr>
            <w:tcW w:type="dxa" w:w="115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5.180</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−58.598</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22.664</w:t>
            </w:r>
          </w:p>
        </w:tc>
      </w:tr>
      <w:tr>
        <w:trPr>
          <w:cantSplit/>
        </w:trPr>
        <w:tc>
          <w:tcPr>
            <w:tcW w:type="dxa" w:w="396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Δ² Other events</w:t>
            </w:r>
          </w:p>
        </w:tc>
        <w:tc>
          <w:tcPr>
            <w:tcW w:type="dxa" w:w="648"/>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438</w:t>
            </w:r>
          </w:p>
        </w:tc>
        <w:tc>
          <w:tcPr>
            <w:tcW w:type="dxa" w:w="115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0.010</w:t>
            </w:r>
          </w:p>
        </w:tc>
        <w:tc>
          <w:tcPr>
            <w:tcW w:type="dxa" w:w="115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4.580</w:t>
            </w:r>
          </w:p>
        </w:tc>
        <w:tc>
          <w:tcPr>
            <w:tcW w:type="dxa" w:w="1368"/>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−22.598</w:t>
            </w:r>
          </w:p>
        </w:tc>
        <w:tc>
          <w:tcPr>
            <w:tcW w:type="dxa" w:w="1368"/>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15.492</w:t>
            </w:r>
          </w:p>
        </w:tc>
      </w:tr>
    </w:tbl>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 xml:space="preserve">Statistics use available observations from January 1990 to August 2026 before regression-specific lag and lead restrictions. Prices, industrial production, and production levels are natural logarithms. Geopolitical regressors are </w:t>
      </w:r>
      <m:oMath>
        <m:sSub>
          <m:e>
            <m:r>
              <m:t xml:space="preserve">x</m:t>
            </m:r>
          </m:e>
          <m:sub>
            <m:r>
              <m:t xml:space="preserve">j</m:t>
            </m:r>
            <m:r>
              <m:t xml:space="preserve">,</m:t>
            </m:r>
            <m:r>
              <m:t xml:space="preserve">t</m:t>
            </m:r>
          </m:sub>
        </m:sSub>
        <m:r>
          <m:t xml:space="preserve">=</m:t>
        </m:r>
        <m:r>
          <m:rPr>
            <m:sty m:val="p"/>
          </m:rPr>
          <m:t xml:space="preserve">ln</m:t>
        </m:r>
        <m:r>
          <m:t xml:space="preserve">(</m:t>
        </m:r>
        <m:r>
          <m:t xml:space="preserve">1</m:t>
        </m:r>
        <m:r>
          <m:t xml:space="preserve">+</m:t>
        </m:r>
        <m:sSub>
          <m:e>
            <m:r>
              <m:t xml:space="preserve">G</m:t>
            </m:r>
          </m:e>
          <m:sub>
            <m:r>
              <m:t xml:space="preserve">j</m:t>
            </m:r>
            <m:r>
              <m:t xml:space="preserve">,</m:t>
            </m:r>
            <m:r>
              <m:t xml:space="preserve">t</m:t>
            </m:r>
          </m:sub>
        </m:sSub>
        <m:r>
          <m:t xml:space="preserve">)</m:t>
        </m:r>
      </m:oMath>
      <w:r>
        <w:rPr>
          <w:rFonts w:ascii="Palatino Linotype" w:hAnsi="Palatino Linotype" w:cs="Palatino Linotype" w:eastAsia="Palatino Linotype"/>
          <w:sz w:val="21"/>
        </w:rPr>
        <w:t xml:space="preserve">; instruments are raw-index second differences </w:t>
      </w:r>
      <m:oMath>
        <m:sSub>
          <m:e>
            <m:r>
              <m:t xml:space="preserve">Z</m:t>
            </m:r>
          </m:e>
          <m:sub>
            <m:r>
              <m:t xml:space="preserve">j</m:t>
            </m:r>
            <m:r>
              <m:t xml:space="preserve">,</m:t>
            </m:r>
            <m:r>
              <m:t xml:space="preserve">t</m:t>
            </m:r>
          </m:sub>
        </m:sSub>
        <m:r>
          <m:t xml:space="preserve">=</m:t>
        </m:r>
        <m:sSup>
          <m:e>
            <m:r>
              <m:t xml:space="preserve">Δ</m:t>
            </m:r>
          </m:e>
          <m:sup>
            <m:r>
              <m:t xml:space="preserve">2</m:t>
            </m:r>
          </m:sup>
        </m:sSup>
        <m:sSub>
          <m:e>
            <m:r>
              <m:t xml:space="preserve">G</m:t>
            </m:r>
          </m:e>
          <m:sub>
            <m:r>
              <m:t xml:space="preserve">j</m:t>
            </m:r>
            <m:r>
              <m:t xml:space="preserve">,</m:t>
            </m:r>
            <m:r>
              <m:t xml:space="preserve">t</m:t>
            </m:r>
          </m:sub>
        </m:sSub>
      </m:oMath>
      <w:r>
        <w:rPr>
          <w:rFonts w:ascii="Palatino Linotype" w:hAnsi="Palatino Linotype" w:cs="Palatino Linotype" w:eastAsia="Palatino Linotype"/>
          <w:sz w:val="21"/>
        </w:rPr>
        <w:t xml:space="preserve">. Oil-production growth is </w:t>
      </w:r>
      <m:oMath>
        <m:r>
          <m:t xml:space="preserve">Δ</m:t>
        </m:r>
        <m:r>
          <m:rPr>
            <m:sty m:val="p"/>
          </m:rPr>
          <m:t xml:space="preserve">ln</m:t>
        </m:r>
        <m:r>
          <m:t xml:space="preserve"> </m:t>
        </m:r>
        <m:sSub>
          <m:e>
            <m:r>
              <m:t xml:space="preserve">Q</m:t>
            </m:r>
          </m:e>
          <m:sub>
            <m:r>
              <m:t xml:space="preserve">t</m:t>
            </m:r>
          </m:sub>
        </m:sSub>
      </m:oMath>
      <w:r>
        <w:rPr>
          <w:rFonts w:ascii="Palatino Linotype" w:hAnsi="Palatino Linotype" w:cs="Palatino Linotype" w:eastAsia="Palatino Linotype"/>
          <w:sz w:val="21"/>
        </w:rPr>
        <w:t>. Missing observations are retained as missing.</w:t>
      </w:r>
    </w:p>
    <w:p>
      <w:pPr>
        <w:keepNext/>
        <w:spacing w:line="300" w:lineRule="auto" w:after="160"/>
        <w:jc w:val="center"/>
      </w:pPr>
      <w:r>
        <w:rPr>
          <w:rFonts w:ascii="Palatino Linotype" w:hAnsi="Palatino Linotype" w:cs="Palatino Linotype" w:eastAsia="Palatino Linotype"/>
          <w:sz w:val="24"/>
        </w:rPr>
        <w:drawing>
          <wp:inline xmlns:a="http://schemas.openxmlformats.org/drawingml/2006/main" xmlns:pic="http://schemas.openxmlformats.org/drawingml/2006/picture">
            <wp:extent cx="5806440" cy="6053776"/>
            <wp:docPr id="1" name="Picture 1"/>
            <wp:cNvGraphicFramePr>
              <a:graphicFrameLocks noChangeAspect="1"/>
            </wp:cNvGraphicFramePr>
            <a:graphic>
              <a:graphicData uri="http://schemas.openxmlformats.org/drawingml/2006/picture">
                <pic:pic>
                  <pic:nvPicPr>
                    <pic:cNvPr id="0" name="fig01_all_variables.png"/>
                    <pic:cNvPicPr/>
                  </pic:nvPicPr>
                  <pic:blipFill>
                    <a:blip r:embed="rId10"/>
                    <a:stretch>
                      <a:fillRect/>
                    </a:stretch>
                  </pic:blipFill>
                  <pic:spPr>
                    <a:xfrm>
                      <a:off x="0" y="0"/>
                      <a:ext cx="5806440" cy="6053776"/>
                    </a:xfrm>
                    <a:prstGeom prst="rect"/>
                  </pic:spPr>
                </pic:pic>
              </a:graphicData>
            </a:graphic>
          </wp:inline>
        </w:drawing>
      </w:r>
    </w:p>
    <w:p>
      <w:pPr>
        <w:pStyle w:val="Caption"/>
        <w:keepNext/>
        <w:spacing w:before="180" w:after="80"/>
      </w:pPr>
      <w:r>
        <w:rPr>
          <w:rFonts w:ascii="Palatino Linotype" w:hAnsi="Palatino Linotype" w:cs="Palatino Linotype" w:eastAsia="Palatino Linotype"/>
          <w:sz w:val="22"/>
        </w:rPr>
        <w:t>Fig. 1.  Variables entering the analysis</w:t>
      </w:r>
    </w:p>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Panels (a)–(e) show log real WTI, log real Brent, log world industrial production, log global oil production, and oil-production growth. Panels (f)–(n) show the natural logarithm of one plus aggregate AI-GPR, military conflict, diplomatic tension, terrorism, civil war, nuclear threat, coup, sanctions, and other events, respectively. The production level is displayed for reference; its first difference enters the local projections. Monthly observations extend to August 2026 where available. The unavailable October 2025 CPI deflator is log-linearly interpolated, producing complete real Brent and WTI histories; no nominal oil-price observation is filled.</w:t>
      </w:r>
    </w:p>
    <w:p>
      <w:pPr>
        <w:pStyle w:val="Heading2"/>
      </w:pPr>
      <w:r>
        <w:rPr>
          <w:rFonts w:ascii="Palatino Linotype" w:hAnsi="Palatino Linotype" w:cs="Palatino Linotype" w:eastAsia="Palatino Linotype"/>
          <w:sz w:val="26"/>
        </w:rPr>
        <w:t>3.2 The turning point filter</w:t>
      </w:r>
    </w:p>
    <w:p>
      <w:pPr>
        <w:spacing w:line="300" w:lineRule="auto" w:after="160"/>
        <w:jc w:val="both"/>
      </w:pPr>
      <w:r>
        <w:rPr>
          <w:rFonts w:ascii="Palatino Linotype" w:hAnsi="Palatino Linotype" w:cs="Palatino Linotype" w:eastAsia="Palatino Linotype"/>
          <w:sz w:val="24"/>
        </w:rPr>
        <w:t xml:space="preserve">Let </w:t>
      </w:r>
      <m:oMath>
        <m:sSub>
          <m:e>
            <m:r>
              <m:t xml:space="preserve">G</m:t>
            </m:r>
          </m:e>
          <m:sub>
            <m:r>
              <m:t xml:space="preserve">j</m:t>
            </m:r>
            <m:r>
              <m:t xml:space="preserve">,</m:t>
            </m:r>
            <m:r>
              <m:t xml:space="preserve">t</m:t>
            </m:r>
          </m:sub>
        </m:sSub>
      </m:oMath>
      <w:r>
        <w:rPr>
          <w:rFonts w:ascii="Palatino Linotype" w:hAnsi="Palatino Linotype" w:cs="Palatino Linotype" w:eastAsia="Palatino Linotype"/>
          <w:sz w:val="24"/>
        </w:rPr>
        <w:t xml:space="preserve"> denote the raw geopolitical index for category </w:t>
      </w:r>
      <m:oMath>
        <m:r>
          <m:t xml:space="preserve">j</m:t>
        </m:r>
      </m:oMath>
      <w:r>
        <w:rPr>
          <w:rFonts w:ascii="Palatino Linotype" w:hAnsi="Palatino Linotype" w:cs="Palatino Linotype" w:eastAsia="Palatino Linotype"/>
          <w:sz w:val="24"/>
        </w:rPr>
        <w:t xml:space="preserve"> in month </w:t>
      </w:r>
      <m:oMath>
        <m:r>
          <m:t xml:space="preserve">t</m:t>
        </m:r>
      </m:oMath>
      <w:r>
        <w:rPr>
          <w:rFonts w:ascii="Palatino Linotype" w:hAnsi="Palatino Linotype" w:cs="Palatino Linotype" w:eastAsia="Palatino Linotype"/>
          <w:sz w:val="24"/>
        </w:rPr>
        <w:t>. Define the endogenous regressor and instrument separately:</w:t>
      </w:r>
    </w:p>
    <w:p>
      <w:pPr>
        <w:spacing w:before="120" w:after="160" w:line="300" w:lineRule="auto"/>
        <w:jc w:val="center"/>
      </w:pPr>
      <m:oMathPara>
        <m:oMath>
          <m:sSub>
            <m:e>
              <m:r>
                <m:t xml:space="preserve">x</m:t>
              </m:r>
            </m:e>
            <m:sub>
              <m:r>
                <m:t xml:space="preserve">j</m:t>
              </m:r>
              <m:r>
                <m:t xml:space="preserve">,</m:t>
              </m:r>
              <m:r>
                <m:t xml:space="preserve">t</m:t>
              </m:r>
            </m:sub>
          </m:sSub>
          <m:r>
            <m:t xml:space="preserve">=</m:t>
          </m:r>
          <m:r>
            <m:rPr>
              <m:sty m:val="p"/>
            </m:rPr>
            <m:t xml:space="preserve">ln</m:t>
          </m:r>
          <m:r>
            <m:t xml:space="preserve">(</m:t>
          </m:r>
          <m:r>
            <m:t xml:space="preserve">1</m:t>
          </m:r>
          <m:r>
            <m:t xml:space="preserve">+</m:t>
          </m:r>
          <m:sSub>
            <m:e>
              <m:r>
                <m:t xml:space="preserve">G</m:t>
              </m:r>
            </m:e>
            <m:sub>
              <m:r>
                <m:t xml:space="preserve">j</m:t>
              </m:r>
              <m:r>
                <m:t xml:space="preserve">,</m:t>
              </m:r>
              <m:r>
                <m:t xml:space="preserve">t</m:t>
              </m:r>
            </m:sub>
          </m:sSub>
          <m:r>
            <m:t xml:space="preserve">)</m:t>
          </m:r>
          <m:r>
            <m:t xml:space="preserve">,</m:t>
          </m:r>
          <m:r>
            <m:t xml:space="preserve">    </m:t>
          </m:r>
          <m:r>
            <m:t xml:space="preserve"> </m:t>
          </m:r>
          <m:sSub>
            <m:e>
              <m:r>
                <m:t xml:space="preserve">Z</m:t>
              </m:r>
            </m:e>
            <m:sub>
              <m:r>
                <m:t xml:space="preserve">j</m:t>
              </m:r>
              <m:r>
                <m:t xml:space="preserve">,</m:t>
              </m:r>
              <m:r>
                <m:t xml:space="preserve">t</m:t>
              </m:r>
            </m:sub>
          </m:sSub>
          <m:r>
            <m:t xml:space="preserve">=</m:t>
          </m:r>
          <m:sSup>
            <m:e>
              <m:r>
                <m:t xml:space="preserve">Δ</m:t>
              </m:r>
            </m:e>
            <m:sup>
              <m:r>
                <m:t xml:space="preserve">2</m:t>
              </m:r>
            </m:sup>
          </m:sSup>
          <m:sSub>
            <m:e>
              <m:r>
                <m:t xml:space="preserve">G</m:t>
              </m:r>
            </m:e>
            <m:sub>
              <m:r>
                <m:t xml:space="preserve">j</m:t>
              </m:r>
              <m:r>
                <m:t xml:space="preserve">,</m:t>
              </m:r>
              <m:r>
                <m:t xml:space="preserve">t</m:t>
              </m:r>
            </m:sub>
          </m:sSub>
          <m:r>
            <m:t xml:space="preserve">=</m:t>
          </m:r>
          <m:sSub>
            <m:e>
              <m:r>
                <m:t xml:space="preserve">G</m:t>
              </m:r>
            </m:e>
            <m:sub>
              <m:r>
                <m:t xml:space="preserve">j</m:t>
              </m:r>
              <m:r>
                <m:t xml:space="preserve">,</m:t>
              </m:r>
              <m:r>
                <m:t xml:space="preserve">t</m:t>
              </m:r>
            </m:sub>
          </m:sSub>
          <m:r>
            <m:t xml:space="preserve">−</m:t>
          </m:r>
          <m:r>
            <m:t xml:space="preserve">2</m:t>
          </m:r>
          <m:sSub>
            <m:e>
              <m:r>
                <m:t xml:space="preserve">G</m:t>
              </m:r>
            </m:e>
            <m:sub>
              <m:r>
                <m:t xml:space="preserve">j</m:t>
              </m:r>
              <m:r>
                <m:t xml:space="preserve">,</m:t>
              </m:r>
              <m:r>
                <m:t xml:space="preserve">t</m:t>
              </m:r>
              <m:r>
                <m:t xml:space="preserve">−</m:t>
              </m:r>
              <m:r>
                <m:t xml:space="preserve">1</m:t>
              </m:r>
            </m:sub>
          </m:sSub>
          <m:r>
            <m:t xml:space="preserve">+</m:t>
          </m:r>
          <m:sSub>
            <m:e>
              <m:r>
                <m:t xml:space="preserve">G</m:t>
              </m:r>
            </m:e>
            <m:sub>
              <m:r>
                <m:t xml:space="preserve">j</m:t>
              </m:r>
              <m:r>
                <m:t xml:space="preserve">,</m:t>
              </m:r>
              <m:r>
                <m:t xml:space="preserve">t</m:t>
              </m:r>
              <m:r>
                <m:t xml:space="preserve">−</m:t>
              </m:r>
              <m:r>
                <m:t xml:space="preserve">2</m:t>
              </m:r>
            </m:sub>
          </m:sSub>
        </m:oMath>
      </m:oMathPara>
      <w:r>
        <w:rPr>
          <w:rFonts w:ascii="Palatino Linotype" w:hAnsi="Palatino Linotype" w:cs="Palatino Linotype" w:eastAsia="Palatino Linotype"/>
          <w:sz w:val="24"/>
        </w:rPr>
        <w:t xml:space="preserve">   (1)</w:t>
      </w:r>
    </w:p>
    <w:p>
      <w:pPr>
        <w:spacing w:line="300" w:lineRule="auto" w:after="160"/>
        <w:jc w:val="both"/>
      </w:pPr>
      <w:r>
        <w:rPr>
          <w:rFonts w:ascii="Palatino Linotype" w:hAnsi="Palatino Linotype" w:cs="Palatino Linotype" w:eastAsia="Palatino Linotype"/>
          <w:sz w:val="24"/>
        </w:rPr>
        <w:t xml:space="preserve">A positive </w:t>
      </w:r>
      <m:oMath>
        <m:sSub>
          <m:e>
            <m:r>
              <m:t xml:space="preserve">Z</m:t>
            </m:r>
          </m:e>
          <m:sub>
            <m:r>
              <m:t xml:space="preserve">j</m:t>
            </m:r>
            <m:r>
              <m:t xml:space="preserve">,</m:t>
            </m:r>
            <m:r>
              <m:t xml:space="preserve">t</m:t>
            </m:r>
          </m:sub>
        </m:sSub>
      </m:oMath>
      <w:r>
        <w:rPr>
          <w:rFonts w:ascii="Palatino Linotype" w:hAnsi="Palatino Linotype" w:cs="Palatino Linotype" w:eastAsia="Palatino Linotype"/>
          <w:sz w:val="24"/>
        </w:rPr>
        <w:t xml:space="preserve"> means that the index's monthly change has increased relative to the previous month. It can represent an intensification of rising risk or a deceleration of falling risk. It need not imply that the level increased. A negative value has the corresponding interpretation. This distinction is important when associating an instrument spike with an event: the month after a large increase can generate a large negative second difference as escalation subsides, even while geopolitical risk remains elevated.</w:t>
      </w:r>
    </w:p>
    <w:p>
      <w:pPr>
        <w:spacing w:line="300" w:lineRule="auto" w:after="160"/>
        <w:jc w:val="both"/>
      </w:pPr>
      <w:r>
        <w:rPr>
          <w:rFonts w:ascii="Palatino Linotype" w:hAnsi="Palatino Linotype" w:cs="Palatino Linotype" w:eastAsia="Palatino Linotype"/>
          <w:sz w:val="24"/>
        </w:rPr>
        <w:t>An affine component of the raw index has zero second difference. More generally, the transformation attenuates smooth evolution and places relatively greater weight on high-frequency changes in trajectory. The economic purpose is to emphasize event-driven reorientations that are less plausibly induced by routine monthly macroeconomic feedback. It is not a threshold rule that retains only a handpicked list of shocks. All complete-case months contribute to estimation, with their contribution determined by the instrument after conditioning on the included controls. Figure 2 makes that distinction visible.</w:t>
      </w:r>
    </w:p>
    <w:p>
      <w:pPr>
        <w:spacing w:line="300" w:lineRule="auto" w:after="160"/>
        <w:jc w:val="both"/>
      </w:pPr>
      <w:r>
        <w:rPr>
          <w:rFonts w:ascii="Palatino Linotype" w:hAnsi="Palatino Linotype" w:cs="Palatino Linotype" w:eastAsia="Palatino Linotype"/>
          <w:sz w:val="24"/>
        </w:rPr>
        <w:t>The first-stage relationship is assessed empirically. The endogenous variable is logarithmic, while the instrument is the second difference of the raw index. Conditional relevance depends on their covariance after removing the controls, and may differ across categories and horizon-specific samples. It is therefore neither assumed to be strong for every category nor inferred from an identity between the two series. A separate diagnostic using the second difference of the logged regressor is described below; with its own two lags included, that alternative is algebraically equivalent to ordinary least squares and is not presented as an independent IV validation.</w:t>
      </w:r>
    </w:p>
    <w:p>
      <w:pPr>
        <w:keepNext/>
        <w:spacing w:line="300" w:lineRule="auto" w:after="160"/>
        <w:jc w:val="center"/>
      </w:pPr>
      <w:r>
        <w:rPr>
          <w:rFonts w:ascii="Palatino Linotype" w:hAnsi="Palatino Linotype" w:cs="Palatino Linotype" w:eastAsia="Palatino Linotype"/>
          <w:sz w:val="24"/>
        </w:rPr>
        <w:drawing>
          <wp:inline xmlns:a="http://schemas.openxmlformats.org/drawingml/2006/main" xmlns:pic="http://schemas.openxmlformats.org/drawingml/2006/picture">
            <wp:extent cx="5943600" cy="4194453"/>
            <wp:docPr id="2" name="Picture 2"/>
            <wp:cNvGraphicFramePr>
              <a:graphicFrameLocks noChangeAspect="1"/>
            </wp:cNvGraphicFramePr>
            <a:graphic>
              <a:graphicData uri="http://schemas.openxmlformats.org/drawingml/2006/picture">
                <pic:pic>
                  <pic:nvPicPr>
                    <pic:cNvPr id="0" name="fig02_turning_points.png"/>
                    <pic:cNvPicPr/>
                  </pic:nvPicPr>
                  <pic:blipFill>
                    <a:blip r:embed="rId11"/>
                    <a:stretch>
                      <a:fillRect/>
                    </a:stretch>
                  </pic:blipFill>
                  <pic:spPr>
                    <a:xfrm>
                      <a:off x="0" y="0"/>
                      <a:ext cx="5943600" cy="4194453"/>
                    </a:xfrm>
                    <a:prstGeom prst="rect"/>
                  </pic:spPr>
                </pic:pic>
              </a:graphicData>
            </a:graphic>
          </wp:inline>
        </w:drawing>
      </w:r>
    </w:p>
    <w:p>
      <w:pPr>
        <w:pStyle w:val="Caption"/>
        <w:keepNext/>
        <w:spacing w:before="180" w:after="80"/>
      </w:pPr>
      <w:r>
        <w:rPr>
          <w:rFonts w:ascii="Palatino Linotype" w:hAnsi="Palatino Linotype" w:cs="Palatino Linotype" w:eastAsia="Palatino Linotype"/>
          <w:sz w:val="22"/>
        </w:rPr>
        <w:t>Fig. 2.  Raw index geopolitical turning points</w:t>
      </w:r>
    </w:p>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 xml:space="preserve">Panels show </w:t>
      </w:r>
      <m:oMath>
        <m:sSub>
          <m:e>
            <m:r>
              <m:t xml:space="preserve">Z</m:t>
            </m:r>
          </m:e>
          <m:sub>
            <m:r>
              <m:t xml:space="preserve">j</m:t>
            </m:r>
            <m:r>
              <m:t xml:space="preserve">,</m:t>
            </m:r>
            <m:r>
              <m:t xml:space="preserve">t</m:t>
            </m:r>
          </m:sub>
        </m:sSub>
        <m:r>
          <m:t xml:space="preserve">=</m:t>
        </m:r>
        <m:sSub>
          <m:e>
            <m:r>
              <m:t xml:space="preserve">G</m:t>
            </m:r>
          </m:e>
          <m:sub>
            <m:r>
              <m:t xml:space="preserve">j</m:t>
            </m:r>
            <m:r>
              <m:t xml:space="preserve">,</m:t>
            </m:r>
            <m:r>
              <m:t xml:space="preserve">t</m:t>
            </m:r>
          </m:sub>
        </m:sSub>
        <m:r>
          <m:t xml:space="preserve">−</m:t>
        </m:r>
        <m:r>
          <m:t xml:space="preserve">2</m:t>
        </m:r>
        <m:sSub>
          <m:e>
            <m:r>
              <m:t xml:space="preserve">G</m:t>
            </m:r>
          </m:e>
          <m:sub>
            <m:r>
              <m:t xml:space="preserve">j</m:t>
            </m:r>
            <m:r>
              <m:t xml:space="preserve">,</m:t>
            </m:r>
            <m:r>
              <m:t xml:space="preserve">t</m:t>
            </m:r>
            <m:r>
              <m:t xml:space="preserve">−</m:t>
            </m:r>
            <m:r>
              <m:t xml:space="preserve">1</m:t>
            </m:r>
          </m:sub>
        </m:sSub>
        <m:r>
          <m:t xml:space="preserve">+</m:t>
        </m:r>
        <m:sSub>
          <m:e>
            <m:r>
              <m:t xml:space="preserve">G</m:t>
            </m:r>
          </m:e>
          <m:sub>
            <m:r>
              <m:t xml:space="preserve">j</m:t>
            </m:r>
            <m:r>
              <m:t xml:space="preserve">,</m:t>
            </m:r>
            <m:r>
              <m:t xml:space="preserve">t</m:t>
            </m:r>
            <m:r>
              <m:t xml:space="preserve">−</m:t>
            </m:r>
            <m:r>
              <m:t xml:space="preserve">2</m:t>
            </m:r>
          </m:sub>
        </m:sSub>
      </m:oMath>
      <w:r>
        <w:rPr>
          <w:rFonts w:ascii="Palatino Linotype" w:hAnsi="Palatino Linotype" w:cs="Palatino Linotype" w:eastAsia="Palatino Linotype"/>
          <w:sz w:val="21"/>
        </w:rPr>
        <w:t xml:space="preserve"> for aggregate AI-GPR and the eight event types, in the same order as the geopolitical panels of Fig. 1. Units are source-index points. Positive and negative values measure accelerations and decelerations, not necessarily increases and decreases in the index level. No cutoff is used to select observations.</w:t>
      </w:r>
    </w:p>
    <w:p>
      <w:pPr>
        <w:pStyle w:val="Heading1"/>
      </w:pPr>
      <w:r>
        <w:rPr>
          <w:rFonts w:ascii="Palatino Linotype" w:hAnsi="Palatino Linotype" w:cs="Palatino Linotype" w:eastAsia="Palatino Linotype"/>
          <w:sz w:val="30"/>
        </w:rPr>
        <w:t>4 Identification and econometric specification</w:t>
      </w:r>
    </w:p>
    <w:p>
      <w:pPr>
        <w:pStyle w:val="Heading2"/>
      </w:pPr>
      <w:r>
        <w:rPr>
          <w:rFonts w:ascii="Palatino Linotype" w:hAnsi="Palatino Linotype" w:cs="Palatino Linotype" w:eastAsia="Palatino Linotype"/>
          <w:sz w:val="26"/>
        </w:rPr>
        <w:t>4.1 Economic interpretation of the identifying variation</w:t>
      </w:r>
    </w:p>
    <w:p>
      <w:pPr>
        <w:spacing w:line="300" w:lineRule="auto" w:after="160"/>
        <w:jc w:val="both"/>
      </w:pPr>
      <w:r>
        <w:rPr>
          <w:rFonts w:ascii="Palatino Linotype" w:hAnsi="Palatino Linotype" w:cs="Palatino Linotype" w:eastAsia="Palatino Linotype"/>
          <w:sz w:val="24"/>
        </w:rPr>
        <w:t>The strategy identifies variation associated with changes in the geopolitical trajectory, conditional on the recent macroeconomic and geopolitical history. Its economic defense has two parts. First, routine monthly oil-price or activity innovations are less likely to generate abrupt shifts in strategic behavior than to co-move with gradual changes in geopolitical conditions. Second, the market-relevant geopolitical state carries the information that changes expectations and economic decisions. An escalation can alter expected activity, anticipated restrictions, precautionary demand, and risk compensation. These consequences are allowed by the model because they transmit the change in geopolitical conditions into prices.</w:t>
      </w:r>
    </w:p>
    <w:p>
      <w:pPr>
        <w:spacing w:line="300" w:lineRule="auto" w:after="160"/>
        <w:jc w:val="both"/>
      </w:pPr>
      <w:r>
        <w:rPr>
          <w:rFonts w:ascii="Palatino Linotype" w:hAnsi="Palatino Linotype" w:cs="Palatino Linotype" w:eastAsia="Palatino Linotype"/>
          <w:sz w:val="24"/>
        </w:rPr>
        <w:t>This interpretation is particularly relevant to a trade-war announcement or a sudden diplomatic rupture. The event changes the expected trajectory of the relationship and therefore the economic outlook associated with that relationship. The identifying claim is that the selected turning-point variation reaches oil prices through that change, including its consequences for expected demand and risk. The presence of an expectations channel is not evidence of an additional independent channel. What the exclusion restriction rules out is a component of the instrument that moves oil prices while bypassing the geopolitical state represented by the treatment.</w:t>
      </w:r>
    </w:p>
    <w:p>
      <w:pPr>
        <w:spacing w:line="300" w:lineRule="auto" w:after="160"/>
        <w:jc w:val="both"/>
      </w:pPr>
      <w:r>
        <w:rPr>
          <w:rFonts w:ascii="Palatino Linotype" w:hAnsi="Palatino Linotype" w:cs="Palatino Linotype" w:eastAsia="Palatino Linotype"/>
          <w:sz w:val="24"/>
        </w:rPr>
        <w:t>In the present global-risk application, let the event index proxy the market-relevant geopolitical state of its category. Conditional on the controls, its raw curvature must be orthogonal to oil-price innovations unrelated to the instrumented change in that state. This requirement is economically more demanding for some categories than others. Military events may simultaneously affect production facilities; news coverage may react to economic developments; several types of risk may move together. The joint model addresses observed co-movement among its three included states. It does not make every remaining geopolitical or measurement component disappear. The interpretation therefore remains category-specific, with the economic sufficiency of the measured state an explicit maintained assumption.</w:t>
      </w:r>
    </w:p>
    <w:p>
      <w:pPr>
        <w:spacing w:line="300" w:lineRule="auto" w:after="160"/>
        <w:jc w:val="both"/>
      </w:pPr>
      <w:r>
        <w:rPr>
          <w:rFonts w:ascii="Palatino Linotype" w:hAnsi="Palatino Linotype" w:cs="Palatino Linotype" w:eastAsia="Palatino Linotype"/>
          <w:sz w:val="24"/>
        </w:rPr>
        <w:t>The argument is about the source and transmission of variation, rather than a requirement that financial markets wait one full month before reacting. Markets may respond within the announcement month through the information conveyed about geopolitical conditions. Monthly observations cannot establish a finer within-month ordering. The timing diagnostics reported below investigate pre-event associations at the monthly frequency, while the exclusion restriction governs whether the instrument's contemporaneous and subsequent effects operate through the instrumented state. Filtering and timing evidence support this interpretation in different ways; neither is equated with a mathematical proof of the restriction.</w:t>
      </w:r>
    </w:p>
    <w:p>
      <w:pPr>
        <w:pStyle w:val="Heading2"/>
      </w:pPr>
      <w:r>
        <w:rPr>
          <w:rFonts w:ascii="Palatino Linotype" w:hAnsi="Palatino Linotype" w:cs="Palatino Linotype" w:eastAsia="Palatino Linotype"/>
          <w:sz w:val="26"/>
        </w:rPr>
        <w:t>4.2 Lag augmented local projections</w:t>
      </w:r>
    </w:p>
    <w:p>
      <w:pPr>
        <w:spacing w:line="300" w:lineRule="auto" w:after="160"/>
        <w:jc w:val="both"/>
      </w:pPr>
      <w:r>
        <w:rPr>
          <w:rFonts w:ascii="Palatino Linotype" w:hAnsi="Palatino Linotype" w:cs="Palatino Linotype" w:eastAsia="Palatino Linotype"/>
          <w:sz w:val="24"/>
        </w:rPr>
        <w:t xml:space="preserve">Let </w:t>
      </w:r>
      <m:oMath>
        <m:sSub>
          <m:e>
            <m:r>
              <m:t xml:space="preserve">p</m:t>
            </m:r>
          </m:e>
          <m:sub>
            <m:r>
              <m:t xml:space="preserve">t</m:t>
            </m:r>
          </m:sub>
        </m:sSub>
      </m:oMath>
      <w:r>
        <w:rPr>
          <w:rFonts w:ascii="Palatino Linotype" w:hAnsi="Palatino Linotype" w:cs="Palatino Linotype" w:eastAsia="Palatino Linotype"/>
          <w:sz w:val="24"/>
        </w:rPr>
        <w:t xml:space="preserve"> denote the log real oil price, </w:t>
      </w:r>
      <m:oMath>
        <m:sSub>
          <m:e>
            <m:r>
              <m:t xml:space="preserve">w</m:t>
            </m:r>
          </m:e>
          <m:sub>
            <m:r>
              <m:t xml:space="preserve">t</m:t>
            </m:r>
          </m:sub>
        </m:sSub>
      </m:oMath>
      <w:r>
        <w:rPr>
          <w:rFonts w:ascii="Palatino Linotype" w:hAnsi="Palatino Linotype" w:cs="Palatino Linotype" w:eastAsia="Palatino Linotype"/>
          <w:sz w:val="24"/>
        </w:rPr>
        <w:t xml:space="preserve"> log world industrial production, and </w:t>
      </w:r>
      <m:oMath>
        <m:sSub>
          <m:e>
            <m:r>
              <m:t xml:space="preserve">q</m:t>
            </m:r>
          </m:e>
          <m:sub>
            <m:r>
              <m:t xml:space="preserve">t</m:t>
            </m:r>
          </m:sub>
        </m:sSub>
        <m:r>
          <m:t xml:space="preserve">=</m:t>
        </m:r>
        <m:r>
          <m:t xml:space="preserve">Δ</m:t>
        </m:r>
        <m:r>
          <m:rPr>
            <m:sty m:val="p"/>
          </m:rPr>
          <m:t xml:space="preserve">ln</m:t>
        </m:r>
        <m:r>
          <m:t xml:space="preserve"> </m:t>
        </m:r>
        <m:sSub>
          <m:e>
            <m:r>
              <m:t xml:space="preserve">Q</m:t>
            </m:r>
          </m:e>
          <m:sub>
            <m:r>
              <m:t xml:space="preserve">t</m:t>
            </m:r>
          </m:sub>
        </m:sSub>
      </m:oMath>
      <w:r>
        <w:rPr>
          <w:rFonts w:ascii="Palatino Linotype" w:hAnsi="Palatino Linotype" w:cs="Palatino Linotype" w:eastAsia="Palatino Linotype"/>
          <w:sz w:val="24"/>
        </w:rPr>
        <w:t xml:space="preserve"> oil-production growth. For a single category, the outcome equation at horizon </w:t>
      </w:r>
      <m:oMath>
        <m:r>
          <m:t xml:space="preserve">h</m:t>
        </m:r>
      </m:oMath>
      <w:r>
        <w:rPr>
          <w:rFonts w:ascii="Palatino Linotype" w:hAnsi="Palatino Linotype" w:cs="Palatino Linotype" w:eastAsia="Palatino Linotype"/>
          <w:sz w:val="24"/>
        </w:rPr>
        <w:t xml:space="preserve"> is</w:t>
      </w:r>
    </w:p>
    <w:p>
      <w:pPr>
        <w:spacing w:before="120" w:after="160" w:line="300" w:lineRule="auto"/>
        <w:jc w:val="center"/>
      </w:pPr>
      <m:oMathPara>
        <m:oMath>
          <m:sSub>
            <m:e>
              <m:r>
                <m:t xml:space="preserve">p</m:t>
              </m:r>
            </m:e>
            <m:sub>
              <m:r>
                <m:t xml:space="preserve">t</m:t>
              </m:r>
              <m:r>
                <m:t xml:space="preserve">+</m:t>
              </m:r>
              <m:r>
                <m:t xml:space="preserve">h</m:t>
              </m:r>
            </m:sub>
          </m:sSub>
          <m:r>
            <m:t xml:space="preserve">=</m:t>
          </m:r>
          <m:sSub>
            <m:e>
              <m:r>
                <m:t xml:space="preserve">α</m:t>
              </m:r>
            </m:e>
            <m:sub>
              <m:r>
                <m:t xml:space="preserve">h</m:t>
              </m:r>
            </m:sub>
          </m:sSub>
          <m:r>
            <m:t xml:space="preserve">+</m:t>
          </m:r>
          <m:sSub>
            <m:e>
              <m:r>
                <m:t xml:space="preserve">β</m:t>
              </m:r>
            </m:e>
            <m:sub>
              <m:r>
                <m:t xml:space="preserve">j</m:t>
              </m:r>
              <m:r>
                <m:t xml:space="preserve">,</m:t>
              </m:r>
              <m:r>
                <m:t xml:space="preserve">h</m:t>
              </m:r>
            </m:sub>
          </m:sSub>
          <m:sSub>
            <m:e>
              <m:r>
                <m:t xml:space="preserve">x</m:t>
              </m:r>
            </m:e>
            <m:sub>
              <m:r>
                <m:t xml:space="preserve">j</m:t>
              </m:r>
              <m:r>
                <m:t xml:space="preserve">,</m:t>
              </m:r>
              <m:r>
                <m:t xml:space="preserve">t</m:t>
              </m:r>
            </m:sub>
          </m:sSub>
          <m:r>
            <m:t xml:space="preserve">+</m:t>
          </m:r>
          <m:sSubSup>
            <m:e>
              <m:r>
                <m:t xml:space="preserve">γ</m:t>
              </m:r>
            </m:e>
            <m:sub>
              <m:r>
                <m:t xml:space="preserve">h</m:t>
              </m:r>
            </m:sub>
            <m:sup>
              <m:r>
                <m:t xml:space="preserve">′</m:t>
              </m:r>
            </m:sup>
          </m:sSubSup>
          <m:sSub>
            <m:e>
              <m:r>
                <m:t xml:space="preserve">C</m:t>
              </m:r>
            </m:e>
            <m:sub>
              <m:r>
                <m:t xml:space="preserve">j</m:t>
              </m:r>
              <m:r>
                <m:t xml:space="preserve">,</m:t>
              </m:r>
              <m:r>
                <m:t xml:space="preserve">t</m:t>
              </m:r>
            </m:sub>
          </m:sSub>
          <m:r>
            <m:t xml:space="preserve">+</m:t>
          </m:r>
          <m:sSub>
            <m:e>
              <m:r>
                <m:t xml:space="preserve">u</m:t>
              </m:r>
            </m:e>
            <m:sub>
              <m:r>
                <m:t xml:space="preserve">t</m:t>
              </m:r>
              <m:r>
                <m:t xml:space="preserve">+</m:t>
              </m:r>
              <m:r>
                <m:t xml:space="preserve">h</m:t>
              </m:r>
            </m:sub>
          </m:sSub>
          <m:r>
            <m:t xml:space="preserve">,</m:t>
          </m:r>
          <m:r>
            <m:t xml:space="preserve">  </m:t>
          </m:r>
          <m:r>
            <m:t xml:space="preserve"> </m:t>
          </m:r>
          <m:r>
            <m:t xml:space="preserve">h</m:t>
          </m:r>
          <m:r>
            <m:t xml:space="preserve">=</m:t>
          </m:r>
          <m:r>
            <m:t xml:space="preserve">0</m:t>
          </m:r>
          <m:r>
            <m:t xml:space="preserve">,</m:t>
          </m:r>
          <m:r>
            <m:t xml:space="preserve">…</m:t>
          </m:r>
          <m:r>
            <m:t xml:space="preserve">,</m:t>
          </m:r>
          <m:r>
            <m:t xml:space="preserve">4</m:t>
          </m:r>
          <m:r>
            <m:t xml:space="preserve">8</m:t>
          </m:r>
        </m:oMath>
      </m:oMathPara>
      <w:r>
        <w:rPr>
          <w:rFonts w:ascii="Palatino Linotype" w:hAnsi="Palatino Linotype" w:cs="Palatino Linotype" w:eastAsia="Palatino Linotype"/>
          <w:sz w:val="24"/>
        </w:rPr>
        <w:t xml:space="preserve">   (2)</w:t>
      </w:r>
    </w:p>
    <w:p>
      <w:pPr>
        <w:spacing w:line="300" w:lineRule="auto" w:after="160"/>
        <w:jc w:val="both"/>
      </w:pPr>
      <w:r>
        <w:rPr>
          <w:rFonts w:ascii="Palatino Linotype" w:hAnsi="Palatino Linotype" w:cs="Palatino Linotype" w:eastAsia="Palatino Linotype"/>
          <w:sz w:val="24"/>
        </w:rPr>
        <w:t>The control vector is written explicitly to make the lag augmentation and information set unambiguous:</w:t>
      </w:r>
    </w:p>
    <w:p>
      <w:pPr>
        <w:spacing w:before="120" w:after="160" w:line="300" w:lineRule="auto"/>
        <w:jc w:val="center"/>
      </w:pPr>
      <m:oMathPara>
        <m:oMath>
          <m:sSub>
            <m:e>
              <m:r>
                <m:t xml:space="preserve">C</m:t>
              </m:r>
            </m:e>
            <m:sub>
              <m:r>
                <m:t xml:space="preserve">j</m:t>
              </m:r>
              <m:r>
                <m:t xml:space="preserve">,</m:t>
              </m:r>
              <m:r>
                <m:t xml:space="preserve">t</m:t>
              </m:r>
            </m:sub>
          </m:sSub>
          <m:r>
            <m:t xml:space="preserve">=</m:t>
          </m:r>
          <m:r>
            <m:t xml:space="preserve">(</m:t>
          </m:r>
          <m:sSub>
            <m:e>
              <m:r>
                <m:t xml:space="preserve">w</m:t>
              </m:r>
            </m:e>
            <m:sub>
              <m:r>
                <m:t xml:space="preserve">t</m:t>
              </m:r>
              <m:r>
                <m:t xml:space="preserve">−</m:t>
              </m:r>
              <m:r>
                <m:t xml:space="preserve">1</m:t>
              </m:r>
            </m:sub>
          </m:sSub>
          <m:r>
            <m:t xml:space="preserve">,</m:t>
          </m:r>
          <m:sSub>
            <m:e>
              <m:r>
                <m:t xml:space="preserve">w</m:t>
              </m:r>
            </m:e>
            <m:sub>
              <m:r>
                <m:t xml:space="preserve">t</m:t>
              </m:r>
              <m:r>
                <m:t xml:space="preserve">−</m:t>
              </m:r>
              <m:r>
                <m:t xml:space="preserve">2</m:t>
              </m:r>
            </m:sub>
          </m:sSub>
          <m:r>
            <m:t xml:space="preserve">,</m:t>
          </m:r>
          <m:sSub>
            <m:e>
              <m:r>
                <m:t xml:space="preserve">q</m:t>
              </m:r>
            </m:e>
            <m:sub>
              <m:r>
                <m:t xml:space="preserve">t</m:t>
              </m:r>
              <m:r>
                <m:t xml:space="preserve">−</m:t>
              </m:r>
              <m:r>
                <m:t xml:space="preserve">1</m:t>
              </m:r>
            </m:sub>
          </m:sSub>
          <m:r>
            <m:t xml:space="preserve">,</m:t>
          </m:r>
          <m:sSub>
            <m:e>
              <m:r>
                <m:t xml:space="preserve">q</m:t>
              </m:r>
            </m:e>
            <m:sub>
              <m:r>
                <m:t xml:space="preserve">t</m:t>
              </m:r>
              <m:r>
                <m:t xml:space="preserve">−</m:t>
              </m:r>
              <m:r>
                <m:t xml:space="preserve">2</m:t>
              </m:r>
            </m:sub>
          </m:sSub>
          <m:r>
            <m:t xml:space="preserve">,</m:t>
          </m:r>
          <m:sSub>
            <m:e>
              <m:r>
                <m:t xml:space="preserve">p</m:t>
              </m:r>
            </m:e>
            <m:sub>
              <m:r>
                <m:t xml:space="preserve">t</m:t>
              </m:r>
              <m:r>
                <m:t xml:space="preserve">−</m:t>
              </m:r>
              <m:r>
                <m:t xml:space="preserve">1</m:t>
              </m:r>
            </m:sub>
          </m:sSub>
          <m:r>
            <m:t xml:space="preserve">,</m:t>
          </m:r>
          <m:sSub>
            <m:e>
              <m:r>
                <m:t xml:space="preserve">p</m:t>
              </m:r>
            </m:e>
            <m:sub>
              <m:r>
                <m:t xml:space="preserve">t</m:t>
              </m:r>
              <m:r>
                <m:t xml:space="preserve">−</m:t>
              </m:r>
              <m:r>
                <m:t xml:space="preserve">2</m:t>
              </m:r>
            </m:sub>
          </m:sSub>
          <m:r>
            <m:t xml:space="preserve">,</m:t>
          </m:r>
          <m:sSub>
            <m:e>
              <m:r>
                <m:t xml:space="preserve">p</m:t>
              </m:r>
            </m:e>
            <m:sub>
              <m:r>
                <m:t xml:space="preserve">t</m:t>
              </m:r>
              <m:r>
                <m:t xml:space="preserve">−</m:t>
              </m:r>
              <m:r>
                <m:t xml:space="preserve">3</m:t>
              </m:r>
            </m:sub>
          </m:sSub>
          <m:r>
            <m:t xml:space="preserve">,</m:t>
          </m:r>
          <m:sSub>
            <m:e>
              <m:r>
                <m:t xml:space="preserve">x</m:t>
              </m:r>
            </m:e>
            <m:sub>
              <m:r>
                <m:t xml:space="preserve">j</m:t>
              </m:r>
              <m:r>
                <m:t xml:space="preserve">,</m:t>
              </m:r>
              <m:r>
                <m:t xml:space="preserve">t</m:t>
              </m:r>
              <m:r>
                <m:t xml:space="preserve">−</m:t>
              </m:r>
              <m:r>
                <m:t xml:space="preserve">1</m:t>
              </m:r>
            </m:sub>
          </m:sSub>
          <m:r>
            <m:t xml:space="preserve">,</m:t>
          </m:r>
          <m:sSub>
            <m:e>
              <m:r>
                <m:t xml:space="preserve">x</m:t>
              </m:r>
            </m:e>
            <m:sub>
              <m:r>
                <m:t xml:space="preserve">j</m:t>
              </m:r>
              <m:r>
                <m:t xml:space="preserve">,</m:t>
              </m:r>
              <m:r>
                <m:t xml:space="preserve">t</m:t>
              </m:r>
              <m:r>
                <m:t xml:space="preserve">−</m:t>
              </m:r>
              <m:r>
                <m:t xml:space="preserve">2</m:t>
              </m:r>
            </m:sub>
          </m:sSub>
          <m:sSup>
            <m:e>
              <m:r>
                <m:t xml:space="preserve">)</m:t>
              </m:r>
            </m:e>
            <m:sup>
              <m:r>
                <m:t xml:space="preserve">′</m:t>
              </m:r>
            </m:sup>
          </m:sSup>
        </m:oMath>
      </m:oMathPara>
      <w:r>
        <w:rPr>
          <w:rFonts w:ascii="Palatino Linotype" w:hAnsi="Palatino Linotype" w:cs="Palatino Linotype" w:eastAsia="Palatino Linotype"/>
          <w:sz w:val="24"/>
        </w:rPr>
        <w:t xml:space="preserve">   (3)</w:t>
      </w:r>
    </w:p>
    <w:p>
      <w:pPr>
        <w:spacing w:line="300" w:lineRule="auto" w:after="160"/>
        <w:jc w:val="both"/>
      </w:pPr>
      <w:r>
        <w:rPr>
          <w:rFonts w:ascii="Palatino Linotype" w:hAnsi="Palatino Linotype" w:cs="Palatino Linotype" w:eastAsia="Palatino Linotype"/>
          <w:sz w:val="24"/>
        </w:rPr>
        <w:t xml:space="preserve">The baseline therefore contains two lags of activity, production growth, and the geopolitical regressor, plus three oil-price lags. The third price lag is the augmentation. There is no contemporaneous production control in the baseline. The dependent variable is a future log-price level, not a cumulative sum of price changes. Holding the included lagged information fixed, </w:t>
      </w:r>
      <m:oMath>
        <m:sSub>
          <m:e>
            <m:r>
              <m:t xml:space="preserve">β</m:t>
            </m:r>
          </m:e>
          <m:sub>
            <m:r>
              <m:t xml:space="preserve">j</m:t>
            </m:r>
            <m:r>
              <m:t xml:space="preserve">,</m:t>
            </m:r>
            <m:r>
              <m:t xml:space="preserve">h</m:t>
            </m:r>
          </m:sub>
        </m:sSub>
      </m:oMath>
      <w:r>
        <w:rPr>
          <w:rFonts w:ascii="Palatino Linotype" w:hAnsi="Palatino Linotype" w:cs="Palatino Linotype" w:eastAsia="Palatino Linotype"/>
          <w:sz w:val="24"/>
        </w:rPr>
        <w:t xml:space="preserve"> describes the response to the current instrument-induced movement in the geopolitical regressor and the subsequent evolution associated with that movement.</w:t>
      </w:r>
    </w:p>
    <w:p>
      <w:pPr>
        <w:spacing w:line="300" w:lineRule="auto" w:after="160"/>
        <w:jc w:val="both"/>
      </w:pPr>
      <w:r>
        <w:rPr>
          <w:rFonts w:ascii="Palatino Linotype" w:hAnsi="Palatino Linotype" w:cs="Palatino Linotype" w:eastAsia="Palatino Linotype"/>
          <w:sz w:val="24"/>
        </w:rPr>
        <w:t>The first stage is re-estimated on the same complete observations as each horizon's outcome regression:</w:t>
      </w:r>
    </w:p>
    <w:p>
      <w:pPr>
        <w:spacing w:before="120" w:after="160" w:line="300" w:lineRule="auto"/>
        <w:jc w:val="center"/>
      </w:pPr>
      <m:oMathPara>
        <m:oMath>
          <m:sSub>
            <m:e>
              <m:r>
                <m:t xml:space="preserve">x</m:t>
              </m:r>
            </m:e>
            <m:sub>
              <m:r>
                <m:t xml:space="preserve">j</m:t>
              </m:r>
              <m:r>
                <m:t xml:space="preserve">,</m:t>
              </m:r>
              <m:r>
                <m:t xml:space="preserve">t</m:t>
              </m:r>
            </m:sub>
          </m:sSub>
          <m:r>
            <m:t xml:space="preserve">=</m:t>
          </m:r>
          <m:sSub>
            <m:e>
              <m:r>
                <m:t xml:space="preserve">a</m:t>
              </m:r>
            </m:e>
            <m:sub>
              <m:r>
                <m:t xml:space="preserve">j</m:t>
              </m:r>
              <m:r>
                <m:t xml:space="preserve">,</m:t>
              </m:r>
              <m:r>
                <m:t xml:space="preserve">h</m:t>
              </m:r>
            </m:sub>
          </m:sSub>
          <m:r>
            <m:t xml:space="preserve">+</m:t>
          </m:r>
          <m:sSub>
            <m:e>
              <m:r>
                <m:t xml:space="preserve">π</m:t>
              </m:r>
            </m:e>
            <m:sub>
              <m:r>
                <m:t xml:space="preserve">j</m:t>
              </m:r>
              <m:r>
                <m:t xml:space="preserve">,</m:t>
              </m:r>
              <m:r>
                <m:t xml:space="preserve">h</m:t>
              </m:r>
            </m:sub>
          </m:sSub>
          <m:sSub>
            <m:e>
              <m:r>
                <m:t xml:space="preserve">Z</m:t>
              </m:r>
            </m:e>
            <m:sub>
              <m:r>
                <m:t xml:space="preserve">j</m:t>
              </m:r>
              <m:r>
                <m:t xml:space="preserve">,</m:t>
              </m:r>
              <m:r>
                <m:t xml:space="preserve">t</m:t>
              </m:r>
            </m:sub>
          </m:sSub>
          <m:r>
            <m:t xml:space="preserve">+</m:t>
          </m:r>
          <m:sSubSup>
            <m:e>
              <m:r>
                <m:t xml:space="preserve">λ</m:t>
              </m:r>
            </m:e>
            <m:sub>
              <m:r>
                <m:t xml:space="preserve">j</m:t>
              </m:r>
              <m:r>
                <m:t xml:space="preserve">,</m:t>
              </m:r>
              <m:r>
                <m:t xml:space="preserve">h</m:t>
              </m:r>
            </m:sub>
            <m:sup>
              <m:r>
                <m:t xml:space="preserve">′</m:t>
              </m:r>
            </m:sup>
          </m:sSubSup>
          <m:sSub>
            <m:e>
              <m:r>
                <m:t xml:space="preserve">C</m:t>
              </m:r>
            </m:e>
            <m:sub>
              <m:r>
                <m:t xml:space="preserve">j</m:t>
              </m:r>
              <m:r>
                <m:t xml:space="preserve">,</m:t>
              </m:r>
              <m:r>
                <m:t xml:space="preserve">t</m:t>
              </m:r>
            </m:sub>
          </m:sSub>
          <m:r>
            <m:t xml:space="preserve">+</m:t>
          </m:r>
          <m:sSub>
            <m:e>
              <m:r>
                <m:t xml:space="preserve">v</m:t>
              </m:r>
            </m:e>
            <m:sub>
              <m:r>
                <m:t xml:space="preserve">j</m:t>
              </m:r>
              <m:r>
                <m:t xml:space="preserve">,</m:t>
              </m:r>
              <m:r>
                <m:t xml:space="preserve">t</m:t>
              </m:r>
            </m:sub>
          </m:sSub>
        </m:oMath>
      </m:oMathPara>
      <w:r>
        <w:rPr>
          <w:rFonts w:ascii="Palatino Linotype" w:hAnsi="Palatino Linotype" w:cs="Palatino Linotype" w:eastAsia="Palatino Linotype"/>
          <w:sz w:val="24"/>
        </w:rPr>
        <w:t xml:space="preserve">   (4)</w:t>
      </w:r>
    </w:p>
    <w:p>
      <w:pPr>
        <w:spacing w:line="300" w:lineRule="auto" w:after="160"/>
        <w:jc w:val="both"/>
      </w:pPr>
      <w:r>
        <w:rPr>
          <w:rFonts w:ascii="Palatino Linotype" w:hAnsi="Palatino Linotype" w:cs="Palatino Linotype" w:eastAsia="Palatino Linotype"/>
          <w:sz w:val="24"/>
        </w:rPr>
        <w:t>A tilde denotes the residual from projection on the constant and controls. The scalar IV coefficient and identifying moment are</w:t>
      </w:r>
    </w:p>
    <w:p>
      <w:pPr>
        <w:spacing w:before="120" w:after="160" w:line="300" w:lineRule="auto"/>
        <w:jc w:val="center"/>
      </w:pPr>
      <m:oMathPara>
        <m:oMath>
          <m:sSubSup>
            <m:e>
              <m:r>
                <m:t xml:space="preserve">β</m:t>
              </m:r>
            </m:e>
            <m:sub>
              <m:r>
                <m:t xml:space="preserve">j</m:t>
              </m:r>
              <m:r>
                <m:t xml:space="preserve">,</m:t>
              </m:r>
              <m:r>
                <m:t xml:space="preserve">h</m:t>
              </m:r>
            </m:sub>
            <m:sup>
              <m:r>
                <m:t xml:space="preserve">I</m:t>
              </m:r>
              <m:r>
                <m:t xml:space="preserve">V</m:t>
              </m:r>
            </m:sup>
          </m:sSubSup>
          <m:r>
            <m:t xml:space="preserve">=</m:t>
          </m:r>
          <m:f>
            <m:num>
              <m:r>
                <m:t xml:space="preserve">E</m:t>
              </m:r>
              <m:r>
                <m:t xml:space="preserve">[</m:t>
              </m:r>
              <m:sSub>
                <m:e>
                  <m:acc>
                    <m:accPr>
                      <m:chr m:val="̃"/>
                    </m:accPr>
                    <m:e>
                      <m:r>
                        <m:t xml:space="preserve">Z</m:t>
                      </m:r>
                    </m:e>
                  </m:acc>
                </m:e>
                <m:sub>
                  <m:r>
                    <m:t xml:space="preserve">j</m:t>
                  </m:r>
                  <m:r>
                    <m:t xml:space="preserve">,</m:t>
                  </m:r>
                  <m:r>
                    <m:t xml:space="preserve">t</m:t>
                  </m:r>
                </m:sub>
              </m:sSub>
              <m:sSub>
                <m:e>
                  <m:acc>
                    <m:accPr>
                      <m:chr m:val="̃"/>
                    </m:accPr>
                    <m:e>
                      <m:r>
                        <m:t xml:space="preserve">p</m:t>
                      </m:r>
                    </m:e>
                  </m:acc>
                </m:e>
                <m:sub>
                  <m:r>
                    <m:t xml:space="preserve">t</m:t>
                  </m:r>
                  <m:r>
                    <m:t xml:space="preserve">+</m:t>
                  </m:r>
                  <m:r>
                    <m:t xml:space="preserve">h</m:t>
                  </m:r>
                </m:sub>
              </m:sSub>
              <m:r>
                <m:t xml:space="preserve">]</m:t>
              </m:r>
            </m:num>
            <m:den>
              <m:r>
                <m:t xml:space="preserve">E</m:t>
              </m:r>
              <m:r>
                <m:t xml:space="preserve">[</m:t>
              </m:r>
              <m:sSub>
                <m:e>
                  <m:acc>
                    <m:accPr>
                      <m:chr m:val="̃"/>
                    </m:accPr>
                    <m:e>
                      <m:r>
                        <m:t xml:space="preserve">Z</m:t>
                      </m:r>
                    </m:e>
                  </m:acc>
                </m:e>
                <m:sub>
                  <m:r>
                    <m:t xml:space="preserve">j</m:t>
                  </m:r>
                  <m:r>
                    <m:t xml:space="preserve">,</m:t>
                  </m:r>
                  <m:r>
                    <m:t xml:space="preserve">t</m:t>
                  </m:r>
                </m:sub>
              </m:sSub>
              <m:sSub>
                <m:e>
                  <m:acc>
                    <m:accPr>
                      <m:chr m:val="̃"/>
                    </m:accPr>
                    <m:e>
                      <m:r>
                        <m:t xml:space="preserve">x</m:t>
                      </m:r>
                    </m:e>
                  </m:acc>
                </m:e>
                <m:sub>
                  <m:r>
                    <m:t xml:space="preserve">j</m:t>
                  </m:r>
                  <m:r>
                    <m:t xml:space="preserve">,</m:t>
                  </m:r>
                  <m:r>
                    <m:t xml:space="preserve">t</m:t>
                  </m:r>
                </m:sub>
              </m:sSub>
              <m:r>
                <m:t xml:space="preserve">]</m:t>
              </m:r>
            </m:den>
          </m:f>
          <m:r>
            <m:t xml:space="preserve">,</m:t>
          </m:r>
          <m:r>
            <m:t xml:space="preserve">    </m:t>
          </m:r>
          <m:r>
            <m:t xml:space="preserve"> </m:t>
          </m:r>
          <m:r>
            <m:t xml:space="preserve">E</m:t>
          </m:r>
          <m:r>
            <m:t xml:space="preserve">[</m:t>
          </m:r>
          <m:sSub>
            <m:e>
              <m:acc>
                <m:accPr>
                  <m:chr m:val="̃"/>
                </m:accPr>
                <m:e>
                  <m:r>
                    <m:t xml:space="preserve">Z</m:t>
                  </m:r>
                </m:e>
              </m:acc>
            </m:e>
            <m:sub>
              <m:r>
                <m:t xml:space="preserve">j</m:t>
              </m:r>
              <m:r>
                <m:t xml:space="preserve">,</m:t>
              </m:r>
              <m:r>
                <m:t xml:space="preserve">t</m:t>
              </m:r>
            </m:sub>
          </m:sSub>
          <m:sSub>
            <m:e>
              <m:r>
                <m:t xml:space="preserve">u</m:t>
              </m:r>
            </m:e>
            <m:sub>
              <m:r>
                <m:t xml:space="preserve">t</m:t>
              </m:r>
              <m:r>
                <m:t xml:space="preserve">+</m:t>
              </m:r>
              <m:r>
                <m:t xml:space="preserve">h</m:t>
              </m:r>
            </m:sub>
          </m:sSub>
          <m:r>
            <m:t xml:space="preserve">]</m:t>
          </m:r>
          <m:r>
            <m:t xml:space="preserve">=</m:t>
          </m:r>
          <m:r>
            <m:t xml:space="preserve">0</m:t>
          </m:r>
        </m:oMath>
      </m:oMathPara>
      <w:r>
        <w:rPr>
          <w:rFonts w:ascii="Palatino Linotype" w:hAnsi="Palatino Linotype" w:cs="Palatino Linotype" w:eastAsia="Palatino Linotype"/>
          <w:sz w:val="24"/>
        </w:rPr>
        <w:t xml:space="preserve">   (5)</w:t>
      </w:r>
    </w:p>
    <w:p>
      <w:pPr>
        <w:spacing w:line="300" w:lineRule="auto" w:after="160"/>
        <w:jc w:val="both"/>
      </w:pPr>
      <w:r>
        <w:rPr>
          <w:rFonts w:ascii="Palatino Linotype" w:hAnsi="Palatino Linotype" w:cs="Palatino Linotype" w:eastAsia="Palatino Linotype"/>
          <w:sz w:val="24"/>
        </w:rPr>
        <w:t>The denominator must be nonzero. The numerator incorporates all economic responses allowed to follow from the instrumented geopolitical variation. If effects are heterogeneous, the coefficient is local to the variation weighted by the instrument and included controls. It need not equal the average effect of every geopolitical event. This is an instrument-specific local causal interpretation; the binary-treatment complier definition of LATE does not apply automatically to a continuous news index without additional assumptions about heterogeneity and the first stage.</w:t>
      </w:r>
    </w:p>
    <w:p>
      <w:pPr>
        <w:spacing w:line="300" w:lineRule="auto" w:after="160"/>
        <w:jc w:val="both"/>
      </w:pPr>
      <w:r>
        <w:rPr>
          <w:rFonts w:ascii="Palatino Linotype" w:hAnsi="Palatino Linotype" w:cs="Palatino Linotype" w:eastAsia="Palatino Linotype"/>
          <w:sz w:val="24"/>
        </w:rPr>
        <w:t xml:space="preserve">For the joint model, </w:t>
      </w:r>
      <m:oMath>
        <m:sSub>
          <m:e>
            <m:r>
              <m:t xml:space="preserve">X</m:t>
            </m:r>
          </m:e>
          <m:sub>
            <m:r>
              <m:t xml:space="preserve">t</m:t>
            </m:r>
          </m:sub>
        </m:sSub>
      </m:oMath>
      <w:r>
        <w:rPr>
          <w:rFonts w:ascii="Palatino Linotype" w:hAnsi="Palatino Linotype" w:cs="Palatino Linotype" w:eastAsia="Palatino Linotype"/>
          <w:sz w:val="24"/>
        </w:rPr>
        <w:t xml:space="preserve"> stacks military conflict, diplomatic tension, and nuclear threat, each transformed by </w:t>
      </w:r>
      <m:oMath>
        <m:r>
          <m:rPr>
            <m:sty m:val="p"/>
          </m:rPr>
          <m:t xml:space="preserve">ln</m:t>
        </m:r>
        <m:r>
          <m:t xml:space="preserve">(</m:t>
        </m:r>
        <m:r>
          <m:t xml:space="preserve">1</m:t>
        </m:r>
        <m:r>
          <m:t xml:space="preserve">+</m:t>
        </m:r>
        <m:r>
          <m:t xml:space="preserve">G</m:t>
        </m:r>
        <m:r>
          <m:t xml:space="preserve">)</m:t>
        </m:r>
      </m:oMath>
      <w:r>
        <w:rPr>
          <w:rFonts w:ascii="Palatino Linotype" w:hAnsi="Palatino Linotype" w:cs="Palatino Linotype" w:eastAsia="Palatino Linotype"/>
          <w:sz w:val="24"/>
        </w:rPr>
        <w:t xml:space="preserve">. The three corresponding raw second differences form </w:t>
      </w:r>
      <m:oMath>
        <m:sSub>
          <m:e>
            <m:r>
              <m:t xml:space="preserve">Z</m:t>
            </m:r>
          </m:e>
          <m:sub>
            <m:r>
              <m:t xml:space="preserve">t</m:t>
            </m:r>
          </m:sub>
        </m:sSub>
      </m:oMath>
      <w:r>
        <w:rPr>
          <w:rFonts w:ascii="Palatino Linotype" w:hAnsi="Palatino Linotype" w:cs="Palatino Linotype" w:eastAsia="Palatino Linotype"/>
          <w:sz w:val="24"/>
        </w:rPr>
        <w:t xml:space="preserve">. The control vector </w:t>
      </w:r>
      <m:oMath>
        <m:sSub>
          <m:e>
            <m:r>
              <m:t xml:space="preserve">C</m:t>
            </m:r>
          </m:e>
          <m:sub>
            <m:r>
              <m:t xml:space="preserve">t</m:t>
            </m:r>
          </m:sub>
        </m:sSub>
      </m:oMath>
      <w:r>
        <w:rPr>
          <w:rFonts w:ascii="Palatino Linotype" w:hAnsi="Palatino Linotype" w:cs="Palatino Linotype" w:eastAsia="Palatino Linotype"/>
          <w:sz w:val="24"/>
        </w:rPr>
        <w:t xml:space="preserve"> contains two lags of every included geopolitical regressor and the same oil-fundamental and price lags:</w:t>
      </w:r>
    </w:p>
    <w:p>
      <w:pPr>
        <w:spacing w:before="120" w:after="160" w:line="300" w:lineRule="auto"/>
        <w:jc w:val="center"/>
      </w:pPr>
      <m:oMathPara>
        <m:oMath>
          <m:sSub>
            <m:e>
              <m:r>
                <m:t xml:space="preserve">p</m:t>
              </m:r>
            </m:e>
            <m:sub>
              <m:r>
                <m:t xml:space="preserve">t</m:t>
              </m:r>
              <m:r>
                <m:t xml:space="preserve">+</m:t>
              </m:r>
              <m:r>
                <m:t xml:space="preserve">h</m:t>
              </m:r>
            </m:sub>
          </m:sSub>
          <m:r>
            <m:t xml:space="preserve">=</m:t>
          </m:r>
          <m:sSub>
            <m:e>
              <m:r>
                <m:t xml:space="preserve">α</m:t>
              </m:r>
            </m:e>
            <m:sub>
              <m:r>
                <m:t xml:space="preserve">h</m:t>
              </m:r>
            </m:sub>
          </m:sSub>
          <m:r>
            <m:t xml:space="preserve">+</m:t>
          </m:r>
          <m:sSubSup>
            <m:e>
              <m:r>
                <m:t xml:space="preserve">B</m:t>
              </m:r>
            </m:e>
            <m:sub>
              <m:r>
                <m:t xml:space="preserve">h</m:t>
              </m:r>
            </m:sub>
            <m:sup>
              <m:r>
                <m:t xml:space="preserve">′</m:t>
              </m:r>
            </m:sup>
          </m:sSubSup>
          <m:sSub>
            <m:e>
              <m:r>
                <m:t xml:space="preserve">X</m:t>
              </m:r>
            </m:e>
            <m:sub>
              <m:r>
                <m:t xml:space="preserve">t</m:t>
              </m:r>
            </m:sub>
          </m:sSub>
          <m:r>
            <m:t xml:space="preserve">+</m:t>
          </m:r>
          <m:sSubSup>
            <m:e>
              <m:r>
                <m:t xml:space="preserve">Γ</m:t>
              </m:r>
            </m:e>
            <m:sub>
              <m:r>
                <m:t xml:space="preserve">h</m:t>
              </m:r>
            </m:sub>
            <m:sup>
              <m:r>
                <m:t xml:space="preserve">′</m:t>
              </m:r>
            </m:sup>
          </m:sSubSup>
          <m:sSub>
            <m:e>
              <m:r>
                <m:t xml:space="preserve">C</m:t>
              </m:r>
            </m:e>
            <m:sub>
              <m:r>
                <m:t xml:space="preserve">t</m:t>
              </m:r>
            </m:sub>
          </m:sSub>
          <m:r>
            <m:t xml:space="preserve">+</m:t>
          </m:r>
          <m:sSub>
            <m:e>
              <m:r>
                <m:t xml:space="preserve">u</m:t>
              </m:r>
            </m:e>
            <m:sub>
              <m:r>
                <m:t xml:space="preserve">t</m:t>
              </m:r>
              <m:r>
                <m:t xml:space="preserve">+</m:t>
              </m:r>
              <m:r>
                <m:t xml:space="preserve">h</m:t>
              </m:r>
            </m:sub>
          </m:sSub>
          <m:r>
            <m:t xml:space="preserve">,</m:t>
          </m:r>
          <m:r>
            <m:t xml:space="preserve">    </m:t>
          </m:r>
          <m:r>
            <m:t xml:space="preserve"> </m:t>
          </m:r>
          <m:r>
            <m:t xml:space="preserve">E</m:t>
          </m:r>
          <m:r>
            <m:t xml:space="preserve">[</m:t>
          </m:r>
          <m:sSub>
            <m:e>
              <m:acc>
                <m:accPr>
                  <m:chr m:val="̃"/>
                </m:accPr>
                <m:e>
                  <m:r>
                    <m:t xml:space="preserve">Z</m:t>
                  </m:r>
                </m:e>
              </m:acc>
            </m:e>
            <m:sub>
              <m:r>
                <m:t xml:space="preserve">t</m:t>
              </m:r>
            </m:sub>
          </m:sSub>
          <m:sSub>
            <m:e>
              <m:r>
                <m:t xml:space="preserve">u</m:t>
              </m:r>
            </m:e>
            <m:sub>
              <m:r>
                <m:t xml:space="preserve">t</m:t>
              </m:r>
              <m:r>
                <m:t xml:space="preserve">+</m:t>
              </m:r>
              <m:r>
                <m:t xml:space="preserve">h</m:t>
              </m:r>
            </m:sub>
          </m:sSub>
          <m:r>
            <m:t xml:space="preserve">]</m:t>
          </m:r>
          <m:r>
            <m:t xml:space="preserve">=</m:t>
          </m:r>
          <m:r>
            <m:t xml:space="preserve">0</m:t>
          </m:r>
        </m:oMath>
      </m:oMathPara>
      <w:r>
        <w:rPr>
          <w:rFonts w:ascii="Palatino Linotype" w:hAnsi="Palatino Linotype" w:cs="Palatino Linotype" w:eastAsia="Palatino Linotype"/>
          <w:sz w:val="24"/>
        </w:rPr>
        <w:t xml:space="preserve">   (6)</w:t>
      </w:r>
    </w:p>
    <w:p>
      <w:pPr>
        <w:spacing w:line="300" w:lineRule="auto" w:after="160"/>
        <w:jc w:val="both"/>
      </w:pPr>
      <w:r>
        <w:rPr>
          <w:rFonts w:ascii="Palatino Linotype" w:hAnsi="Palatino Linotype" w:cs="Palatino Linotype" w:eastAsia="Palatino Linotype"/>
          <w:sz w:val="24"/>
        </w:rPr>
        <w:t>All three current category variables are treated as endogenous and instrumented jointly. Identification requires the residualized instrument–regressor covariance matrix to have full rank. Both the scalar and joint models are exactly identified, so an overidentification test is unavailable. Single-category estimates condition on their own history but do not hold other current categories fixed; joint estimates do. They therefore answer related but distinct questions.</w:t>
      </w:r>
    </w:p>
    <w:p>
      <w:pPr>
        <w:spacing w:line="300" w:lineRule="auto" w:after="160"/>
        <w:jc w:val="both"/>
      </w:pPr>
      <w:r>
        <w:rPr>
          <w:rFonts w:ascii="Palatino Linotype" w:hAnsi="Palatino Linotype" w:cs="Palatino Linotype" w:eastAsia="Palatino Linotype"/>
          <w:sz w:val="24"/>
        </w:rPr>
        <w:t xml:space="preserve">To compare magnitudes transparently, the figures report responses to a 10% increase in one plus the source index. This corresponds to an increase of </w:t>
      </w:r>
      <m:oMath>
        <m:r>
          <m:rPr>
            <m:sty m:val="p"/>
          </m:rPr>
          <m:t xml:space="preserve">ln</m:t>
        </m:r>
        <m:r>
          <m:t xml:space="preserve">(</m:t>
        </m:r>
        <m:r>
          <m:t xml:space="preserve">1</m:t>
        </m:r>
        <m:r>
          <m:t xml:space="preserve">.</m:t>
        </m:r>
        <m:r>
          <m:t xml:space="preserve">1</m:t>
        </m:r>
        <m:r>
          <m:t xml:space="preserve">0</m:t>
        </m:r>
        <m:r>
          <m:t xml:space="preserve">)</m:t>
        </m:r>
      </m:oMath>
      <w:r>
        <w:rPr>
          <w:rFonts w:ascii="Palatino Linotype" w:hAnsi="Palatino Linotype" w:cs="Palatino Linotype" w:eastAsia="Palatino Linotype"/>
          <w:sz w:val="24"/>
        </w:rPr>
        <w:t xml:space="preserve"> in the endogenous regressor. Figure units are log points multiplied by 100. Exact percentage changes in the geometric price response are reported in the main results table:</w:t>
      </w:r>
    </w:p>
    <w:p>
      <w:pPr>
        <w:spacing w:before="120" w:after="160" w:line="300" w:lineRule="auto"/>
        <w:jc w:val="center"/>
      </w:pPr>
      <m:oMathPara>
        <m:oMath>
          <m:sSub>
            <m:e>
              <m:r>
                <m:t xml:space="preserve">r</m:t>
              </m:r>
            </m:e>
            <m:sub>
              <m:r>
                <m:t xml:space="preserve">j</m:t>
              </m:r>
              <m:r>
                <m:t xml:space="preserve">,</m:t>
              </m:r>
              <m:r>
                <m:t xml:space="preserve">h</m:t>
              </m:r>
            </m:sub>
          </m:sSub>
          <m:r>
            <m:t xml:space="preserve">=</m:t>
          </m:r>
          <m:r>
            <m:t xml:space="preserve">1</m:t>
          </m:r>
          <m:r>
            <m:t xml:space="preserve">0</m:t>
          </m:r>
          <m:r>
            <m:t xml:space="preserve">0</m:t>
          </m:r>
          <m:sSub>
            <m:e>
              <m:r>
                <m:t xml:space="preserve">β</m:t>
              </m:r>
            </m:e>
            <m:sub>
              <m:r>
                <m:t xml:space="preserve">j</m:t>
              </m:r>
              <m:r>
                <m:t xml:space="preserve">,</m:t>
              </m:r>
              <m:r>
                <m:t xml:space="preserve">h</m:t>
              </m:r>
            </m:sub>
          </m:sSub>
          <m:r>
            <m:rPr>
              <m:sty m:val="p"/>
            </m:rPr>
            <m:t xml:space="preserve">ln</m:t>
          </m:r>
          <m:r>
            <m:t xml:space="preserve">(</m:t>
          </m:r>
          <m:r>
            <m:t xml:space="preserve">1</m:t>
          </m:r>
          <m:r>
            <m:t xml:space="preserve">.</m:t>
          </m:r>
          <m:r>
            <m:t xml:space="preserve">1</m:t>
          </m:r>
          <m:r>
            <m:t xml:space="preserve">0</m:t>
          </m:r>
          <m:r>
            <m:t xml:space="preserve">)</m:t>
          </m:r>
          <m:r>
            <m:t xml:space="preserve">,</m:t>
          </m:r>
          <m:r>
            <m:t xml:space="preserve">    </m:t>
          </m:r>
          <m:r>
            <m:t xml:space="preserve"> </m:t>
          </m:r>
          <m:sSub>
            <m:e>
              <m:r>
                <m:t xml:space="preserve">e</m:t>
              </m:r>
            </m:e>
            <m:sub>
              <m:r>
                <m:t xml:space="preserve">j</m:t>
              </m:r>
              <m:r>
                <m:t xml:space="preserve">,</m:t>
              </m:r>
              <m:r>
                <m:t xml:space="preserve">h</m:t>
              </m:r>
            </m:sub>
          </m:sSub>
          <m:r>
            <m:t xml:space="preserve">=</m:t>
          </m:r>
          <m:r>
            <m:t xml:space="preserve">1</m:t>
          </m:r>
          <m:r>
            <m:t xml:space="preserve">0</m:t>
          </m:r>
          <m:r>
            <m:t xml:space="preserve">0</m:t>
          </m:r>
          <m:r>
            <m:t xml:space="preserve">[</m:t>
          </m:r>
          <m:r>
            <m:rPr>
              <m:sty m:val="p"/>
            </m:rPr>
            <m:t xml:space="preserve">exp</m:t>
          </m:r>
          <m:r>
            <m:t xml:space="preserve">{</m:t>
          </m:r>
          <m:sSub>
            <m:e>
              <m:r>
                <m:t xml:space="preserve">β</m:t>
              </m:r>
            </m:e>
            <m:sub>
              <m:r>
                <m:t xml:space="preserve">j</m:t>
              </m:r>
              <m:r>
                <m:t xml:space="preserve">,</m:t>
              </m:r>
              <m:r>
                <m:t xml:space="preserve">h</m:t>
              </m:r>
            </m:sub>
          </m:sSub>
          <m:r>
            <m:rPr>
              <m:sty m:val="p"/>
            </m:rPr>
            <m:t xml:space="preserve">ln</m:t>
          </m:r>
          <m:r>
            <m:t xml:space="preserve">(</m:t>
          </m:r>
          <m:r>
            <m:t xml:space="preserve">1</m:t>
          </m:r>
          <m:r>
            <m:t xml:space="preserve">.</m:t>
          </m:r>
          <m:r>
            <m:t xml:space="preserve">1</m:t>
          </m:r>
          <m:r>
            <m:t xml:space="preserve">0</m:t>
          </m:r>
          <m:r>
            <m:t xml:space="preserve">)</m:t>
          </m:r>
          <m:r>
            <m:t xml:space="preserve">}</m:t>
          </m:r>
          <m:r>
            <m:t xml:space="preserve">−</m:t>
          </m:r>
          <m:r>
            <m:t xml:space="preserve">1</m:t>
          </m:r>
          <m:r>
            <m:t xml:space="preserve">]</m:t>
          </m:r>
        </m:oMath>
      </m:oMathPara>
      <w:r>
        <w:rPr>
          <w:rFonts w:ascii="Palatino Linotype" w:hAnsi="Palatino Linotype" w:cs="Palatino Linotype" w:eastAsia="Palatino Linotype"/>
          <w:sz w:val="24"/>
        </w:rPr>
        <w:t xml:space="preserve">   (7)</w:t>
      </w:r>
    </w:p>
    <w:p>
      <w:pPr>
        <w:spacing w:line="300" w:lineRule="auto" w:after="160"/>
        <w:jc w:val="both"/>
      </w:pPr>
      <w:r>
        <w:rPr>
          <w:rFonts w:ascii="Palatino Linotype" w:hAnsi="Palatino Linotype" w:cs="Palatino Linotype" w:eastAsia="Palatino Linotype"/>
          <w:sz w:val="24"/>
        </w:rPr>
        <w:t>This normalization is not a one-standard-deviation shock and does not imply equal physical severity across categories. When an index is near zero, a 10% increase in one plus that index differs materially from a 10% increase in the index itself. The distinction is retained in every figure note and in the interpretation of coefficient-equality tests.</w:t>
      </w:r>
    </w:p>
    <w:p>
      <w:pPr>
        <w:pStyle w:val="Heading2"/>
      </w:pPr>
      <w:r>
        <w:rPr>
          <w:rFonts w:ascii="Palatino Linotype" w:hAnsi="Palatino Linotype" w:cs="Palatino Linotype" w:eastAsia="Palatino Linotype"/>
          <w:sz w:val="26"/>
        </w:rPr>
        <w:t>4.3 Anticipation and statistical inference</w:t>
      </w:r>
    </w:p>
    <w:p>
      <w:pPr>
        <w:spacing w:line="300" w:lineRule="auto" w:after="160"/>
        <w:jc w:val="both"/>
      </w:pPr>
      <w:r>
        <w:rPr>
          <w:rFonts w:ascii="Palatino Linotype" w:hAnsi="Palatino Linotype" w:cs="Palatino Linotype" w:eastAsia="Palatino Linotype"/>
          <w:sz w:val="24"/>
        </w:rPr>
        <w:t xml:space="preserve">The anticipation exercise fixes the turning-point regressor at </w:t>
      </w:r>
      <m:oMath>
        <m:r>
          <m:t xml:space="preserve">t</m:t>
        </m:r>
        <m:r>
          <m:t xml:space="preserve">+</m:t>
        </m:r>
        <m:r>
          <m:t xml:space="preserve">2</m:t>
        </m:r>
      </m:oMath>
      <w:r>
        <w:rPr>
          <w:rFonts w:ascii="Palatino Linotype" w:hAnsi="Palatino Linotype" w:cs="Palatino Linotype" w:eastAsia="Palatino Linotype"/>
          <w:sz w:val="24"/>
        </w:rPr>
        <w:t xml:space="preserve"> and examines oil prices at </w:t>
      </w:r>
      <m:oMath>
        <m:r>
          <m:t xml:space="preserve">t</m:t>
        </m:r>
      </m:oMath>
      <w:r>
        <w:rPr>
          <w:rFonts w:ascii="Palatino Linotype" w:hAnsi="Palatino Linotype" w:cs="Palatino Linotype" w:eastAsia="Palatino Linotype"/>
          <w:sz w:val="24"/>
        </w:rPr>
        <w:t xml:space="preserve"> and </w:t>
      </w:r>
      <m:oMath>
        <m:r>
          <m:t xml:space="preserve">t</m:t>
        </m:r>
        <m:r>
          <m:t xml:space="preserve">+</m:t>
        </m:r>
        <m:r>
          <m:t xml:space="preserve">1</m:t>
        </m:r>
      </m:oMath>
      <w:r>
        <w:rPr>
          <w:rFonts w:ascii="Palatino Linotype" w:hAnsi="Palatino Linotype" w:cs="Palatino Linotype" w:eastAsia="Palatino Linotype"/>
          <w:sz w:val="24"/>
        </w:rPr>
        <w:t>. For each category, and for the joint set, the reduced-form placebo equation is</w:t>
      </w:r>
    </w:p>
    <w:p>
      <w:pPr>
        <w:spacing w:before="120" w:after="160" w:line="300" w:lineRule="auto"/>
        <w:jc w:val="center"/>
      </w:pPr>
      <m:oMathPara>
        <m:oMath>
          <m:sSub>
            <m:e>
              <m:r>
                <m:t xml:space="preserve">p</m:t>
              </m:r>
            </m:e>
            <m:sub>
              <m:r>
                <m:t xml:space="preserve">t</m:t>
              </m:r>
              <m:r>
                <m:t xml:space="preserve">+</m:t>
              </m:r>
              <m:r>
                <m:t xml:space="preserve">h</m:t>
              </m:r>
            </m:sub>
          </m:sSub>
          <m:r>
            <m:t xml:space="preserve">=</m:t>
          </m:r>
          <m:sSub>
            <m:e>
              <m:r>
                <m:t xml:space="preserve">a</m:t>
              </m:r>
            </m:e>
            <m:sub>
              <m:r>
                <m:t xml:space="preserve">h</m:t>
              </m:r>
            </m:sub>
          </m:sSub>
          <m:r>
            <m:t xml:space="preserve">+</m:t>
          </m:r>
          <m:sSubSup>
            <m:e>
              <m:r>
                <m:t xml:space="preserve">θ</m:t>
              </m:r>
            </m:e>
            <m:sub>
              <m:r>
                <m:t xml:space="preserve">h</m:t>
              </m:r>
            </m:sub>
            <m:sup>
              <m:r>
                <m:t xml:space="preserve">′</m:t>
              </m:r>
            </m:sup>
          </m:sSubSup>
          <m:sSub>
            <m:e>
              <m:r>
                <m:t xml:space="preserve">Z</m:t>
              </m:r>
            </m:e>
            <m:sub>
              <m:r>
                <m:t xml:space="preserve">t</m:t>
              </m:r>
              <m:r>
                <m:t xml:space="preserve">+</m:t>
              </m:r>
              <m:r>
                <m:t xml:space="preserve">2</m:t>
              </m:r>
            </m:sub>
          </m:sSub>
          <m:r>
            <m:t xml:space="preserve">+</m:t>
          </m:r>
          <m:sSubSup>
            <m:e>
              <m:r>
                <m:t xml:space="preserve">d</m:t>
              </m:r>
            </m:e>
            <m:sub>
              <m:r>
                <m:t xml:space="preserve">h</m:t>
              </m:r>
            </m:sub>
            <m:sup>
              <m:r>
                <m:t xml:space="preserve">′</m:t>
              </m:r>
            </m:sup>
          </m:sSubSup>
          <m:sSub>
            <m:e>
              <m:r>
                <m:t xml:space="preserve">C</m:t>
              </m:r>
            </m:e>
            <m:sub>
              <m:r>
                <m:t xml:space="preserve">t</m:t>
              </m:r>
            </m:sub>
          </m:sSub>
          <m:r>
            <m:t xml:space="preserve">+</m:t>
          </m:r>
          <m:sSub>
            <m:e>
              <m:r>
                <m:t xml:space="preserve">e</m:t>
              </m:r>
            </m:e>
            <m:sub>
              <m:r>
                <m:t xml:space="preserve">t</m:t>
              </m:r>
              <m:r>
                <m:t xml:space="preserve">+</m:t>
              </m:r>
              <m:r>
                <m:t xml:space="preserve">h</m:t>
              </m:r>
            </m:sub>
          </m:sSub>
          <m:r>
            <m:t xml:space="preserve">,</m:t>
          </m:r>
          <m:r>
            <m:t xml:space="preserve">    </m:t>
          </m:r>
          <m:r>
            <m:t xml:space="preserve"> </m:t>
          </m:r>
          <m:r>
            <m:t xml:space="preserve">h</m:t>
          </m:r>
          <m:r>
            <m:t xml:space="preserve">∈</m:t>
          </m:r>
          <m:r>
            <m:t xml:space="preserve">{</m:t>
          </m:r>
          <m:r>
            <m:t xml:space="preserve">0</m:t>
          </m:r>
          <m:r>
            <m:t xml:space="preserve">,</m:t>
          </m:r>
          <m:r>
            <m:t xml:space="preserve">1</m:t>
          </m:r>
          <m:r>
            <m:t xml:space="preserve">}</m:t>
          </m:r>
        </m:oMath>
      </m:oMathPara>
      <w:r>
        <w:rPr>
          <w:rFonts w:ascii="Palatino Linotype" w:hAnsi="Palatino Linotype" w:cs="Palatino Linotype" w:eastAsia="Palatino Linotype"/>
          <w:sz w:val="24"/>
        </w:rPr>
        <w:t xml:space="preserve">   (8)</w:t>
      </w:r>
    </w:p>
    <w:p>
      <w:pPr>
        <w:spacing w:line="300" w:lineRule="auto" w:after="160"/>
        <w:jc w:val="both"/>
      </w:pPr>
      <w:r>
        <w:rPr>
          <w:rFonts w:ascii="Palatino Linotype" w:hAnsi="Palatino Linotype" w:cs="Palatino Linotype" w:eastAsia="Palatino Linotype"/>
          <w:sz w:val="24"/>
        </w:rPr>
        <w:t xml:space="preserve">The future regressor remains </w:t>
      </w:r>
      <m:oMath>
        <m:sSub>
          <m:e>
            <m:r>
              <m:t xml:space="preserve">Z</m:t>
            </m:r>
          </m:e>
          <m:sub>
            <m:r>
              <m:t xml:space="preserve">t</m:t>
            </m:r>
            <m:r>
              <m:t xml:space="preserve">+</m:t>
            </m:r>
            <m:r>
              <m:t xml:space="preserve">2</m:t>
            </m:r>
          </m:sub>
        </m:sSub>
      </m:oMath>
      <w:r>
        <w:rPr>
          <w:rFonts w:ascii="Palatino Linotype" w:hAnsi="Palatino Linotype" w:cs="Palatino Linotype" w:eastAsia="Palatino Linotype"/>
          <w:sz w:val="24"/>
        </w:rPr>
        <w:t xml:space="preserve"> in both equations. The controls are those predetermined at origin </w:t>
      </w:r>
      <m:oMath>
        <m:r>
          <m:t xml:space="preserve">t</m:t>
        </m:r>
      </m:oMath>
      <w:r>
        <w:rPr>
          <w:rFonts w:ascii="Palatino Linotype" w:hAnsi="Palatino Linotype" w:cs="Palatino Linotype" w:eastAsia="Palatino Linotype"/>
          <w:sz w:val="24"/>
        </w:rPr>
        <w:t xml:space="preserve">; they are not shifted forward. The individual null is </w:t>
      </w:r>
      <m:oMath>
        <m:sSub>
          <m:e>
            <m:r>
              <m:t xml:space="preserve">θ</m:t>
            </m:r>
          </m:e>
          <m:sub>
            <m:r>
              <m:t xml:space="preserve">h</m:t>
            </m:r>
          </m:sub>
        </m:sSub>
        <m:r>
          <m:t xml:space="preserve">=</m:t>
        </m:r>
        <m:r>
          <m:t xml:space="preserve">0</m:t>
        </m:r>
      </m:oMath>
      <w:r>
        <w:rPr>
          <w:rFonts w:ascii="Palatino Linotype" w:hAnsi="Palatino Linotype" w:cs="Palatino Linotype" w:eastAsia="Palatino Linotype"/>
          <w:sz w:val="24"/>
        </w:rPr>
        <w:t xml:space="preserve">, and the two-horizon category null sets both coefficients to zero. In the joint model, an additional six-restriction test sets all three category coefficients at both horizons to zero. Outcomes at </w:t>
      </w:r>
      <m:oMath>
        <m:r>
          <m:t xml:space="preserve">t</m:t>
        </m:r>
        <m:r>
          <m:t xml:space="preserve">+</m:t>
        </m:r>
        <m:r>
          <m:t xml:space="preserve">2</m:t>
        </m:r>
      </m:oMath>
      <w:r>
        <w:rPr>
          <w:rFonts w:ascii="Palatino Linotype" w:hAnsi="Palatino Linotype" w:cs="Palatino Linotype" w:eastAsia="Palatino Linotype"/>
          <w:sz w:val="24"/>
        </w:rPr>
        <w:t xml:space="preserve"> and later are not called anticipation tests because they no longer precede the dated future turning point.</w:t>
      </w:r>
    </w:p>
    <w:p>
      <w:pPr>
        <w:spacing w:line="300" w:lineRule="auto" w:after="160"/>
        <w:jc w:val="both"/>
      </w:pPr>
      <w:r>
        <w:rPr>
          <w:rFonts w:ascii="Palatino Linotype" w:hAnsi="Palatino Linotype" w:cs="Palatino Linotype" w:eastAsia="Palatino Linotype"/>
          <w:sz w:val="24"/>
        </w:rPr>
        <w:t xml:space="preserve">These are lead-curvature placebos, not event-study leads of a separately observed structural shock. In particular, </w:t>
      </w:r>
      <m:oMath>
        <m:sSub>
          <m:e>
            <m:r>
              <m:t xml:space="preserve">Z</m:t>
            </m:r>
          </m:e>
          <m:sub>
            <m:r>
              <m:t xml:space="preserve">j</m:t>
            </m:r>
            <m:r>
              <m:t xml:space="preserve">,</m:t>
            </m:r>
            <m:r>
              <m:t xml:space="preserve">t</m:t>
            </m:r>
            <m:r>
              <m:t xml:space="preserve">+</m:t>
            </m:r>
            <m:r>
              <m:t xml:space="preserve">2</m:t>
            </m:r>
          </m:sub>
        </m:sSub>
        <m:r>
          <m:t xml:space="preserve">=</m:t>
        </m:r>
        <m:sSub>
          <m:e>
            <m:r>
              <m:t xml:space="preserve">G</m:t>
            </m:r>
          </m:e>
          <m:sub>
            <m:r>
              <m:t xml:space="preserve">j</m:t>
            </m:r>
            <m:r>
              <m:t xml:space="preserve">,</m:t>
            </m:r>
            <m:r>
              <m:t xml:space="preserve">t</m:t>
            </m:r>
            <m:r>
              <m:t xml:space="preserve">+</m:t>
            </m:r>
            <m:r>
              <m:t xml:space="preserve">2</m:t>
            </m:r>
          </m:sub>
        </m:sSub>
        <m:r>
          <m:t xml:space="preserve">−</m:t>
        </m:r>
        <m:r>
          <m:t xml:space="preserve">2</m:t>
        </m:r>
        <m:sSub>
          <m:e>
            <m:r>
              <m:t xml:space="preserve">G</m:t>
            </m:r>
          </m:e>
          <m:sub>
            <m:r>
              <m:t xml:space="preserve">j</m:t>
            </m:r>
            <m:r>
              <m:t xml:space="preserve">,</m:t>
            </m:r>
            <m:r>
              <m:t xml:space="preserve">t</m:t>
            </m:r>
            <m:r>
              <m:t xml:space="preserve">+</m:t>
            </m:r>
            <m:r>
              <m:t xml:space="preserve">1</m:t>
            </m:r>
          </m:sub>
        </m:sSub>
        <m:r>
          <m:t xml:space="preserve">+</m:t>
        </m:r>
        <m:sSub>
          <m:e>
            <m:r>
              <m:t xml:space="preserve">G</m:t>
            </m:r>
          </m:e>
          <m:sub>
            <m:r>
              <m:t xml:space="preserve">j</m:t>
            </m:r>
            <m:r>
              <m:t xml:space="preserve">,</m:t>
            </m:r>
            <m:r>
              <m:t xml:space="preserve">t</m:t>
            </m:r>
          </m:sub>
        </m:sSub>
      </m:oMath>
      <w:r>
        <w:rPr>
          <w:rFonts w:ascii="Palatino Linotype" w:hAnsi="Palatino Linotype" w:cs="Palatino Linotype" w:eastAsia="Palatino Linotype"/>
          <w:sz w:val="24"/>
        </w:rPr>
        <w:t xml:space="preserve"> includes current and next-month index levels. Their association with prices can generate a nonzero placebo coefficient even without advance knowledge of the later geopolitical innovation. Conversely, a failure to reject may reflect limited power. The tests are useful timing diagnostics for this exact transformation; the paper does not interpret them as proving that every relevant announcement was unanticipated.</w:t>
      </w:r>
    </w:p>
    <w:p>
      <w:pPr>
        <w:spacing w:line="300" w:lineRule="auto" w:after="160"/>
        <w:jc w:val="both"/>
      </w:pPr>
      <w:r>
        <w:rPr>
          <w:rFonts w:ascii="Palatino Linotype" w:hAnsi="Palatino Linotype" w:cs="Palatino Linotype" w:eastAsia="Palatino Linotype"/>
          <w:sz w:val="24"/>
        </w:rPr>
        <w:t xml:space="preserve">Baseline figures and coefficient tables use heteroskedasticity-robust HC3 inference with normal critical values. The lag structure in equation (3) contains two lags of the fundamentals and geopolitical treatments and three lags of the oil price. No HAC correction or bandwidth enters the baseline covariance. Let </w:t>
      </w:r>
      <m:oMath>
        <m:sSub>
          <m:e>
            <m:r>
              <m:t xml:space="preserve">A</m:t>
            </m:r>
          </m:e>
          <m:sub>
            <m:r>
              <m:t xml:space="preserve">h</m:t>
            </m:r>
          </m:sub>
        </m:sSub>
        <m:r>
          <m:t xml:space="preserve">=</m:t>
        </m:r>
        <m:sSub>
          <m:e>
            <m:r>
              <m:t xml:space="preserve">∑</m:t>
            </m:r>
          </m:e>
          <m:sub>
            <m:r>
              <m:t xml:space="preserve">t</m:t>
            </m:r>
          </m:sub>
        </m:sSub>
        <m:sSub>
          <m:e>
            <m:acc>
              <m:accPr>
                <m:chr m:val="̃"/>
              </m:accPr>
              <m:e>
                <m:r>
                  <m:t xml:space="preserve">Z</m:t>
                </m:r>
              </m:e>
            </m:acc>
          </m:e>
          <m:sub>
            <m:r>
              <m:t xml:space="preserve">t</m:t>
            </m:r>
          </m:sub>
        </m:sSub>
        <m:sSub>
          <m:e>
            <m:acc>
              <m:accPr>
                <m:chr m:val="̃"/>
              </m:accPr>
              <m:e>
                <m:r>
                  <m:t xml:space="preserve">X</m:t>
                </m:r>
              </m:e>
            </m:acc>
          </m:e>
          <m:sub>
            <m:r>
              <m:t xml:space="preserve">t</m:t>
            </m:r>
          </m:sub>
        </m:sSub>
        <m:r>
          <m:t xml:space="preserve">'</m:t>
        </m:r>
      </m:oMath>
      <w:r>
        <w:rPr>
          <w:rFonts w:ascii="Palatino Linotype" w:hAnsi="Palatino Linotype" w:cs="Palatino Linotype" w:eastAsia="Palatino Linotype"/>
          <w:sz w:val="24"/>
        </w:rPr>
        <w:t xml:space="preserve"> and let </w:t>
      </w:r>
      <m:oMath>
        <m:sSub>
          <m:e>
            <m:r>
              <m:t xml:space="preserve">d</m:t>
            </m:r>
          </m:e>
          <m:sub>
            <m:r>
              <m:t xml:space="preserve">t</m:t>
            </m:r>
            <m:r>
              <m:t xml:space="preserve">,</m:t>
            </m:r>
            <m:r>
              <m:t xml:space="preserve">h</m:t>
            </m:r>
          </m:sub>
        </m:sSub>
      </m:oMath>
      <w:r>
        <w:rPr>
          <w:rFonts w:ascii="Palatino Linotype" w:hAnsi="Palatino Linotype" w:cs="Palatino Linotype" w:eastAsia="Palatino Linotype"/>
          <w:sz w:val="24"/>
        </w:rPr>
        <w:t xml:space="preserve"> be the diagonal of the projection onto the full instrument matrix, including the constant and controls. Because the models are exactly identified, this equals the leverage of the full projected-regressor design. The structural IV residual is </w:t>
      </w:r>
      <m:oMath>
        <m:sSub>
          <m:e>
            <m:r>
              <m:t xml:space="preserve">u</m:t>
            </m:r>
          </m:e>
          <m:sub>
            <m:r>
              <m:t xml:space="preserve">t</m:t>
            </m:r>
            <m:r>
              <m:t xml:space="preserve">+</m:t>
            </m:r>
            <m:r>
              <m:t xml:space="preserve">h</m:t>
            </m:r>
          </m:sub>
        </m:sSub>
        <m:r>
          <m:t xml:space="preserve">=</m:t>
        </m:r>
        <m:sSub>
          <m:e>
            <m:acc>
              <m:accPr>
                <m:chr m:val="̃"/>
              </m:accPr>
              <m:e>
                <m:r>
                  <m:t xml:space="preserve">p</m:t>
                </m:r>
              </m:e>
            </m:acc>
          </m:e>
          <m:sub>
            <m:r>
              <m:t xml:space="preserve">t</m:t>
            </m:r>
            <m:r>
              <m:t xml:space="preserve">+</m:t>
            </m:r>
            <m:r>
              <m:t xml:space="preserve">h</m:t>
            </m:r>
          </m:sub>
        </m:sSub>
        <m:r>
          <m:t xml:space="preserve">−</m:t>
        </m:r>
        <m:sSub>
          <m:e>
            <m:acc>
              <m:accPr>
                <m:chr m:val="̃"/>
              </m:accPr>
              <m:e>
                <m:r>
                  <m:t xml:space="preserve">X</m:t>
                </m:r>
              </m:e>
            </m:acc>
          </m:e>
          <m:sub>
            <m:r>
              <m:t xml:space="preserve">t</m:t>
            </m:r>
          </m:sub>
        </m:sSub>
        <m:r>
          <m:t xml:space="preserve">'</m:t>
        </m:r>
        <m:sSub>
          <m:e>
            <m:r>
              <m:t xml:space="preserve">β</m:t>
            </m:r>
          </m:e>
          <m:sub>
            <m:r>
              <m:t xml:space="preserve">h</m:t>
            </m:r>
          </m:sub>
        </m:sSub>
      </m:oMath>
      <w:r>
        <w:rPr>
          <w:rFonts w:ascii="Palatino Linotype" w:hAnsi="Palatino Linotype" w:cs="Palatino Linotype" w:eastAsia="Palatino Linotype"/>
          <w:sz w:val="24"/>
        </w:rPr>
        <w:t>. The HC3 influence row and covariance are defined by</w:t>
      </w:r>
    </w:p>
    <w:p>
      <w:pPr>
        <w:spacing w:before="120" w:after="160" w:line="300" w:lineRule="auto"/>
        <w:jc w:val="center"/>
      </w:pPr>
      <m:oMathPara>
        <m:oMath>
          <m:sSub>
            <m:e>
              <m:r>
                <m:t xml:space="preserve">s</m:t>
              </m:r>
            </m:e>
            <m:sub>
              <m:r>
                <m:t xml:space="preserve">t</m:t>
              </m:r>
              <m:r>
                <m:t xml:space="preserve">,</m:t>
              </m:r>
              <m:r>
                <m:t xml:space="preserve">h</m:t>
              </m:r>
            </m:sub>
          </m:sSub>
          <m:r>
            <m:t xml:space="preserve">=</m:t>
          </m:r>
          <m:sSubSup>
            <m:e>
              <m:r>
                <m:t xml:space="preserve">A</m:t>
              </m:r>
            </m:e>
            <m:sub>
              <m:r>
                <m:t xml:space="preserve">h</m:t>
              </m:r>
            </m:sub>
            <m:sup>
              <m:r>
                <m:t xml:space="preserve">-</m:t>
              </m:r>
              <m:r>
                <m:t xml:space="preserve">1</m:t>
              </m:r>
            </m:sup>
          </m:sSubSup>
          <m:sSub>
            <m:e>
              <m:acc>
                <m:accPr>
                  <m:chr m:val="̃"/>
                </m:accPr>
                <m:e>
                  <m:r>
                    <m:t xml:space="preserve">Z</m:t>
                  </m:r>
                </m:e>
              </m:acc>
            </m:e>
            <m:sub>
              <m:r>
                <m:t xml:space="preserve">t</m:t>
              </m:r>
            </m:sub>
          </m:sSub>
          <m:f>
            <m:num>
              <m:sSub>
                <m:e>
                  <m:r>
                    <m:t xml:space="preserve">u</m:t>
                  </m:r>
                </m:e>
                <m:sub>
                  <m:r>
                    <m:t xml:space="preserve">t</m:t>
                  </m:r>
                  <m:r>
                    <m:t xml:space="preserve">+</m:t>
                  </m:r>
                  <m:r>
                    <m:t xml:space="preserve">h</m:t>
                  </m:r>
                </m:sub>
              </m:sSub>
            </m:num>
            <m:den>
              <m:r>
                <m:t xml:space="preserve">1</m:t>
              </m:r>
              <m:r>
                <m:t xml:space="preserve">−</m:t>
              </m:r>
              <m:sSub>
                <m:e>
                  <m:r>
                    <m:t xml:space="preserve">d</m:t>
                  </m:r>
                </m:e>
                <m:sub>
                  <m:r>
                    <m:t xml:space="preserve">t</m:t>
                  </m:r>
                  <m:r>
                    <m:t xml:space="preserve">,</m:t>
                  </m:r>
                  <m:r>
                    <m:t xml:space="preserve">h</m:t>
                  </m:r>
                </m:sub>
              </m:sSub>
            </m:den>
          </m:f>
          <m:r>
            <m:t xml:space="preserve">,</m:t>
          </m:r>
          <m:r>
            <m:t xml:space="preserve">    </m:t>
          </m:r>
          <m:r>
            <m:t xml:space="preserve"> </m:t>
          </m:r>
          <m:sSubSup>
            <m:e>
              <m:r>
                <m:t xml:space="preserve">V</m:t>
              </m:r>
            </m:e>
            <m:sub>
              <m:r>
                <m:t xml:space="preserve">h</m:t>
              </m:r>
            </m:sub>
            <m:sup>
              <m:r>
                <m:t xml:space="preserve">H</m:t>
              </m:r>
              <m:r>
                <m:t xml:space="preserve">C</m:t>
              </m:r>
              <m:r>
                <m:t xml:space="preserve">3</m:t>
              </m:r>
            </m:sup>
          </m:sSubSup>
          <m:r>
            <m:t xml:space="preserve">=</m:t>
          </m:r>
          <m:sSub>
            <m:e>
              <m:r>
                <m:t xml:space="preserve">∑</m:t>
              </m:r>
            </m:e>
            <m:sub>
              <m:r>
                <m:t xml:space="preserve">t</m:t>
              </m:r>
            </m:sub>
          </m:sSub>
          <m:r>
            <m:t xml:space="preserve"> </m:t>
          </m:r>
          <m:sSub>
            <m:e>
              <m:r>
                <m:t xml:space="preserve">s</m:t>
              </m:r>
            </m:e>
            <m:sub>
              <m:r>
                <m:t xml:space="preserve">t</m:t>
              </m:r>
              <m:r>
                <m:t xml:space="preserve">,</m:t>
              </m:r>
              <m:r>
                <m:t xml:space="preserve">h</m:t>
              </m:r>
            </m:sub>
          </m:sSub>
          <m:sSub>
            <m:e>
              <m:r>
                <m:t xml:space="preserve">s</m:t>
              </m:r>
            </m:e>
            <m:sub>
              <m:r>
                <m:t xml:space="preserve">t</m:t>
              </m:r>
              <m:r>
                <m:t xml:space="preserve">,</m:t>
              </m:r>
              <m:r>
                <m:t xml:space="preserve">h</m:t>
              </m:r>
            </m:sub>
          </m:sSub>
          <m:r>
            <m:t xml:space="preserve">′</m:t>
          </m:r>
        </m:oMath>
      </m:oMathPara>
      <w:r>
        <w:rPr>
          <w:rFonts w:ascii="Palatino Linotype" w:hAnsi="Palatino Linotype" w:cs="Palatino Linotype" w:eastAsia="Palatino Linotype"/>
          <w:sz w:val="24"/>
        </w:rPr>
        <w:t xml:space="preserve">   (9)</w:t>
      </w:r>
    </w:p>
    <w:p>
      <w:pPr>
        <w:spacing w:line="300" w:lineRule="auto" w:after="160"/>
        <w:jc w:val="both"/>
      </w:pPr>
      <w:r>
        <w:rPr>
          <w:rFonts w:ascii="Palatino Linotype" w:hAnsi="Palatino Linotype" w:cs="Palatino Linotype" w:eastAsia="Palatino Linotype"/>
          <w:sz w:val="24"/>
        </w:rPr>
        <w:t>The implementation uses structural residuals, not residuals from an OLS regression on fitted treatments, and includes the leverage of the controls. HC3 applies the observation-specific squared correction through the outer product in equation (9); no additional HC1 degrees-of-freedom multiplier is applied. The pointwise approximation assumes that serial covariance of the relevant instrument–error score is negligible after the specified conditioning. The lag-augmented LP literature motivates this inference strategy, but its OLS theorem is not asserted as a general result for every transformed instrument. A separate three-lag specification for every variable and conventional LP–Newey–West estimates assess sensitivity to these modeling choices.</w:t>
      </w:r>
    </w:p>
    <w:p>
      <w:pPr>
        <w:spacing w:line="300" w:lineRule="auto" w:after="160"/>
        <w:jc w:val="both"/>
      </w:pPr>
      <w:r>
        <w:rPr>
          <w:rFonts w:ascii="Palatino Linotype" w:hAnsi="Palatino Linotype" w:cs="Palatino Linotype" w:eastAsia="Palatino Linotype"/>
          <w:sz w:val="24"/>
        </w:rPr>
        <w:t xml:space="preserve">Conditional instrument strength in the joint model is evaluated with the Sanderson–Windmeijer statistic. For category </w:t>
      </w:r>
      <m:oMath>
        <m:r>
          <m:t xml:space="preserve">j</m:t>
        </m:r>
      </m:oMath>
      <w:r>
        <w:rPr>
          <w:rFonts w:ascii="Palatino Linotype" w:hAnsi="Palatino Linotype" w:cs="Palatino Linotype" w:eastAsia="Palatino Linotype"/>
          <w:sz w:val="24"/>
        </w:rPr>
        <w:t xml:space="preserve">, the other </w:t>
      </w:r>
      <m:oMath>
        <m:r>
          <m:t xml:space="preserve">K</m:t>
        </m:r>
        <m:r>
          <m:t xml:space="preserve">−</m:t>
        </m:r>
        <m:r>
          <m:t xml:space="preserve">1</m:t>
        </m:r>
      </m:oMath>
      <w:r>
        <w:rPr>
          <w:rFonts w:ascii="Palatino Linotype" w:hAnsi="Palatino Linotype" w:cs="Palatino Linotype" w:eastAsia="Palatino Linotype"/>
          <w:sz w:val="24"/>
        </w:rPr>
        <w:t xml:space="preserve"> endogenous regressors are instrumented by the full residualized instrument vector. The resulting conditional structural residual is regressed on all </w:t>
      </w:r>
      <m:oMath>
        <m:r>
          <m:t xml:space="preserve">q</m:t>
        </m:r>
      </m:oMath>
      <w:r>
        <w:rPr>
          <w:rFonts w:ascii="Palatino Linotype" w:hAnsi="Palatino Linotype" w:cs="Palatino Linotype" w:eastAsia="Palatino Linotype"/>
          <w:sz w:val="24"/>
        </w:rPr>
        <w:t xml:space="preserve"> excluded instruments. If </w:t>
      </w:r>
      <m:oMath>
        <m:sSub>
          <m:e>
            <m:r>
              <m:t xml:space="preserve">F</m:t>
            </m:r>
          </m:e>
          <m:sub>
            <m:r>
              <m:t xml:space="preserve">r</m:t>
            </m:r>
            <m:r>
              <m:t xml:space="preserve">a</m:t>
            </m:r>
            <m:r>
              <m:t xml:space="preserve">w</m:t>
            </m:r>
            <m:r>
              <m:t xml:space="preserve">,</m:t>
            </m:r>
            <m:r>
              <m:t xml:space="preserve">j</m:t>
            </m:r>
          </m:sub>
        </m:sSub>
      </m:oMath>
      <w:r>
        <w:rPr>
          <w:rFonts w:ascii="Palatino Linotype" w:hAnsi="Palatino Linotype" w:cs="Palatino Linotype" w:eastAsia="Palatino Linotype"/>
          <w:sz w:val="24"/>
        </w:rPr>
        <w:t xml:space="preserve"> is the usual homoskedastic Wald F statistic from that regression, the reported correction is</w:t>
      </w:r>
    </w:p>
    <w:p>
      <w:pPr>
        <w:spacing w:before="120" w:after="160" w:line="300" w:lineRule="auto"/>
        <w:jc w:val="center"/>
      </w:pPr>
      <m:oMathPara>
        <m:oMath>
          <m:sSub>
            <m:e>
              <m:r>
                <m:t xml:space="preserve">F</m:t>
              </m:r>
            </m:e>
            <m:sub>
              <m:r>
                <m:t xml:space="preserve">S</m:t>
              </m:r>
              <m:r>
                <m:t xml:space="preserve">W</m:t>
              </m:r>
              <m:r>
                <m:t xml:space="preserve">,</m:t>
              </m:r>
              <m:r>
                <m:t xml:space="preserve">j</m:t>
              </m:r>
            </m:sub>
          </m:sSub>
          <m:r>
            <m:t xml:space="preserve">=</m:t>
          </m:r>
          <m:sSub>
            <m:e>
              <m:r>
                <m:t xml:space="preserve">F</m:t>
              </m:r>
            </m:e>
            <m:sub>
              <m:r>
                <m:t xml:space="preserve">r</m:t>
              </m:r>
              <m:r>
                <m:t xml:space="preserve">a</m:t>
              </m:r>
              <m:r>
                <m:t xml:space="preserve">w</m:t>
              </m:r>
              <m:r>
                <m:t xml:space="preserve">,</m:t>
              </m:r>
              <m:r>
                <m:t xml:space="preserve">j</m:t>
              </m:r>
            </m:sub>
          </m:sSub>
          <m:f>
            <m:num>
              <m:r>
                <m:t xml:space="preserve">q</m:t>
              </m:r>
            </m:num>
            <m:den>
              <m:r>
                <m:t xml:space="preserve">q</m:t>
              </m:r>
              <m:r>
                <m:t xml:space="preserve">−</m:t>
              </m:r>
              <m:r>
                <m:t xml:space="preserve">(</m:t>
              </m:r>
              <m:r>
                <m:t xml:space="preserve">K</m:t>
              </m:r>
              <m:r>
                <m:t xml:space="preserve">−</m:t>
              </m:r>
              <m:r>
                <m:t xml:space="preserve">1</m:t>
              </m:r>
              <m:r>
                <m:t xml:space="preserve">)</m:t>
              </m:r>
            </m:den>
          </m:f>
          <m:r>
            <m:t xml:space="preserve">,</m:t>
          </m:r>
          <m:r>
            <m:t xml:space="preserve">    </m:t>
          </m:r>
          <m:r>
            <m:t xml:space="preserve"> </m:t>
          </m:r>
          <m:r>
            <m:t xml:space="preserve">q</m:t>
          </m:r>
          <m:r>
            <m:t xml:space="preserve">=</m:t>
          </m:r>
          <m:r>
            <m:t xml:space="preserve">K</m:t>
          </m:r>
          <m:r>
            <m:t xml:space="preserve">=</m:t>
          </m:r>
          <m:r>
            <m:t xml:space="preserve">3</m:t>
          </m:r>
        </m:oMath>
      </m:oMathPara>
      <w:r>
        <w:rPr>
          <w:rFonts w:ascii="Palatino Linotype" w:hAnsi="Palatino Linotype" w:cs="Palatino Linotype" w:eastAsia="Palatino Linotype"/>
          <w:sz w:val="24"/>
        </w:rPr>
        <w:t xml:space="preserve">   (10)</w:t>
      </w:r>
    </w:p>
    <w:p>
      <w:pPr>
        <w:spacing w:line="300" w:lineRule="auto" w:after="160"/>
        <w:jc w:val="both"/>
      </w:pPr>
      <w:r>
        <w:rPr>
          <w:rFonts w:ascii="Palatino Linotype" w:hAnsi="Palatino Linotype" w:cs="Palatino Linotype" w:eastAsia="Palatino Linotype"/>
          <w:sz w:val="24"/>
        </w:rPr>
        <w:t xml:space="preserve">This statistic tests whether the instrument set retains explanatory power for category </w:t>
      </w:r>
      <m:oMath>
        <m:r>
          <m:t xml:space="preserve">j</m:t>
        </m:r>
      </m:oMath>
      <w:r>
        <w:rPr>
          <w:rFonts w:ascii="Palatino Linotype" w:hAnsi="Palatino Linotype" w:cs="Palatino Linotype" w:eastAsia="Palatino Linotype"/>
          <w:sz w:val="24"/>
        </w:rPr>
        <w:t xml:space="preserve"> after accounting for the endogenous directions spanned by the other categories. It is kept distinct from the HC3 first-stage Wald diagnostics because the classical Sanderson–Windmeijer correction is homoskedastic. The very large reported values make the substantive conclusion about conditional strength insensitive to conventional weak-instrument thresholds, but the statistic does not test exclusion.</w:t>
      </w:r>
    </w:p>
    <w:p>
      <w:pPr>
        <w:spacing w:line="300" w:lineRule="auto" w:after="160"/>
        <w:jc w:val="both"/>
      </w:pPr>
      <w:r>
        <w:rPr>
          <w:rFonts w:ascii="Palatino Linotype" w:hAnsi="Palatino Linotype" w:cs="Palatino Linotype" w:eastAsia="Palatino Linotype"/>
          <w:sz w:val="24"/>
        </w:rPr>
        <w:t>Approximate simultaneous bands use 1,999 Rademacher multiplier draws applied to the calendar-aligned HC3 influence rows. The baseline assigns an independent multiplier to each month. Six- and twelve-month blocks are supplementary path-inference sensitivity exercises, not HAC corrections to the pointwise baseline. Coverage is simultaneous over the 49 horizons of one response curve, not over every category and model. Selected-path tests jointly restrict the coefficients at horizons 0, 6, 12, 24, 36, and 48, using stacked HC3 influence rows to retain cross-horizon covariance. Cross-category equality tests use the full joint-model covariance.</w:t>
      </w:r>
    </w:p>
    <w:p>
      <w:pPr>
        <w:pStyle w:val="Heading1"/>
      </w:pPr>
      <w:r>
        <w:rPr>
          <w:rFonts w:ascii="Palatino Linotype" w:hAnsi="Palatino Linotype" w:cs="Palatino Linotype" w:eastAsia="Palatino Linotype"/>
          <w:sz w:val="30"/>
        </w:rPr>
        <w:t>5 Empirical evidence</w:t>
      </w:r>
    </w:p>
    <w:p>
      <w:pPr>
        <w:pStyle w:val="Heading2"/>
      </w:pPr>
      <w:r>
        <w:rPr>
          <w:rFonts w:ascii="Palatino Linotype" w:hAnsi="Palatino Linotype" w:cs="Palatino Linotype" w:eastAsia="Palatino Linotype"/>
          <w:sz w:val="26"/>
        </w:rPr>
        <w:t>5.1 Conditional relevance and timing</w:t>
      </w:r>
    </w:p>
    <w:p>
      <w:pPr>
        <w:spacing w:line="300" w:lineRule="auto" w:after="160"/>
        <w:jc w:val="both"/>
      </w:pPr>
      <w:r>
        <w:rPr>
          <w:rFonts w:ascii="Palatino Linotype" w:hAnsi="Palatino Linotype" w:cs="Palatino Linotype" w:eastAsia="Palatino Linotype"/>
          <w:sz w:val="24"/>
        </w:rPr>
        <w:t>Table 2 reports impact-horizon conditional relevance for every single-category Brent model. The instrument strongly predicts the transformed treatment for several categories, including the principal three. Relevance is less pronounced for terrorism, sanctions, and coups. The distinction matters: the fact that raw curvature is built from the underlying index does not establish that every category supplies equally informative IV variation after controls. Horizon-specific first stages are retained because the complete-case samples change with the horizon.</w:t>
      </w:r>
    </w:p>
    <w:p>
      <w:pPr>
        <w:pStyle w:val="Caption"/>
        <w:keepNext/>
        <w:spacing w:before="180" w:after="80"/>
      </w:pPr>
      <w:r>
        <w:rPr>
          <w:rFonts w:ascii="Palatino Linotype" w:hAnsi="Palatino Linotype" w:cs="Palatino Linotype" w:eastAsia="Palatino Linotype"/>
          <w:sz w:val="22"/>
        </w:rPr>
        <w:t>Table 2  Single category instrument relevance for Brent</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3600"/>
        <w:gridCol w:w="1872"/>
        <w:gridCol w:w="1872"/>
        <w:gridCol w:w="2304"/>
      </w:tblGrid>
      <w:tr>
        <w:trPr>
          <w:cantSplit/>
          <w:tblHeader/>
        </w:trPr>
        <w:tc>
          <w:tcPr>
            <w:tcW w:type="dxa" w:w="3600"/>
            <w:vAlign w:val="center"/>
            <w:tcMar>
              <w:top w:w="55" w:type="dxa"/>
              <w:bottom w:w="55" w:type="dxa"/>
              <w:start w:w="55" w:type="dxa"/>
              <w:end w:w="55" w:type="dxa"/>
            </w:tcMar>
            <w:tcBorders>
              <w:bottom w:val="single" w:sz="5"/>
            </w:tcBorders>
          </w:tcPr>
          <w:p>
            <w:pPr>
              <w:spacing w:after="80" w:before="80" w:line="259" w:lineRule="auto"/>
              <w:jc w:val="left"/>
            </w:pPr>
            <w:r>
              <w:rPr>
                <w:rFonts w:ascii="Palatino Linotype" w:hAnsi="Palatino Linotype" w:cs="Palatino Linotype" w:eastAsia="Palatino Linotype"/>
                <w:b/>
                <w:sz w:val="20"/>
              </w:rPr>
              <w:t>Geopolitical index</w:t>
            </w:r>
          </w:p>
        </w:tc>
        <w:tc>
          <w:tcPr>
            <w:tcW w:type="dxa" w:w="1872"/>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Partial R² at impact</w:t>
            </w:r>
          </w:p>
        </w:tc>
        <w:tc>
          <w:tcPr>
            <w:tcW w:type="dxa" w:w="1872"/>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HC3 F at impact</w:t>
            </w:r>
          </w:p>
        </w:tc>
        <w:tc>
          <w:tcPr>
            <w:tcW w:type="dxa" w:w="2304"/>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F range across horizons</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Aggregate AI-GPR</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0.736</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145.1</w:t>
            </w:r>
          </w:p>
        </w:tc>
        <w:tc>
          <w:tcPr>
            <w:tcW w:type="dxa" w:w="23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80.8–145.1</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Military conflict</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0.369</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32.7</w:t>
            </w:r>
          </w:p>
        </w:tc>
        <w:tc>
          <w:tcPr>
            <w:tcW w:type="dxa" w:w="23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15.5–32.7</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Diplomatic tension</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0.762</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352.7</w:t>
            </w:r>
          </w:p>
        </w:tc>
        <w:tc>
          <w:tcPr>
            <w:tcW w:type="dxa" w:w="23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310.9–395.7</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Terrorism</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0.275</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2.6</w:t>
            </w:r>
          </w:p>
        </w:tc>
        <w:tc>
          <w:tcPr>
            <w:tcW w:type="dxa" w:w="23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2.5–3.0</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Civil war</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0.492</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121.4</w:t>
            </w:r>
          </w:p>
        </w:tc>
        <w:tc>
          <w:tcPr>
            <w:tcW w:type="dxa" w:w="23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100.8–121.4</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Nuclear threat</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0.547</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115.9</w:t>
            </w:r>
          </w:p>
        </w:tc>
        <w:tc>
          <w:tcPr>
            <w:tcW w:type="dxa" w:w="23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111.5–115.9</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Coup</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0.353</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7.7</w:t>
            </w:r>
          </w:p>
        </w:tc>
        <w:tc>
          <w:tcPr>
            <w:tcW w:type="dxa" w:w="23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3.6–7.7</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Sanctions</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0.215</w:t>
            </w:r>
          </w:p>
        </w:tc>
        <w:tc>
          <w:tcPr>
            <w:tcW w:type="dxa" w:w="18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3.4</w:t>
            </w:r>
          </w:p>
        </w:tc>
        <w:tc>
          <w:tcPr>
            <w:tcW w:type="dxa" w:w="23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2.6–6.4</w:t>
            </w:r>
          </w:p>
        </w:tc>
      </w:tr>
      <w:tr>
        <w:trPr>
          <w:cantSplit/>
        </w:trPr>
        <w:tc>
          <w:tcPr>
            <w:tcW w:type="dxa" w:w="360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Other events</w:t>
            </w:r>
          </w:p>
        </w:tc>
        <w:tc>
          <w:tcPr>
            <w:tcW w:type="dxa" w:w="187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0.766</w:t>
            </w:r>
          </w:p>
        </w:tc>
        <w:tc>
          <w:tcPr>
            <w:tcW w:type="dxa" w:w="187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370.6</w:t>
            </w:r>
          </w:p>
        </w:tc>
        <w:tc>
          <w:tcPr>
            <w:tcW w:type="dxa" w:w="230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231.4–370.6</w:t>
            </w:r>
          </w:p>
        </w:tc>
      </w:tr>
    </w:tbl>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 xml:space="preserve">Each first stage regresses </w:t>
      </w:r>
      <m:oMath>
        <m:r>
          <m:rPr>
            <m:sty m:val="p"/>
          </m:rPr>
          <m:t xml:space="preserve">ln</m:t>
        </m:r>
        <m:r>
          <m:t xml:space="preserve">(</m:t>
        </m:r>
        <m:r>
          <m:t xml:space="preserve">1</m:t>
        </m:r>
        <m:r>
          <m:t xml:space="preserve">+</m:t>
        </m:r>
        <m:sSub>
          <m:e>
            <m:r>
              <m:t xml:space="preserve">G</m:t>
            </m:r>
          </m:e>
          <m:sub>
            <m:r>
              <m:t xml:space="preserve">j</m:t>
            </m:r>
            <m:r>
              <m:t xml:space="preserve">,</m:t>
            </m:r>
            <m:r>
              <m:t xml:space="preserve">t</m:t>
            </m:r>
          </m:sub>
        </m:sSub>
        <m:r>
          <m:t xml:space="preserve">)</m:t>
        </m:r>
      </m:oMath>
      <w:r>
        <w:rPr>
          <w:rFonts w:ascii="Palatino Linotype" w:hAnsi="Palatino Linotype" w:cs="Palatino Linotype" w:eastAsia="Palatino Linotype"/>
          <w:sz w:val="21"/>
        </w:rPr>
        <w:t xml:space="preserve"> on its raw second difference and the baseline controls, on the corresponding outcome sample. The reported one-restriction HC3 Wald statistic is numerically the robust F statistic; it uses the full first-stage design for its leverage correction. Ranges cover horizons 0–48. These are single-category relevance diagnostics, not conditional-strength statistics for the multi-endogenous-regressor model. No universal critical-value rule is imposed.</w:t>
      </w:r>
    </w:p>
    <w:p>
      <w:pPr>
        <w:spacing w:line="300" w:lineRule="auto" w:after="160"/>
        <w:jc w:val="both"/>
      </w:pPr>
      <w:r>
        <w:rPr>
          <w:rFonts w:ascii="Palatino Linotype" w:hAnsi="Palatino Linotype" w:cs="Palatino Linotype" w:eastAsia="Palatino Linotype"/>
          <w:sz w:val="24"/>
        </w:rPr>
        <w:t>The joint model has rank three at every horizon. Its minimum residualized canonical correlation ranges from 0.569 to 0.588 for Brent. Formal Sanderson–Windmeijer conditional first-stage statistics are reported in Section 6.1. They assess whether each endogenous category retains identifying variation conditional on the other endogenous regressors and confirm that conditional relevance is strong throughout the projection horizon.</w:t>
      </w:r>
    </w:p>
    <w:p>
      <w:pPr>
        <w:pStyle w:val="Caption"/>
        <w:keepNext/>
        <w:spacing w:before="180" w:after="80"/>
      </w:pPr>
      <w:r>
        <w:rPr>
          <w:rFonts w:ascii="Palatino Linotype" w:hAnsi="Palatino Linotype" w:cs="Palatino Linotype" w:eastAsia="Palatino Linotype"/>
          <w:sz w:val="22"/>
        </w:rPr>
        <w:t>Table 3  Oil prices before the fixed future turning point</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3115"/>
        <w:gridCol w:w="1519"/>
        <w:gridCol w:w="912"/>
        <w:gridCol w:w="1519"/>
        <w:gridCol w:w="912"/>
        <w:gridCol w:w="1671"/>
      </w:tblGrid>
      <w:tr>
        <w:trPr>
          <w:cantSplit/>
          <w:tblHeader/>
        </w:trPr>
        <w:tc>
          <w:tcPr>
            <w:tcW w:type="dxa" w:w="3115"/>
            <w:vAlign w:val="center"/>
            <w:tcMar>
              <w:top w:w="55" w:type="dxa"/>
              <w:bottom w:w="55" w:type="dxa"/>
              <w:start w:w="55" w:type="dxa"/>
              <w:end w:w="55" w:type="dxa"/>
            </w:tcMar>
            <w:tcBorders>
              <w:bottom w:val="single" w:sz="5"/>
            </w:tcBorders>
          </w:tcPr>
          <w:p>
            <w:pPr>
              <w:spacing w:after="80" w:before="80" w:line="259" w:lineRule="auto"/>
              <w:jc w:val="left"/>
            </w:pPr>
            <w:r>
              <w:rPr>
                <w:rFonts w:ascii="Palatino Linotype" w:hAnsi="Palatino Linotype" w:cs="Palatino Linotype" w:eastAsia="Palatino Linotype"/>
                <w:b/>
                <w:sz w:val="20"/>
              </w:rPr>
              <w:t>Outcome and category</w:t>
            </w:r>
          </w:p>
        </w:tc>
        <w:tc>
          <w:tcPr>
            <w:tcW w:type="dxa" w:w="1519"/>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Coefficient at t ×1000</w:t>
            </w:r>
          </w:p>
        </w:tc>
        <w:tc>
          <w:tcPr>
            <w:tcW w:type="dxa" w:w="912"/>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p at t</w:t>
            </w:r>
          </w:p>
        </w:tc>
        <w:tc>
          <w:tcPr>
            <w:tcW w:type="dxa" w:w="1519"/>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Coefficient at t+1 ×1000</w:t>
            </w:r>
          </w:p>
        </w:tc>
        <w:tc>
          <w:tcPr>
            <w:tcW w:type="dxa" w:w="912"/>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p at t+1</w:t>
            </w:r>
          </w:p>
        </w:tc>
        <w:tc>
          <w:tcPr>
            <w:tcW w:type="dxa" w:w="1671"/>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Joint p</w:t>
            </w:r>
          </w:p>
        </w:tc>
      </w:tr>
      <w:tr>
        <w:trPr>
          <w:cantSplit/>
        </w:trPr>
        <w:tc>
          <w:tcPr>
            <w:tcW w:type="dxa" w:w="3115"/>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Brent — Military conflict</w:t>
            </w:r>
          </w:p>
        </w:tc>
        <w:tc>
          <w:tcPr>
            <w:tcW w:type="dxa" w:w="15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−0.136</w:t>
            </w:r>
          </w:p>
        </w:tc>
        <w:tc>
          <w:tcPr>
            <w:tcW w:type="dxa" w:w="91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0.294</w:t>
            </w:r>
          </w:p>
        </w:tc>
        <w:tc>
          <w:tcPr>
            <w:tcW w:type="dxa" w:w="15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−0.296</w:t>
            </w:r>
          </w:p>
        </w:tc>
        <w:tc>
          <w:tcPr>
            <w:tcW w:type="dxa" w:w="91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0.371</w:t>
            </w:r>
          </w:p>
        </w:tc>
        <w:tc>
          <w:tcPr>
            <w:tcW w:type="dxa" w:w="1671"/>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0.565</w:t>
            </w:r>
          </w:p>
        </w:tc>
      </w:tr>
      <w:tr>
        <w:trPr>
          <w:cantSplit/>
        </w:trPr>
        <w:tc>
          <w:tcPr>
            <w:tcW w:type="dxa" w:w="3115"/>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Brent — Diplomatic tension</w:t>
            </w:r>
          </w:p>
        </w:tc>
        <w:tc>
          <w:tcPr>
            <w:tcW w:type="dxa" w:w="15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−0.296</w:t>
            </w:r>
          </w:p>
        </w:tc>
        <w:tc>
          <w:tcPr>
            <w:tcW w:type="dxa" w:w="91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0.475</w:t>
            </w:r>
          </w:p>
        </w:tc>
        <w:tc>
          <w:tcPr>
            <w:tcW w:type="dxa" w:w="15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0.062</w:t>
            </w:r>
          </w:p>
        </w:tc>
        <w:tc>
          <w:tcPr>
            <w:tcW w:type="dxa" w:w="91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0.929</w:t>
            </w:r>
          </w:p>
        </w:tc>
        <w:tc>
          <w:tcPr>
            <w:tcW w:type="dxa" w:w="1671"/>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0.478</w:t>
            </w:r>
          </w:p>
        </w:tc>
      </w:tr>
      <w:tr>
        <w:trPr>
          <w:cantSplit/>
        </w:trPr>
        <w:tc>
          <w:tcPr>
            <w:tcW w:type="dxa" w:w="3115"/>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Brent — Nuclear threat</w:t>
            </w:r>
          </w:p>
        </w:tc>
        <w:tc>
          <w:tcPr>
            <w:tcW w:type="dxa" w:w="15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−1.188</w:t>
            </w:r>
          </w:p>
        </w:tc>
        <w:tc>
          <w:tcPr>
            <w:tcW w:type="dxa" w:w="91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0.183</w:t>
            </w:r>
          </w:p>
        </w:tc>
        <w:tc>
          <w:tcPr>
            <w:tcW w:type="dxa" w:w="15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−1.755</w:t>
            </w:r>
          </w:p>
        </w:tc>
        <w:tc>
          <w:tcPr>
            <w:tcW w:type="dxa" w:w="91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0.248</w:t>
            </w:r>
          </w:p>
        </w:tc>
        <w:tc>
          <w:tcPr>
            <w:tcW w:type="dxa" w:w="1671"/>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0.409</w:t>
            </w:r>
          </w:p>
        </w:tc>
      </w:tr>
      <w:tr>
        <w:trPr>
          <w:cantSplit/>
        </w:trPr>
        <w:tc>
          <w:tcPr>
            <w:tcW w:type="dxa" w:w="3115"/>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WTI — Military conflict</w:t>
            </w:r>
          </w:p>
        </w:tc>
        <w:tc>
          <w:tcPr>
            <w:tcW w:type="dxa" w:w="15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−0.150</w:t>
            </w:r>
          </w:p>
        </w:tc>
        <w:tc>
          <w:tcPr>
            <w:tcW w:type="dxa" w:w="91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0.235</w:t>
            </w:r>
          </w:p>
        </w:tc>
        <w:tc>
          <w:tcPr>
            <w:tcW w:type="dxa" w:w="15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−0.329</w:t>
            </w:r>
          </w:p>
        </w:tc>
        <w:tc>
          <w:tcPr>
            <w:tcW w:type="dxa" w:w="91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0.267</w:t>
            </w:r>
          </w:p>
        </w:tc>
        <w:tc>
          <w:tcPr>
            <w:tcW w:type="dxa" w:w="1671"/>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0.463</w:t>
            </w:r>
          </w:p>
        </w:tc>
      </w:tr>
      <w:tr>
        <w:trPr>
          <w:cantSplit/>
        </w:trPr>
        <w:tc>
          <w:tcPr>
            <w:tcW w:type="dxa" w:w="3115"/>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WTI — Diplomatic tension</w:t>
            </w:r>
          </w:p>
        </w:tc>
        <w:tc>
          <w:tcPr>
            <w:tcW w:type="dxa" w:w="15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−0.310</w:t>
            </w:r>
          </w:p>
        </w:tc>
        <w:tc>
          <w:tcPr>
            <w:tcW w:type="dxa" w:w="91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0.431</w:t>
            </w:r>
          </w:p>
        </w:tc>
        <w:tc>
          <w:tcPr>
            <w:tcW w:type="dxa" w:w="15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−0.067</w:t>
            </w:r>
          </w:p>
        </w:tc>
        <w:tc>
          <w:tcPr>
            <w:tcW w:type="dxa" w:w="91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0.920</w:t>
            </w:r>
          </w:p>
        </w:tc>
        <w:tc>
          <w:tcPr>
            <w:tcW w:type="dxa" w:w="1671"/>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0.555</w:t>
            </w:r>
          </w:p>
        </w:tc>
      </w:tr>
      <w:tr>
        <w:trPr>
          <w:cantSplit/>
        </w:trPr>
        <w:tc>
          <w:tcPr>
            <w:tcW w:type="dxa" w:w="3115"/>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WTI — Nuclear threat</w:t>
            </w:r>
          </w:p>
        </w:tc>
        <w:tc>
          <w:tcPr>
            <w:tcW w:type="dxa" w:w="151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−1.261</w:t>
            </w:r>
          </w:p>
        </w:tc>
        <w:tc>
          <w:tcPr>
            <w:tcW w:type="dxa" w:w="91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0.122</w:t>
            </w:r>
          </w:p>
        </w:tc>
        <w:tc>
          <w:tcPr>
            <w:tcW w:type="dxa" w:w="151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−1.747</w:t>
            </w:r>
          </w:p>
        </w:tc>
        <w:tc>
          <w:tcPr>
            <w:tcW w:type="dxa" w:w="91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0.231</w:t>
            </w:r>
          </w:p>
        </w:tc>
        <w:tc>
          <w:tcPr>
            <w:tcW w:type="dxa" w:w="1671"/>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0.303</w:t>
            </w:r>
          </w:p>
        </w:tc>
      </w:tr>
    </w:tbl>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 xml:space="preserve">Equation (8) uses </w:t>
      </w:r>
      <m:oMath>
        <m:sSub>
          <m:e>
            <m:r>
              <m:t xml:space="preserve">Z</m:t>
            </m:r>
          </m:e>
          <m:sub>
            <m:r>
              <m:t xml:space="preserve">t</m:t>
            </m:r>
            <m:r>
              <m:t xml:space="preserve">+</m:t>
            </m:r>
            <m:r>
              <m:t xml:space="preserve">2</m:t>
            </m:r>
          </m:sub>
        </m:sSub>
      </m:oMath>
      <w:r>
        <w:rPr>
          <w:rFonts w:ascii="Palatino Linotype" w:hAnsi="Palatino Linotype" w:cs="Palatino Linotype" w:eastAsia="Palatino Linotype"/>
          <w:sz w:val="21"/>
        </w:rPr>
        <w:t xml:space="preserve"> in both horizon regressions and origin-</w:t>
      </w:r>
      <m:oMath>
        <m:r>
          <m:t xml:space="preserve">t</m:t>
        </m:r>
      </m:oMath>
      <w:r>
        <w:rPr>
          <w:rFonts w:ascii="Palatino Linotype" w:hAnsi="Palatino Linotype" w:cs="Palatino Linotype" w:eastAsia="Palatino Linotype"/>
          <w:sz w:val="21"/>
        </w:rPr>
        <w:t xml:space="preserve"> predetermined controls. Rows are from the joint three-category placebo. Coefficients are multiplied by 1,000 only for legibility; they are reduced-form slopes per raw instrument unit, not normalized IV responses. p-values use heteroskedasticity-robust HC3 covariance. The two-horizon test stacks calendar-aligned HC3 influence rows. Joint p tests the two displayed coefficients together using their cross-horizon covariance. Each horizon has 428 usable origins. No post-event horizon enters this table.</w:t>
      </w:r>
    </w:p>
    <w:p>
      <w:pPr>
        <w:spacing w:line="300" w:lineRule="auto" w:after="160"/>
        <w:jc w:val="both"/>
      </w:pPr>
      <w:r>
        <w:rPr>
          <w:rFonts w:ascii="Palatino Linotype" w:hAnsi="Palatino Linotype" w:cs="Palatino Linotype" w:eastAsia="Palatino Linotype"/>
          <w:sz w:val="24"/>
        </w:rPr>
        <w:t>The principal categories do not reject the two-horizon zero restrictions in the joint placebo. The six-coefficient p-value is 0.618 for Brent and 0.555 for WTI. The broader evidence is less uniform: the single-category Brent civil-war test rejects (p&lt;0.001), while terrorism rejects at 10% but not 5% (p=0.126). These outcomes support a category-specific assessment and are not described as universal evidence of non-anticipation. The tests concern association with future-dated curvature, not the exclusion restriction itself.</w:t>
      </w:r>
    </w:p>
    <w:p>
      <w:pPr>
        <w:pStyle w:val="Heading2"/>
      </w:pPr>
      <w:r>
        <w:rPr>
          <w:rFonts w:ascii="Palatino Linotype" w:hAnsi="Palatino Linotype" w:cs="Palatino Linotype" w:eastAsia="Palatino Linotype"/>
          <w:sz w:val="26"/>
        </w:rPr>
        <w:t>5.2 Oil price responses by event type</w:t>
      </w:r>
    </w:p>
    <w:p>
      <w:pPr>
        <w:spacing w:line="300" w:lineRule="auto" w:after="160"/>
        <w:jc w:val="both"/>
      </w:pPr>
      <w:r>
        <w:rPr>
          <w:rFonts w:ascii="Palatino Linotype" w:hAnsi="Palatino Linotype" w:cs="Palatino Linotype" w:eastAsia="Palatino Linotype"/>
          <w:sz w:val="24"/>
        </w:rPr>
        <w:t>Figure 3 reports all nine single-category Brent response profiles, making the breadth of the exercise and the uncertainty visible. The aggregate index averages across geopolitical developments whose implications may differ. The category-specific estimates therefore provide more economic information than an isolated aggregate response. They also show why a finding at one selected horizon should not be read as evidence that every point on a curve differs from zero. Appendix B supplies the corresponding WTI profiles.</w:t>
      </w:r>
    </w:p>
    <w:p>
      <w:pPr>
        <w:keepNext/>
        <w:spacing w:line="300" w:lineRule="auto" w:after="160"/>
        <w:jc w:val="center"/>
      </w:pPr>
      <w:r>
        <w:rPr>
          <w:rFonts w:ascii="Palatino Linotype" w:hAnsi="Palatino Linotype" w:cs="Palatino Linotype" w:eastAsia="Palatino Linotype"/>
          <w:sz w:val="24"/>
        </w:rPr>
        <w:drawing>
          <wp:inline xmlns:a="http://schemas.openxmlformats.org/drawingml/2006/main" xmlns:pic="http://schemas.openxmlformats.org/drawingml/2006/picture">
            <wp:extent cx="5943600" cy="4443274"/>
            <wp:docPr id="3" name="Picture 3"/>
            <wp:cNvGraphicFramePr>
              <a:graphicFrameLocks noChangeAspect="1"/>
            </wp:cNvGraphicFramePr>
            <a:graphic>
              <a:graphicData uri="http://schemas.openxmlformats.org/drawingml/2006/picture">
                <pic:pic>
                  <pic:nvPicPr>
                    <pic:cNvPr id="0" name="fig03_brent_separate_irfs.png"/>
                    <pic:cNvPicPr/>
                  </pic:nvPicPr>
                  <pic:blipFill>
                    <a:blip r:embed="rId12"/>
                    <a:stretch>
                      <a:fillRect/>
                    </a:stretch>
                  </pic:blipFill>
                  <pic:spPr>
                    <a:xfrm>
                      <a:off x="0" y="0"/>
                      <a:ext cx="5943600" cy="4443274"/>
                    </a:xfrm>
                    <a:prstGeom prst="rect"/>
                  </pic:spPr>
                </pic:pic>
              </a:graphicData>
            </a:graphic>
          </wp:inline>
        </w:drawing>
      </w:r>
    </w:p>
    <w:p>
      <w:pPr>
        <w:pStyle w:val="Caption"/>
        <w:keepNext/>
        <w:spacing w:before="180" w:after="80"/>
      </w:pPr>
      <w:r>
        <w:rPr>
          <w:rFonts w:ascii="Palatino Linotype" w:hAnsi="Palatino Linotype" w:cs="Palatino Linotype" w:eastAsia="Palatino Linotype"/>
          <w:sz w:val="22"/>
        </w:rPr>
        <w:t>Fig. 3.  Brent responses in separate geopolitical category models</w:t>
      </w:r>
    </w:p>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 xml:space="preserve">Each panel estimates equation (2) using one endogenous </w:t>
      </w:r>
      <m:oMath>
        <m:r>
          <m:rPr>
            <m:sty m:val="p"/>
          </m:rPr>
          <m:t xml:space="preserve">ln</m:t>
        </m:r>
        <m:r>
          <m:t xml:space="preserve">(</m:t>
        </m:r>
        <m:r>
          <m:t xml:space="preserve">1</m:t>
        </m:r>
        <m:r>
          <m:t xml:space="preserve">+</m:t>
        </m:r>
        <m:sSub>
          <m:e>
            <m:r>
              <m:t xml:space="preserve">G</m:t>
            </m:r>
          </m:e>
          <m:sub>
            <m:r>
              <m:t xml:space="preserve">j</m:t>
            </m:r>
            <m:r>
              <m:t xml:space="preserve">,</m:t>
            </m:r>
            <m:r>
              <m:t xml:space="preserve">t</m:t>
            </m:r>
          </m:sub>
        </m:sSub>
        <m:r>
          <m:t xml:space="preserve">)</m:t>
        </m:r>
      </m:oMath>
      <w:r>
        <w:rPr>
          <w:rFonts w:ascii="Palatino Linotype" w:hAnsi="Palatino Linotype" w:cs="Palatino Linotype" w:eastAsia="Palatino Linotype"/>
          <w:sz w:val="21"/>
        </w:rPr>
        <w:t xml:space="preserve"> regressor instrumented by its raw second difference. Panels are aggregate AI-GPR, military conflict, diplomatic tension, terrorism, civil war, nuclear threat, coup, sanctions, and other events. Responses are normalized to a 10% increase in one plus the category index and measured in log points ×100. Dark and light shaded areas are 90% and 95% heteroskedasticity-robust HC3 pointwise intervals. The baseline includes two lags of activity, oil-production growth, and the included geopolitical regressor, plus three oil-price lags. Horizons are monthly; samples are complete-case and horizon-specific. The exploratory categories require the relevance and timing qualifications in Section 5.1.</w:t>
      </w:r>
    </w:p>
    <w:p>
      <w:pPr>
        <w:spacing w:line="300" w:lineRule="auto" w:after="160"/>
        <w:jc w:val="both"/>
      </w:pPr>
      <w:r>
        <w:rPr>
          <w:rFonts w:ascii="Palatino Linotype" w:hAnsi="Palatino Linotype" w:cs="Palatino Linotype" w:eastAsia="Palatino Linotype"/>
          <w:sz w:val="24"/>
        </w:rPr>
        <w:t>The principal joint model in Figure 4 separates co-moving military, diplomatic, and nuclear variation. Table 4 reports the impact, 12-month, and 24-month coefficients, the two covariance estimates, and exact percentage equivalents. These are effects of variation in the corresponding index conditional on the other two current instrumented categories, rather than separate univariate responses pasted together. The same controls and transformation are applied to Brent and WTI, making their comparison internally consistent.</w:t>
      </w:r>
    </w:p>
    <w:p>
      <w:pPr>
        <w:pStyle w:val="Caption"/>
        <w:keepNext/>
        <w:spacing w:before="180" w:after="80"/>
      </w:pPr>
      <w:r>
        <w:rPr>
          <w:rFonts w:ascii="Palatino Linotype" w:hAnsi="Palatino Linotype" w:cs="Palatino Linotype" w:eastAsia="Palatino Linotype"/>
          <w:sz w:val="22"/>
        </w:rPr>
        <w:t>Table 4  Joint geopolitical responses at selected horizons</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3600"/>
        <w:gridCol w:w="504"/>
        <w:gridCol w:w="1296"/>
        <w:gridCol w:w="1296"/>
        <w:gridCol w:w="1296"/>
        <w:gridCol w:w="1656"/>
      </w:tblGrid>
      <w:tr>
        <w:trPr>
          <w:cantSplit/>
          <w:tblHeader/>
        </w:trPr>
        <w:tc>
          <w:tcPr>
            <w:tcW w:type="dxa" w:w="3600"/>
            <w:vAlign w:val="center"/>
            <w:tcMar>
              <w:top w:w="55" w:type="dxa"/>
              <w:bottom w:w="55" w:type="dxa"/>
              <w:start w:w="55" w:type="dxa"/>
              <w:end w:w="55" w:type="dxa"/>
            </w:tcMar>
            <w:tcBorders>
              <w:bottom w:val="single" w:sz="5"/>
            </w:tcBorders>
          </w:tcPr>
          <w:p>
            <w:pPr>
              <w:spacing w:after="80" w:before="80" w:line="259" w:lineRule="auto"/>
              <w:jc w:val="left"/>
            </w:pPr>
            <w:r>
              <w:rPr>
                <w:rFonts w:ascii="Palatino Linotype" w:hAnsi="Palatino Linotype" w:cs="Palatino Linotype" w:eastAsia="Palatino Linotype"/>
                <w:b/>
                <w:sz w:val="20"/>
              </w:rPr>
              <w:t>Outcome and category</w:t>
            </w:r>
          </w:p>
        </w:tc>
        <w:tc>
          <w:tcPr>
            <w:tcW w:type="dxa" w:w="504"/>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h</w:t>
            </w:r>
          </w:p>
        </w:tc>
        <w:tc>
          <w:tcPr>
            <w:tcW w:type="dxa" w:w="1296"/>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IV slope</w:t>
            </w:r>
          </w:p>
        </w:tc>
        <w:tc>
          <w:tcPr>
            <w:tcW w:type="dxa" w:w="1296"/>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HC3 SE</w:t>
            </w:r>
          </w:p>
        </w:tc>
        <w:tc>
          <w:tcPr>
            <w:tcW w:type="dxa" w:w="1296"/>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HC1 SE</w:t>
            </w:r>
          </w:p>
        </w:tc>
        <w:tc>
          <w:tcPr>
            <w:tcW w:type="dxa" w:w="1656"/>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Effect %</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Brent — Military conflict</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0.069</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0.033</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0.029</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0.66</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Brent — Military conflict</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12</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−0.018</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0.051</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0.047</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−0.17</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Brent — Military conflict</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24</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−0.019</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0.065</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0.061</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−0.18</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Brent — Diplomatic tension</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0.030</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0.034</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0.032</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0.29</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Brent — Diplomatic tension</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12</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−0.173</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0.088</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0.084</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−1.63</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Brent — Diplomatic tension</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24</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−0.309</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0.108</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0.105</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−2.90</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Brent — Nuclear threat</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0.035</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0.017</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0.016</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0.34</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Brent — Nuclear threat</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12</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0.098</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0.046</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0.045</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0.93</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Brent — Nuclear threat</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24</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0.124</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0.048</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0.046</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1.18</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WTI — Military conflict</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0.071</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0.028</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0.024</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0.68</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WTI — Military conflict</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12</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−0.016</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0.048</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0.044</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−0.16</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WTI — Military conflict</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24</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−0.016</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0.061</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0.057</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−0.15</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WTI — Diplomatic tension</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0.035</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0.033</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0.031</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0.34</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WTI — Diplomatic tension</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12</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−0.188</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0.081</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0.078</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−1.77</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WTI — Diplomatic tension</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24</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−0.310</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0.102</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0.098</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−2.91</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WTI — Nuclear threat</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0.030</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0.016</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0.015</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0.29</w:t>
            </w:r>
          </w:p>
        </w:tc>
      </w:tr>
      <w:tr>
        <w:trPr>
          <w:cantSplit/>
        </w:trPr>
        <w:tc>
          <w:tcPr>
            <w:tcW w:type="dxa" w:w="3600"/>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WTI — Nuclear threat</w:t>
            </w:r>
          </w:p>
        </w:tc>
        <w:tc>
          <w:tcPr>
            <w:tcW w:type="dxa" w:w="50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12</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0.093</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0.043</w:t>
            </w:r>
          </w:p>
        </w:tc>
        <w:tc>
          <w:tcPr>
            <w:tcW w:type="dxa" w:w="12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0.041</w:t>
            </w:r>
          </w:p>
        </w:tc>
        <w:tc>
          <w:tcPr>
            <w:tcW w:type="dxa" w:w="165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0.89</w:t>
            </w:r>
          </w:p>
        </w:tc>
      </w:tr>
      <w:tr>
        <w:trPr>
          <w:cantSplit/>
        </w:trPr>
        <w:tc>
          <w:tcPr>
            <w:tcW w:type="dxa" w:w="360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WTI — Nuclear threat</w:t>
            </w:r>
          </w:p>
        </w:tc>
        <w:tc>
          <w:tcPr>
            <w:tcW w:type="dxa" w:w="50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24</w:t>
            </w:r>
          </w:p>
        </w:tc>
        <w:tc>
          <w:tcPr>
            <w:tcW w:type="dxa" w:w="1296"/>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0.107</w:t>
            </w:r>
          </w:p>
        </w:tc>
        <w:tc>
          <w:tcPr>
            <w:tcW w:type="dxa" w:w="1296"/>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0.044</w:t>
            </w:r>
          </w:p>
        </w:tc>
        <w:tc>
          <w:tcPr>
            <w:tcW w:type="dxa" w:w="1296"/>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0.043</w:t>
            </w:r>
          </w:p>
        </w:tc>
        <w:tc>
          <w:tcPr>
            <w:tcW w:type="dxa" w:w="1656"/>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1.02</w:t>
            </w:r>
          </w:p>
        </w:tc>
      </w:tr>
    </w:tbl>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 xml:space="preserve">The joint model includes military conflict, diplomatic tension, and nuclear threat simultaneously, instrumented by their three raw second differences. IV slopes are coefficients on </w:t>
      </w:r>
      <m:oMath>
        <m:r>
          <m:rPr>
            <m:sty m:val="p"/>
          </m:rPr>
          <m:t xml:space="preserve">ln</m:t>
        </m:r>
        <m:r>
          <m:t xml:space="preserve">(</m:t>
        </m:r>
        <m:r>
          <m:t xml:space="preserve">1</m:t>
        </m:r>
        <m:r>
          <m:t xml:space="preserve">+</m:t>
        </m:r>
        <m:r>
          <m:t xml:space="preserve">G</m:t>
        </m:r>
        <m:r>
          <m:t xml:space="preserve">)</m:t>
        </m:r>
      </m:oMath>
      <w:r>
        <w:rPr>
          <w:rFonts w:ascii="Palatino Linotype" w:hAnsi="Palatino Linotype" w:cs="Palatino Linotype" w:eastAsia="Palatino Linotype"/>
          <w:sz w:val="21"/>
        </w:rPr>
        <w:t xml:space="preserve">. Effect % equals </w:t>
      </w:r>
      <m:oMath>
        <m:r>
          <m:t xml:space="preserve">1</m:t>
        </m:r>
        <m:r>
          <m:t xml:space="preserve">0</m:t>
        </m:r>
        <m:r>
          <m:t xml:space="preserve">0</m:t>
        </m:r>
        <m:r>
          <m:t xml:space="preserve">[</m:t>
        </m:r>
        <m:r>
          <m:rPr>
            <m:sty m:val="p"/>
          </m:rPr>
          <m:t xml:space="preserve">exp</m:t>
        </m:r>
        <m:r>
          <m:t xml:space="preserve">(</m:t>
        </m:r>
        <m:sSub>
          <m:e>
            <m:r>
              <m:t xml:space="preserve">β</m:t>
            </m:r>
          </m:e>
          <m:sub>
            <m:r>
              <m:t xml:space="preserve">h</m:t>
            </m:r>
          </m:sub>
        </m:sSub>
        <m:r>
          <m:rPr>
            <m:sty m:val="p"/>
          </m:rPr>
          <m:t xml:space="preserve">ln</m:t>
        </m:r>
        <m:r>
          <m:t xml:space="preserve">(</m:t>
        </m:r>
        <m:r>
          <m:t xml:space="preserve">1</m:t>
        </m:r>
        <m:r>
          <m:t xml:space="preserve">.</m:t>
        </m:r>
        <m:r>
          <m:t xml:space="preserve">1</m:t>
        </m:r>
        <m:r>
          <m:t xml:space="preserve">0</m:t>
        </m:r>
        <m:r>
          <m:t xml:space="preserve">)</m:t>
        </m:r>
        <m:r>
          <m:t xml:space="preserve">)</m:t>
        </m:r>
        <m:r>
          <m:t xml:space="preserve">−</m:t>
        </m:r>
        <m:r>
          <m:t xml:space="preserve">1</m:t>
        </m:r>
        <m:r>
          <m:t xml:space="preserve">]</m:t>
        </m:r>
      </m:oMath>
      <w:r>
        <w:rPr>
          <w:rFonts w:ascii="Palatino Linotype" w:hAnsi="Palatino Linotype" w:cs="Palatino Linotype" w:eastAsia="Palatino Linotype"/>
          <w:sz w:val="21"/>
        </w:rPr>
        <w:t>, a 10% increase in one plus that index with the other current categories held fixed in the model. HC3 uses leverage-adjusted structural IV residuals, with no HAC correction or bandwidth. HC1 is a sensitivity comparison. N=428, 424, and 412 at h=0, 12, and 24, respectively. No significance stars are used; uncertainty is reported directly.</w:t>
      </w:r>
    </w:p>
    <w:p>
      <w:pPr>
        <w:keepNext/>
        <w:spacing w:line="300" w:lineRule="auto" w:after="160"/>
        <w:jc w:val="center"/>
      </w:pPr>
      <w:r>
        <w:rPr>
          <w:rFonts w:ascii="Palatino Linotype" w:hAnsi="Palatino Linotype" w:cs="Palatino Linotype" w:eastAsia="Palatino Linotype"/>
          <w:sz w:val="24"/>
        </w:rPr>
        <w:drawing>
          <wp:inline xmlns:a="http://schemas.openxmlformats.org/drawingml/2006/main" xmlns:pic="http://schemas.openxmlformats.org/drawingml/2006/picture">
            <wp:extent cx="5852160" cy="4977281"/>
            <wp:docPr id="4" name="Picture 4"/>
            <wp:cNvGraphicFramePr>
              <a:graphicFrameLocks noChangeAspect="1"/>
            </wp:cNvGraphicFramePr>
            <a:graphic>
              <a:graphicData uri="http://schemas.openxmlformats.org/drawingml/2006/picture">
                <pic:pic>
                  <pic:nvPicPr>
                    <pic:cNvPr id="0" name="fig04_joint_irfs.png"/>
                    <pic:cNvPicPr/>
                  </pic:nvPicPr>
                  <pic:blipFill>
                    <a:blip r:embed="rId13"/>
                    <a:stretch>
                      <a:fillRect/>
                    </a:stretch>
                  </pic:blipFill>
                  <pic:spPr>
                    <a:xfrm>
                      <a:off x="0" y="0"/>
                      <a:ext cx="5852160" cy="4977281"/>
                    </a:xfrm>
                    <a:prstGeom prst="rect"/>
                  </pic:spPr>
                </pic:pic>
              </a:graphicData>
            </a:graphic>
          </wp:inline>
        </w:drawing>
      </w:r>
    </w:p>
    <w:p>
      <w:pPr>
        <w:pStyle w:val="Caption"/>
        <w:keepNext/>
        <w:spacing w:before="180" w:after="80"/>
      </w:pPr>
      <w:r>
        <w:rPr>
          <w:rFonts w:ascii="Palatino Linotype" w:hAnsi="Palatino Linotype" w:cs="Palatino Linotype" w:eastAsia="Palatino Linotype"/>
          <w:sz w:val="22"/>
        </w:rPr>
        <w:t>Fig. 4.  Joint geopolitical responses of Brent and WTI</w:t>
      </w:r>
    </w:p>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Rows correspond to military conflict, diplomatic tension, and nuclear threat; the left column is Brent and the right column WTI. Equation (6) instruments all three current category regressors jointly with their raw second differences. Responses are measured in log points ×100 for a 10% increase in one plus the corresponding index. Dark and light areas are 90% and 95% heteroskedasticity-robust HC3 pointwise intervals. The same baseline lag augmentation is used in each panel. The limits of the vertical axes are matched within each row, not across different event types. These are pointwise intervals, not simultaneous path bands.</w:t>
      </w:r>
    </w:p>
    <w:p>
      <w:pPr>
        <w:spacing w:line="300" w:lineRule="auto" w:after="160"/>
        <w:jc w:val="both"/>
      </w:pPr>
      <w:r>
        <w:rPr>
          <w:rFonts w:ascii="Palatino Linotype" w:hAnsi="Palatino Linotype" w:cs="Palatino Linotype" w:eastAsia="Palatino Linotype"/>
          <w:sz w:val="24"/>
        </w:rPr>
        <w:t>Military conflict raises the estimated Brent price on impact: the joint coefficient is 0.069, corresponding to 0.66% for the stated normalization. At 24 months it is −0.019 and its confidence interval includes zero. The short-run positive response is compatible with disruption concerns or precautionary demand, but it does not establish which mechanism dominates. Nor does an impact rejection justify a claim that the military response is nonzero over the entire four-year horizon.</w:t>
      </w:r>
    </w:p>
    <w:p>
      <w:pPr>
        <w:spacing w:line="300" w:lineRule="auto" w:after="160"/>
        <w:jc w:val="both"/>
      </w:pPr>
      <w:r>
        <w:rPr>
          <w:rFonts w:ascii="Palatino Linotype" w:hAnsi="Palatino Linotype" w:cs="Palatino Linotype" w:eastAsia="Palatino Linotype"/>
          <w:sz w:val="24"/>
        </w:rPr>
        <w:t>Diplomatic tension exhibits a negative medium-run response. At 24 months the joint Brent slope is −0.309, with HC3 standard error 0.108 and HC1 sensitivity standard error 0.105. Its exact normalized price response is -2.90%. A deterioration in diplomatic conditions can depress expectations of trade and global activity, reducing expected oil demand. The sign is consistent with that interpretation, but the specification does not estimate expectations or trade quantities as separate mediators. The negative price response is a reduced description of the total instrumented geopolitical effect.</w:t>
      </w:r>
    </w:p>
    <w:p>
      <w:pPr>
        <w:spacing w:line="300" w:lineRule="auto" w:after="160"/>
        <w:jc w:val="both"/>
      </w:pPr>
      <w:r>
        <w:rPr>
          <w:rFonts w:ascii="Palatino Linotype" w:hAnsi="Palatino Linotype"/>
          <w:sz w:val="24"/>
        </w:rPr>
        <w:t>The nuclear-threat response is positive at the same horizon: the joint Brent coefficient is 0.124, with HC3 standard error 0.048 and HC1 sensitivity standard error 0.046, implying 1.18%. Nuclear turning points need not remove oil from the market immediately. They instead convey information about the upper tail of future disruption: even a small increase in the perceived probability of an exceptionally costly state can raise precautionary inventory demand, risk compensation, and the option value of secure oil supplies. The medium-run profile is consistent with a persistent reassessment of the geopolitical regime, as sanctions expectations, alliance positions, military deployments, contingency plans, and strategic stock decisions adjust gradually. Oil prices are forward-looking, so this interpretation does not require a contemporaneous collapse in physical production. It is therefore best understood as the pricing of geopolitical tail risk and energy-security insurance, rather than as evidence that nuclear threats systematically cause an immediate supply contraction. The joint estimate is larger than the separate-category nuclear estimate at this horizon, illustrating why accounting for co-moving diplomatic and military conditions changes the conditional estimand. This full-sample result must also be read alongside the historical evidence below.</w:t>
      </w:r>
    </w:p>
    <w:p>
      <w:pPr>
        <w:spacing w:line="300" w:lineRule="auto" w:after="160"/>
        <w:jc w:val="both"/>
      </w:pPr>
      <w:r>
        <w:rPr>
          <w:rFonts w:ascii="Palatino Linotype" w:hAnsi="Palatino Linotype" w:cs="Palatino Linotype" w:eastAsia="Palatino Linotype"/>
          <w:sz w:val="24"/>
        </w:rPr>
        <w:t xml:space="preserve">A formal equality test in the joint Brent model does not reject at impact (HC3 p=0.516), but rejects at 12 months (p=0.020) and 24 months (p&lt;0.001). Thus the strongest evidence of cross-category heterogeneity is in the medium-run response. The tested null is equality of slopes under an equal </w:t>
      </w:r>
      <m:oMath>
        <m:r>
          <m:rPr>
            <m:sty m:val="p"/>
          </m:rPr>
          <m:t xml:space="preserve">ln</m:t>
        </m:r>
        <m:r>
          <m:t xml:space="preserve">(</m:t>
        </m:r>
        <m:r>
          <m:t xml:space="preserve">1</m:t>
        </m:r>
        <m:r>
          <m:t xml:space="preserve">+</m:t>
        </m:r>
        <m:r>
          <m:t xml:space="preserve">G</m:t>
        </m:r>
        <m:r>
          <m:t xml:space="preserve">)</m:t>
        </m:r>
      </m:oMath>
      <w:r>
        <w:rPr>
          <w:rFonts w:ascii="Palatino Linotype" w:hAnsi="Palatino Linotype" w:cs="Palatino Linotype" w:eastAsia="Palatino Linotype"/>
          <w:sz w:val="24"/>
        </w:rPr>
        <w:t xml:space="preserve"> normalization; it is not equality of effects of three historically equivalent events. The selected-path equality test also rejects, using the cross-horizon and cross-category covariance rather than treating the coefficient estimates as independent.</w:t>
      </w:r>
    </w:p>
    <w:p>
      <w:pPr>
        <w:pStyle w:val="Heading1"/>
      </w:pPr>
      <w:r>
        <w:rPr>
          <w:rFonts w:ascii="Palatino Linotype" w:hAnsi="Palatino Linotype" w:cs="Palatino Linotype" w:eastAsia="Palatino Linotype"/>
          <w:sz w:val="30"/>
        </w:rPr>
        <w:t>6 Robustness and limits of interpretation</w:t>
      </w:r>
    </w:p>
    <w:p>
      <w:pPr>
        <w:pStyle w:val="Heading2"/>
      </w:pPr>
      <w:r>
        <w:rPr>
          <w:rFonts w:ascii="Palatino Linotype" w:hAnsi="Palatino Linotype" w:cs="Palatino Linotype" w:eastAsia="Palatino Linotype"/>
          <w:sz w:val="26"/>
        </w:rPr>
        <w:t>6.1 Alternative inference and conditional instrument strength</w:t>
      </w:r>
    </w:p>
    <w:p>
      <w:pPr>
        <w:spacing w:line="300" w:lineRule="auto" w:after="160"/>
        <w:jc w:val="both"/>
      </w:pPr>
      <w:r>
        <w:rPr>
          <w:rFonts w:ascii="Palatino Linotype" w:hAnsi="Palatino Linotype" w:cs="Palatino Linotype" w:eastAsia="Palatino Linotype"/>
          <w:sz w:val="24"/>
        </w:rPr>
        <w:t>Table 5 compares the lag-augmented HC3 baseline with a conventional projection using two price lags and a six-month Newey–West correction. Each pair is re-estimated on exactly the same observations. Both the dynamic specification and covariance estimator differ, so the conventional coefficient is reported separately rather than attaching its standard error to the augmented estimate. Additional conventional-model bandwidths of 4, 12, 24, and 48 months are retained in the supplementary results. HC1 is also reported as a finite-sample covariance sensitivity for the unchanged augmented model.</w:t>
      </w:r>
    </w:p>
    <w:p>
      <w:pPr>
        <w:pStyle w:val="Caption"/>
        <w:keepNext/>
        <w:spacing w:before="180" w:after="80"/>
      </w:pPr>
      <w:r>
        <w:rPr>
          <w:rFonts w:ascii="Palatino Linotype" w:hAnsi="Palatino Linotype" w:cs="Palatino Linotype" w:eastAsia="Palatino Linotype"/>
          <w:sz w:val="22"/>
        </w:rPr>
        <w:t>Table 5  Lag augmentation and conventional inference for Brent</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716"/>
        <w:gridCol w:w="429"/>
        <w:gridCol w:w="1644"/>
        <w:gridCol w:w="1429"/>
        <w:gridCol w:w="1858"/>
        <w:gridCol w:w="1572"/>
      </w:tblGrid>
      <w:tr>
        <w:trPr>
          <w:cantSplit/>
          <w:tblHeader/>
        </w:trPr>
        <w:tc>
          <w:tcPr>
            <w:tcW w:type="dxa" w:w="2716"/>
            <w:vAlign w:val="center"/>
            <w:tcMar>
              <w:top w:w="55" w:type="dxa"/>
              <w:bottom w:w="55" w:type="dxa"/>
              <w:start w:w="55" w:type="dxa"/>
              <w:end w:w="55" w:type="dxa"/>
            </w:tcMar>
            <w:tcBorders>
              <w:bottom w:val="single" w:sz="5"/>
            </w:tcBorders>
          </w:tcPr>
          <w:p>
            <w:pPr>
              <w:keepNext/>
              <w:spacing w:after="80" w:before="80" w:line="259" w:lineRule="auto"/>
              <w:jc w:val="left"/>
            </w:pPr>
            <w:r>
              <w:rPr>
                <w:rFonts w:ascii="Palatino Linotype" w:hAnsi="Palatino Linotype" w:cs="Palatino Linotype" w:eastAsia="Palatino Linotype"/>
                <w:b/>
                <w:sz w:val="20"/>
              </w:rPr>
              <w:t>Category</w:t>
            </w:r>
          </w:p>
        </w:tc>
        <w:tc>
          <w:tcPr>
            <w:tcW w:type="dxa" w:w="429"/>
            <w:vAlign w:val="center"/>
            <w:tcMar>
              <w:top w:w="55" w:type="dxa"/>
              <w:bottom w:w="55" w:type="dxa"/>
              <w:start w:w="55" w:type="dxa"/>
              <w:end w:w="55" w:type="dxa"/>
            </w:tcMar>
            <w:tcBorders>
              <w:bottom w:val="single" w:sz="5"/>
            </w:tcBorders>
          </w:tcPr>
          <w:p>
            <w:pPr>
              <w:keepNext/>
              <w:spacing w:after="80" w:before="80" w:line="259" w:lineRule="auto"/>
              <w:jc w:val="center"/>
            </w:pPr>
            <w:r>
              <w:rPr>
                <w:rFonts w:ascii="Palatino Linotype" w:hAnsi="Palatino Linotype" w:cs="Palatino Linotype" w:eastAsia="Palatino Linotype"/>
                <w:b/>
                <w:sz w:val="20"/>
              </w:rPr>
              <w:t>h</w:t>
            </w:r>
          </w:p>
        </w:tc>
        <w:tc>
          <w:tcPr>
            <w:tcW w:type="dxa" w:w="1644"/>
            <w:vAlign w:val="center"/>
            <w:tcMar>
              <w:top w:w="55" w:type="dxa"/>
              <w:bottom w:w="55" w:type="dxa"/>
              <w:start w:w="55" w:type="dxa"/>
              <w:end w:w="55" w:type="dxa"/>
            </w:tcMar>
            <w:tcBorders>
              <w:bottom w:val="single" w:sz="5"/>
            </w:tcBorders>
          </w:tcPr>
          <w:p>
            <w:pPr>
              <w:keepNext/>
              <w:spacing w:after="80" w:before="80" w:line="259" w:lineRule="auto"/>
              <w:jc w:val="center"/>
            </w:pPr>
            <w:r>
              <w:rPr>
                <w:rFonts w:ascii="Palatino Linotype" w:hAnsi="Palatino Linotype" w:cs="Palatino Linotype" w:eastAsia="Palatino Linotype"/>
                <w:b/>
                <w:sz w:val="20"/>
              </w:rPr>
              <w:t>Augmented slope</w:t>
            </w:r>
          </w:p>
        </w:tc>
        <w:tc>
          <w:tcPr>
            <w:tcW w:type="dxa" w:w="1429"/>
            <w:vAlign w:val="center"/>
            <w:tcMar>
              <w:top w:w="55" w:type="dxa"/>
              <w:bottom w:w="55" w:type="dxa"/>
              <w:start w:w="55" w:type="dxa"/>
              <w:end w:w="55" w:type="dxa"/>
            </w:tcMar>
            <w:tcBorders>
              <w:bottom w:val="single" w:sz="5"/>
            </w:tcBorders>
          </w:tcPr>
          <w:p>
            <w:pPr>
              <w:keepNext/>
              <w:spacing w:after="80" w:before="80" w:line="259" w:lineRule="auto"/>
              <w:jc w:val="center"/>
            </w:pPr>
            <w:r>
              <w:rPr>
                <w:rFonts w:ascii="Palatino Linotype" w:hAnsi="Palatino Linotype" w:cs="Palatino Linotype" w:eastAsia="Palatino Linotype"/>
                <w:b/>
                <w:sz w:val="20"/>
              </w:rPr>
              <w:t>HC3 SE</w:t>
            </w:r>
          </w:p>
        </w:tc>
        <w:tc>
          <w:tcPr>
            <w:tcW w:type="dxa" w:w="1858"/>
            <w:vAlign w:val="center"/>
            <w:tcMar>
              <w:top w:w="55" w:type="dxa"/>
              <w:bottom w:w="55" w:type="dxa"/>
              <w:start w:w="55" w:type="dxa"/>
              <w:end w:w="55" w:type="dxa"/>
            </w:tcMar>
            <w:tcBorders>
              <w:bottom w:val="single" w:sz="5"/>
            </w:tcBorders>
          </w:tcPr>
          <w:p>
            <w:pPr>
              <w:keepNext/>
              <w:spacing w:after="80" w:before="80" w:line="259" w:lineRule="auto"/>
              <w:jc w:val="center"/>
            </w:pPr>
            <w:r>
              <w:rPr>
                <w:rFonts w:ascii="Palatino Linotype" w:hAnsi="Palatino Linotype" w:cs="Palatino Linotype" w:eastAsia="Palatino Linotype"/>
                <w:b/>
                <w:sz w:val="20"/>
              </w:rPr>
              <w:t>Conventional slope</w:t>
            </w:r>
          </w:p>
        </w:tc>
        <w:tc>
          <w:tcPr>
            <w:tcW w:type="dxa" w:w="1572"/>
            <w:vAlign w:val="center"/>
            <w:tcMar>
              <w:top w:w="55" w:type="dxa"/>
              <w:bottom w:w="55" w:type="dxa"/>
              <w:start w:w="55" w:type="dxa"/>
              <w:end w:w="55" w:type="dxa"/>
            </w:tcMar>
            <w:tcBorders>
              <w:bottom w:val="single" w:sz="5"/>
            </w:tcBorders>
          </w:tcPr>
          <w:p>
            <w:pPr>
              <w:keepNext/>
              <w:spacing w:after="80" w:before="80" w:line="259" w:lineRule="auto"/>
              <w:jc w:val="center"/>
            </w:pPr>
            <w:r>
              <w:rPr>
                <w:rFonts w:ascii="Palatino Linotype" w:hAnsi="Palatino Linotype" w:cs="Palatino Linotype" w:eastAsia="Palatino Linotype"/>
                <w:b/>
                <w:sz w:val="20"/>
              </w:rPr>
              <w:t>NW6 SE</w:t>
            </w:r>
          </w:p>
        </w:tc>
      </w:tr>
      <w:tr>
        <w:trPr>
          <w:cantSplit/>
        </w:trPr>
        <w:tc>
          <w:tcPr>
            <w:tcW w:type="dxa" w:w="2716"/>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Military conflict</w:t>
            </w:r>
          </w:p>
        </w:tc>
        <w:tc>
          <w:tcPr>
            <w:tcW w:type="dxa" w:w="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w:t>
            </w:r>
          </w:p>
        </w:tc>
        <w:tc>
          <w:tcPr>
            <w:tcW w:type="dxa" w:w="16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0.069</w:t>
            </w:r>
          </w:p>
        </w:tc>
        <w:tc>
          <w:tcPr>
            <w:tcW w:type="dxa" w:w="1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0.033</w:t>
            </w:r>
          </w:p>
        </w:tc>
        <w:tc>
          <w:tcPr>
            <w:tcW w:type="dxa" w:w="1858"/>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0.071</w:t>
            </w:r>
          </w:p>
        </w:tc>
        <w:tc>
          <w:tcPr>
            <w:tcW w:type="dxa" w:w="157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0.026</w:t>
            </w:r>
          </w:p>
        </w:tc>
      </w:tr>
      <w:tr>
        <w:trPr>
          <w:cantSplit/>
        </w:trPr>
        <w:tc>
          <w:tcPr>
            <w:tcW w:type="dxa" w:w="2716"/>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Military conflict</w:t>
            </w:r>
          </w:p>
        </w:tc>
        <w:tc>
          <w:tcPr>
            <w:tcW w:type="dxa" w:w="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12</w:t>
            </w:r>
          </w:p>
        </w:tc>
        <w:tc>
          <w:tcPr>
            <w:tcW w:type="dxa" w:w="16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−0.018</w:t>
            </w:r>
          </w:p>
        </w:tc>
        <w:tc>
          <w:tcPr>
            <w:tcW w:type="dxa" w:w="1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0.051</w:t>
            </w:r>
          </w:p>
        </w:tc>
        <w:tc>
          <w:tcPr>
            <w:tcW w:type="dxa" w:w="1858"/>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−0.015</w:t>
            </w:r>
          </w:p>
        </w:tc>
        <w:tc>
          <w:tcPr>
            <w:tcW w:type="dxa" w:w="157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0.036</w:t>
            </w:r>
          </w:p>
        </w:tc>
      </w:tr>
      <w:tr>
        <w:trPr>
          <w:cantSplit/>
        </w:trPr>
        <w:tc>
          <w:tcPr>
            <w:tcW w:type="dxa" w:w="2716"/>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Military conflict</w:t>
            </w:r>
          </w:p>
        </w:tc>
        <w:tc>
          <w:tcPr>
            <w:tcW w:type="dxa" w:w="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24</w:t>
            </w:r>
          </w:p>
        </w:tc>
        <w:tc>
          <w:tcPr>
            <w:tcW w:type="dxa" w:w="16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−0.019</w:t>
            </w:r>
          </w:p>
        </w:tc>
        <w:tc>
          <w:tcPr>
            <w:tcW w:type="dxa" w:w="1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0.065</w:t>
            </w:r>
          </w:p>
        </w:tc>
        <w:tc>
          <w:tcPr>
            <w:tcW w:type="dxa" w:w="1858"/>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−0.017</w:t>
            </w:r>
          </w:p>
        </w:tc>
        <w:tc>
          <w:tcPr>
            <w:tcW w:type="dxa" w:w="157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0.043</w:t>
            </w:r>
          </w:p>
        </w:tc>
      </w:tr>
      <w:tr>
        <w:trPr>
          <w:cantSplit/>
        </w:trPr>
        <w:tc>
          <w:tcPr>
            <w:tcW w:type="dxa" w:w="2716"/>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Diplomatic tension</w:t>
            </w:r>
          </w:p>
        </w:tc>
        <w:tc>
          <w:tcPr>
            <w:tcW w:type="dxa" w:w="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w:t>
            </w:r>
          </w:p>
        </w:tc>
        <w:tc>
          <w:tcPr>
            <w:tcW w:type="dxa" w:w="16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0.030</w:t>
            </w:r>
          </w:p>
        </w:tc>
        <w:tc>
          <w:tcPr>
            <w:tcW w:type="dxa" w:w="1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0.034</w:t>
            </w:r>
          </w:p>
        </w:tc>
        <w:tc>
          <w:tcPr>
            <w:tcW w:type="dxa" w:w="1858"/>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0.029</w:t>
            </w:r>
          </w:p>
        </w:tc>
        <w:tc>
          <w:tcPr>
            <w:tcW w:type="dxa" w:w="157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0.034</w:t>
            </w:r>
          </w:p>
        </w:tc>
      </w:tr>
      <w:tr>
        <w:trPr>
          <w:cantSplit/>
        </w:trPr>
        <w:tc>
          <w:tcPr>
            <w:tcW w:type="dxa" w:w="2716"/>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Diplomatic tension</w:t>
            </w:r>
          </w:p>
        </w:tc>
        <w:tc>
          <w:tcPr>
            <w:tcW w:type="dxa" w:w="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12</w:t>
            </w:r>
          </w:p>
        </w:tc>
        <w:tc>
          <w:tcPr>
            <w:tcW w:type="dxa" w:w="16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−0.173</w:t>
            </w:r>
          </w:p>
        </w:tc>
        <w:tc>
          <w:tcPr>
            <w:tcW w:type="dxa" w:w="1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0.088</w:t>
            </w:r>
          </w:p>
        </w:tc>
        <w:tc>
          <w:tcPr>
            <w:tcW w:type="dxa" w:w="1858"/>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−0.175</w:t>
            </w:r>
          </w:p>
        </w:tc>
        <w:tc>
          <w:tcPr>
            <w:tcW w:type="dxa" w:w="157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0.072</w:t>
            </w:r>
          </w:p>
        </w:tc>
      </w:tr>
      <w:tr>
        <w:trPr>
          <w:cantSplit/>
        </w:trPr>
        <w:tc>
          <w:tcPr>
            <w:tcW w:type="dxa" w:w="2716"/>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Diplomatic tension</w:t>
            </w:r>
          </w:p>
        </w:tc>
        <w:tc>
          <w:tcPr>
            <w:tcW w:type="dxa" w:w="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24</w:t>
            </w:r>
          </w:p>
        </w:tc>
        <w:tc>
          <w:tcPr>
            <w:tcW w:type="dxa" w:w="16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−0.309</w:t>
            </w:r>
          </w:p>
        </w:tc>
        <w:tc>
          <w:tcPr>
            <w:tcW w:type="dxa" w:w="1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0.108</w:t>
            </w:r>
          </w:p>
        </w:tc>
        <w:tc>
          <w:tcPr>
            <w:tcW w:type="dxa" w:w="1858"/>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−0.310</w:t>
            </w:r>
          </w:p>
        </w:tc>
        <w:tc>
          <w:tcPr>
            <w:tcW w:type="dxa" w:w="157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0.082</w:t>
            </w:r>
          </w:p>
        </w:tc>
      </w:tr>
      <w:tr>
        <w:trPr>
          <w:cantSplit/>
        </w:trPr>
        <w:tc>
          <w:tcPr>
            <w:tcW w:type="dxa" w:w="2716"/>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Nuclear threat</w:t>
            </w:r>
          </w:p>
        </w:tc>
        <w:tc>
          <w:tcPr>
            <w:tcW w:type="dxa" w:w="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w:t>
            </w:r>
          </w:p>
        </w:tc>
        <w:tc>
          <w:tcPr>
            <w:tcW w:type="dxa" w:w="16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0.035</w:t>
            </w:r>
          </w:p>
        </w:tc>
        <w:tc>
          <w:tcPr>
            <w:tcW w:type="dxa" w:w="1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0.017</w:t>
            </w:r>
          </w:p>
        </w:tc>
        <w:tc>
          <w:tcPr>
            <w:tcW w:type="dxa" w:w="1858"/>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0.036</w:t>
            </w:r>
          </w:p>
        </w:tc>
        <w:tc>
          <w:tcPr>
            <w:tcW w:type="dxa" w:w="157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0.015</w:t>
            </w:r>
          </w:p>
        </w:tc>
      </w:tr>
      <w:tr>
        <w:trPr>
          <w:cantSplit/>
        </w:trPr>
        <w:tc>
          <w:tcPr>
            <w:tcW w:type="dxa" w:w="2716"/>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Nuclear threat</w:t>
            </w:r>
          </w:p>
        </w:tc>
        <w:tc>
          <w:tcPr>
            <w:tcW w:type="dxa" w:w="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12</w:t>
            </w:r>
          </w:p>
        </w:tc>
        <w:tc>
          <w:tcPr>
            <w:tcW w:type="dxa" w:w="16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0.098</w:t>
            </w:r>
          </w:p>
        </w:tc>
        <w:tc>
          <w:tcPr>
            <w:tcW w:type="dxa" w:w="1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0.046</w:t>
            </w:r>
          </w:p>
        </w:tc>
        <w:tc>
          <w:tcPr>
            <w:tcW w:type="dxa" w:w="1858"/>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0.099</w:t>
            </w:r>
          </w:p>
        </w:tc>
        <w:tc>
          <w:tcPr>
            <w:tcW w:type="dxa" w:w="157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0.036</w:t>
            </w:r>
          </w:p>
        </w:tc>
      </w:tr>
      <w:tr>
        <w:trPr>
          <w:cantSplit/>
        </w:trPr>
        <w:tc>
          <w:tcPr>
            <w:tcW w:type="dxa" w:w="2716"/>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Nuclear threat</w:t>
            </w:r>
          </w:p>
        </w:tc>
        <w:tc>
          <w:tcPr>
            <w:tcW w:type="dxa" w:w="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24</w:t>
            </w:r>
          </w:p>
        </w:tc>
        <w:tc>
          <w:tcPr>
            <w:tcW w:type="dxa" w:w="16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0.124</w:t>
            </w:r>
          </w:p>
        </w:tc>
        <w:tc>
          <w:tcPr>
            <w:tcW w:type="dxa" w:w="1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0.048</w:t>
            </w:r>
          </w:p>
        </w:tc>
        <w:tc>
          <w:tcPr>
            <w:tcW w:type="dxa" w:w="1858"/>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0.125</w:t>
            </w:r>
          </w:p>
        </w:tc>
        <w:tc>
          <w:tcPr>
            <w:tcW w:type="dxa" w:w="157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0.042</w:t>
            </w:r>
          </w:p>
        </w:tc>
      </w:tr>
    </w:tbl>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Both models are IV local projections with the same instruments and matched observations. The augmented equation uses three price lags and HC3; the conventional equation uses two price lags and six-month Bartlett Newey–West standard errors. The other lag blocks contain two lags in both regressions. Each standard error belongs to the coefficient displayed immediately to its left. These are alternative estimators, not two corrections applied to one baseline.</w:t>
      </w:r>
    </w:p>
    <w:p>
      <w:pPr>
        <w:pStyle w:val="Caption"/>
        <w:keepNext/>
        <w:spacing w:before="180" w:after="80"/>
      </w:pPr>
      <w:r>
        <w:rPr>
          <w:rFonts w:ascii="Palatino Linotype" w:hAnsi="Palatino Linotype" w:cs="Palatino Linotype" w:eastAsia="Palatino Linotype"/>
          <w:sz w:val="22"/>
        </w:rPr>
        <w:t>Table 6  Sanderson Windmeijer conditional first stage statistics</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3456"/>
        <w:gridCol w:w="3096"/>
        <w:gridCol w:w="3096"/>
      </w:tblGrid>
      <w:tr>
        <w:trPr>
          <w:cantSplit/>
          <w:tblHeader/>
        </w:trPr>
        <w:tc>
          <w:tcPr>
            <w:tcW w:type="dxa" w:w="3456"/>
            <w:vAlign w:val="center"/>
            <w:tcMar>
              <w:top w:w="55" w:type="dxa"/>
              <w:bottom w:w="55" w:type="dxa"/>
              <w:start w:w="55" w:type="dxa"/>
              <w:end w:w="55" w:type="dxa"/>
            </w:tcMar>
            <w:tcBorders>
              <w:bottom w:val="single" w:sz="5"/>
            </w:tcBorders>
          </w:tcPr>
          <w:p>
            <w:pPr>
              <w:spacing w:after="80" w:before="80" w:line="259" w:lineRule="auto"/>
              <w:jc w:val="left"/>
            </w:pPr>
            <w:r>
              <w:rPr>
                <w:rFonts w:ascii="Palatino Linotype" w:hAnsi="Palatino Linotype" w:cs="Palatino Linotype" w:eastAsia="Palatino Linotype"/>
                <w:b/>
                <w:sz w:val="20"/>
              </w:rPr>
              <w:t>Category</w:t>
            </w:r>
          </w:p>
        </w:tc>
        <w:tc>
          <w:tcPr>
            <w:tcW w:type="dxa" w:w="3096"/>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Brent horizons 0–48</w:t>
            </w:r>
          </w:p>
        </w:tc>
        <w:tc>
          <w:tcPr>
            <w:tcW w:type="dxa" w:w="3096"/>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WTI horizons 0–48</w:t>
            </w:r>
          </w:p>
        </w:tc>
      </w:tr>
      <w:tr>
        <w:trPr>
          <w:cantSplit/>
        </w:trPr>
        <w:tc>
          <w:tcPr>
            <w:tcW w:type="dxa" w:w="3456"/>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Military conflict</w:t>
            </w:r>
          </w:p>
        </w:tc>
        <w:tc>
          <w:tcPr>
            <w:tcW w:type="dxa" w:w="30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179.4–210.6</w:t>
            </w:r>
          </w:p>
        </w:tc>
        <w:tc>
          <w:tcPr>
            <w:tcW w:type="dxa" w:w="30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181.1–212.0</w:t>
            </w:r>
          </w:p>
        </w:tc>
      </w:tr>
      <w:tr>
        <w:trPr>
          <w:cantSplit/>
        </w:trPr>
        <w:tc>
          <w:tcPr>
            <w:tcW w:type="dxa" w:w="3456"/>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Diplomatic tension</w:t>
            </w:r>
          </w:p>
        </w:tc>
        <w:tc>
          <w:tcPr>
            <w:tcW w:type="dxa" w:w="30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551.4–694.9</w:t>
            </w:r>
          </w:p>
        </w:tc>
        <w:tc>
          <w:tcPr>
            <w:tcW w:type="dxa" w:w="30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559.1–705.0</w:t>
            </w:r>
          </w:p>
        </w:tc>
      </w:tr>
      <w:tr>
        <w:trPr>
          <w:cantSplit/>
        </w:trPr>
        <w:tc>
          <w:tcPr>
            <w:tcW w:type="dxa" w:w="3456"/>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Nuclear threat</w:t>
            </w:r>
          </w:p>
        </w:tc>
        <w:tc>
          <w:tcPr>
            <w:tcW w:type="dxa" w:w="3096"/>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440.1–463.9</w:t>
            </w:r>
          </w:p>
        </w:tc>
        <w:tc>
          <w:tcPr>
            <w:tcW w:type="dxa" w:w="3096"/>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442.0–465.6</w:t>
            </w:r>
          </w:p>
        </w:tc>
      </w:tr>
    </w:tbl>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The statistic tests the conditional first stage for each endogenous category in the joint three-regressor model. Each cell reports the minimum and maximum across the 49 horizon-specific complete-case samples. The classical Sanderson–Windmeijer correction is homoskedastic and is reported separately from the HC3 single-category relevance statistics in Table 2. All values are far above conventional weak-instrument ranges. The diagnostic establishes conditional relevance; it does not test exclusion.</w:t>
      </w:r>
    </w:p>
    <w:p>
      <w:pPr>
        <w:spacing w:line="300" w:lineRule="auto" w:after="160"/>
        <w:jc w:val="both"/>
      </w:pPr>
      <w:r>
        <w:rPr>
          <w:rFonts w:ascii="Palatino Linotype" w:hAnsi="Palatino Linotype" w:cs="Palatino Linotype" w:eastAsia="Palatino Linotype"/>
          <w:sz w:val="24"/>
        </w:rPr>
        <w:t>Conditional relevance is uniformly strong in the joint specification. Across the 49 Brent horizons, the Sanderson–Windmeijer statistic ranges from 179.4 to 210.6 for military conflict, from 551.4 to 694.9 for diplomatic tension, and from 440.1 to 463.9 for nuclear threat. The corresponding WTI minima are 181.1, 559.1, and 442.0. These values establish exceptionally strong conditional relevance, although they do not bear on exclusion.</w:t>
      </w:r>
    </w:p>
    <w:p>
      <w:pPr>
        <w:spacing w:line="300" w:lineRule="auto" w:after="160"/>
        <w:jc w:val="both"/>
      </w:pPr>
      <w:r>
        <w:rPr>
          <w:rFonts w:ascii="Palatino Linotype" w:hAnsi="Palatino Linotype" w:cs="Palatino Linotype" w:eastAsia="Palatino Linotype"/>
          <w:sz w:val="24"/>
        </w:rPr>
        <w:t>Simultaneous bands address the uncertainty associated with examining the entire response curve. With independent monthly multipliers, the 95% joint Brent diplomatic band contains zero at every horizon, despite pointwise rejections in the medium run. The nuclear band excludes zero at months 18, 19, 20, 21, 22. Thus evidence for a nonzero diplomatic response is weaker when inference is adjusted for inspecting the entire curve. Six- and twelve-month blocks assess sensitivity of the simultaneous calculation to dependence across months. These fixed-design influence approximations are not resampling estimates of geopolitical events and do not provide global multiplicity control over all models.</w:t>
      </w:r>
    </w:p>
    <w:p>
      <w:pPr>
        <w:pStyle w:val="Heading2"/>
      </w:pPr>
      <w:r>
        <w:rPr>
          <w:rFonts w:ascii="Palatino Linotype" w:hAnsi="Palatino Linotype" w:cs="Palatino Linotype" w:eastAsia="Palatino Linotype"/>
          <w:sz w:val="26"/>
        </w:rPr>
        <w:t>6.2 Episodes and estimation periods</w:t>
      </w:r>
    </w:p>
    <w:p>
      <w:pPr>
        <w:spacing w:line="300" w:lineRule="auto" w:after="160"/>
        <w:jc w:val="both"/>
      </w:pPr>
      <w:r>
        <w:rPr>
          <w:rFonts w:ascii="Palatino Linotype" w:hAnsi="Palatino Linotype" w:cs="Palatino Linotype" w:eastAsia="Palatino Linotype"/>
          <w:sz w:val="24"/>
        </w:rPr>
        <w:t>The event-exclusion exercise removes origin months within one month of twelve major geopolitical episodes, one episode at a time, with all lags and leads constructed beforehand. The episodes include the Gulf conflicts, the 1998 South Asian nuclear tests, September 11, North Korean escalations, the Libyan uprising, the Russian invasion of Ukraine, and the October 2023 outbreak of war between Israel and Hamas. These are checks on the contribution of origin-month windows, not estimates on a sample purged of every future outcome influenced by those events. In particular, a retained earlier origin may still have a long-horizon outcome falling in an excluded event month.</w:t>
      </w:r>
    </w:p>
    <w:p>
      <w:pPr>
        <w:spacing w:line="300" w:lineRule="auto" w:after="160"/>
        <w:jc w:val="both"/>
      </w:pPr>
      <w:r>
        <w:rPr>
          <w:rFonts w:ascii="Palatino Linotype" w:hAnsi="Palatino Linotype" w:cs="Palatino Linotype" w:eastAsia="Palatino Linotype"/>
          <w:sz w:val="24"/>
        </w:rPr>
        <w:t>For diplomatic tension at horizon 24, the separate-category Brent coefficient ranges from −0.316 to −0.300 across the twelve origin-window exclusions. The baseline coefficient is −0.308. The range describes sensitivity to these particular windows; it does not identify which geopolitical episode supplied an exogenous intervention, and it is not a confidence interval.</w:t>
      </w:r>
    </w:p>
    <w:p>
      <w:pPr>
        <w:spacing w:line="300" w:lineRule="auto" w:after="160"/>
        <w:jc w:val="both"/>
      </w:pPr>
      <w:r>
        <w:rPr>
          <w:rFonts w:ascii="Palatino Linotype" w:hAnsi="Palatino Linotype" w:cs="Palatino Linotype" w:eastAsia="Palatino Linotype"/>
          <w:sz w:val="24"/>
        </w:rPr>
        <w:t>For nuclear threat at horizon 24, the separate-category Brent coefficient ranges from 0.093 to 0.113 across the twelve origin-window exclusions. The baseline coefficient is 0.098. The range describes sensitivity to these particular windows; it does not identify which geopolitical episode supplied an exogenous intervention, and it is not a confidence interval.</w:t>
      </w:r>
    </w:p>
    <w:p>
      <w:pPr>
        <w:spacing w:line="300" w:lineRule="auto" w:after="160"/>
        <w:jc w:val="both"/>
      </w:pPr>
      <w:r>
        <w:rPr>
          <w:rFonts w:ascii="Palatino Linotype" w:hAnsi="Palatino Linotype" w:cs="Palatino Linotype" w:eastAsia="Palatino Linotype"/>
          <w:sz w:val="24"/>
        </w:rPr>
        <w:t>For military conflict at horizon 0, the separate-category Brent coefficient ranges from 0.056 to 0.070 across the twelve origin-window exclusions. The baseline coefficient is 0.064. The range describes sensitivity to these particular windows; it does not identify which geopolitical episode supplied an exogenous intervention, and it is not a confidence interval.</w:t>
      </w:r>
    </w:p>
    <w:p>
      <w:pPr>
        <w:spacing w:line="300" w:lineRule="auto" w:after="160"/>
        <w:jc w:val="both"/>
      </w:pPr>
      <w:r>
        <w:rPr>
          <w:rFonts w:ascii="Palatino Linotype" w:hAnsi="Palatino Linotype" w:cs="Palatino Linotype" w:eastAsia="Palatino Linotype"/>
          <w:sz w:val="24"/>
        </w:rPr>
        <w:t>An additional leverage diagnostic ranks the absolute contributions to the residualized instrument–regressor covariance. It distinguishes the visual size of a raw spike from its contribution after conditioning on the controls. The estimates use many months, but some categories are more concentrated in a few episodes. Concentration is relevant to interpretation because a full-sample coefficient can primarily reflect the kinds of events receiving the greatest effective IV weight, rather than a representative mix of geopolitical developments.</w:t>
      </w:r>
    </w:p>
    <w:p>
      <w:pPr>
        <w:pStyle w:val="Caption"/>
        <w:keepNext/>
        <w:spacing w:before="180" w:after="80"/>
      </w:pPr>
      <w:r>
        <w:rPr>
          <w:rFonts w:ascii="Palatino Linotype" w:hAnsi="Palatino Linotype" w:cs="Palatino Linotype" w:eastAsia="Palatino Linotype"/>
          <w:sz w:val="22"/>
        </w:rPr>
        <w:t>Table 7  Historical stability of the separate Brent response at 24 months</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3096"/>
        <w:gridCol w:w="2016"/>
        <w:gridCol w:w="864"/>
        <w:gridCol w:w="1728"/>
        <w:gridCol w:w="1944"/>
      </w:tblGrid>
      <w:tr>
        <w:trPr>
          <w:cantSplit/>
          <w:tblHeader/>
        </w:trPr>
        <w:tc>
          <w:tcPr>
            <w:tcW w:type="dxa" w:w="3096"/>
            <w:vAlign w:val="center"/>
            <w:tcMar>
              <w:top w:w="55" w:type="dxa"/>
              <w:bottom w:w="55" w:type="dxa"/>
              <w:start w:w="55" w:type="dxa"/>
              <w:end w:w="55" w:type="dxa"/>
            </w:tcMar>
            <w:tcBorders>
              <w:bottom w:val="single" w:sz="5"/>
            </w:tcBorders>
          </w:tcPr>
          <w:p>
            <w:pPr>
              <w:spacing w:after="80" w:before="80" w:line="259" w:lineRule="auto"/>
              <w:jc w:val="left"/>
            </w:pPr>
            <w:r>
              <w:rPr>
                <w:rFonts w:ascii="Palatino Linotype" w:hAnsi="Palatino Linotype" w:cs="Palatino Linotype" w:eastAsia="Palatino Linotype"/>
                <w:b/>
                <w:sz w:val="20"/>
              </w:rPr>
              <w:t>Category</w:t>
            </w:r>
          </w:p>
        </w:tc>
        <w:tc>
          <w:tcPr>
            <w:tcW w:type="dxa" w:w="2016"/>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Origin period</w:t>
            </w:r>
          </w:p>
        </w:tc>
        <w:tc>
          <w:tcPr>
            <w:tcW w:type="dxa" w:w="864"/>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N</w:t>
            </w:r>
          </w:p>
        </w:tc>
        <w:tc>
          <w:tcPr>
            <w:tcW w:type="dxa" w:w="1728"/>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IV slope</w:t>
            </w:r>
          </w:p>
        </w:tc>
        <w:tc>
          <w:tcPr>
            <w:tcW w:type="dxa" w:w="1944"/>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HC3 SE</w:t>
            </w:r>
          </w:p>
        </w:tc>
      </w:tr>
      <w:tr>
        <w:trPr>
          <w:cantSplit/>
        </w:trPr>
        <w:tc>
          <w:tcPr>
            <w:tcW w:type="dxa" w:w="3096"/>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Military conflict</w:t>
            </w:r>
          </w:p>
        </w:tc>
        <w:tc>
          <w:tcPr>
            <w:tcW w:type="dxa" w:w="201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pre 2012</w:t>
            </w:r>
          </w:p>
        </w:tc>
        <w:tc>
          <w:tcPr>
            <w:tcW w:type="dxa" w:w="86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261</w:t>
            </w:r>
          </w:p>
        </w:tc>
        <w:tc>
          <w:tcPr>
            <w:tcW w:type="dxa" w:w="172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0.108</w:t>
            </w:r>
          </w:p>
        </w:tc>
        <w:tc>
          <w:tcPr>
            <w:tcW w:type="dxa" w:w="194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0.057</w:t>
            </w:r>
          </w:p>
        </w:tc>
      </w:tr>
      <w:tr>
        <w:trPr>
          <w:cantSplit/>
        </w:trPr>
        <w:tc>
          <w:tcPr>
            <w:tcW w:type="dxa" w:w="3096"/>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Military conflict</w:t>
            </w:r>
          </w:p>
        </w:tc>
        <w:tc>
          <w:tcPr>
            <w:tcW w:type="dxa" w:w="201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pre 2019</w:t>
            </w:r>
          </w:p>
        </w:tc>
        <w:tc>
          <w:tcPr>
            <w:tcW w:type="dxa" w:w="86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345</w:t>
            </w:r>
          </w:p>
        </w:tc>
        <w:tc>
          <w:tcPr>
            <w:tcW w:type="dxa" w:w="172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0.103</w:t>
            </w:r>
          </w:p>
        </w:tc>
        <w:tc>
          <w:tcPr>
            <w:tcW w:type="dxa" w:w="194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0.092</w:t>
            </w:r>
          </w:p>
        </w:tc>
      </w:tr>
      <w:tr>
        <w:trPr>
          <w:cantSplit/>
        </w:trPr>
        <w:tc>
          <w:tcPr>
            <w:tcW w:type="dxa" w:w="3096"/>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Diplomatic tension</w:t>
            </w:r>
          </w:p>
        </w:tc>
        <w:tc>
          <w:tcPr>
            <w:tcW w:type="dxa" w:w="201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pre 2012</w:t>
            </w:r>
          </w:p>
        </w:tc>
        <w:tc>
          <w:tcPr>
            <w:tcW w:type="dxa" w:w="86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261</w:t>
            </w:r>
          </w:p>
        </w:tc>
        <w:tc>
          <w:tcPr>
            <w:tcW w:type="dxa" w:w="172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−0.118</w:t>
            </w:r>
          </w:p>
        </w:tc>
        <w:tc>
          <w:tcPr>
            <w:tcW w:type="dxa" w:w="194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0.112</w:t>
            </w:r>
          </w:p>
        </w:tc>
      </w:tr>
      <w:tr>
        <w:trPr>
          <w:cantSplit/>
        </w:trPr>
        <w:tc>
          <w:tcPr>
            <w:tcW w:type="dxa" w:w="3096"/>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Diplomatic tension</w:t>
            </w:r>
          </w:p>
        </w:tc>
        <w:tc>
          <w:tcPr>
            <w:tcW w:type="dxa" w:w="201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pre 2019</w:t>
            </w:r>
          </w:p>
        </w:tc>
        <w:tc>
          <w:tcPr>
            <w:tcW w:type="dxa" w:w="86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345</w:t>
            </w:r>
          </w:p>
        </w:tc>
        <w:tc>
          <w:tcPr>
            <w:tcW w:type="dxa" w:w="172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−0.337</w:t>
            </w:r>
          </w:p>
        </w:tc>
        <w:tc>
          <w:tcPr>
            <w:tcW w:type="dxa" w:w="194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0.125</w:t>
            </w:r>
          </w:p>
        </w:tc>
      </w:tr>
      <w:tr>
        <w:trPr>
          <w:cantSplit/>
        </w:trPr>
        <w:tc>
          <w:tcPr>
            <w:tcW w:type="dxa" w:w="3096"/>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Nuclear threat</w:t>
            </w:r>
          </w:p>
        </w:tc>
        <w:tc>
          <w:tcPr>
            <w:tcW w:type="dxa" w:w="201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pre 2012</w:t>
            </w:r>
          </w:p>
        </w:tc>
        <w:tc>
          <w:tcPr>
            <w:tcW w:type="dxa" w:w="86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261</w:t>
            </w:r>
          </w:p>
        </w:tc>
        <w:tc>
          <w:tcPr>
            <w:tcW w:type="dxa" w:w="172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0.136</w:t>
            </w:r>
          </w:p>
        </w:tc>
        <w:tc>
          <w:tcPr>
            <w:tcW w:type="dxa" w:w="1944"/>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0.049</w:t>
            </w:r>
          </w:p>
        </w:tc>
      </w:tr>
      <w:tr>
        <w:trPr>
          <w:cantSplit/>
        </w:trPr>
        <w:tc>
          <w:tcPr>
            <w:tcW w:type="dxa" w:w="3096"/>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Nuclear threat</w:t>
            </w:r>
          </w:p>
        </w:tc>
        <w:tc>
          <w:tcPr>
            <w:tcW w:type="dxa" w:w="2016"/>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pre 2019</w:t>
            </w:r>
          </w:p>
        </w:tc>
        <w:tc>
          <w:tcPr>
            <w:tcW w:type="dxa" w:w="86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345</w:t>
            </w:r>
          </w:p>
        </w:tc>
        <w:tc>
          <w:tcPr>
            <w:tcW w:type="dxa" w:w="1728"/>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0.129</w:t>
            </w:r>
          </w:p>
        </w:tc>
        <w:tc>
          <w:tcPr>
            <w:tcW w:type="dxa" w:w="19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0.058</w:t>
            </w:r>
          </w:p>
        </w:tc>
      </w:tr>
    </w:tbl>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Splits refer to regression-origin months. Pre 2012 ends in December 2011 and pre 2019 ends in December 2018. Outcome dates extend beyond the origin-period cutoff. The two historical samples are nested and therefore are not independent. Each row uses the baseline lag structure, single-category instrumentation, and HC3 standard errors. The exercise is descriptive and does not impose or estimate a structural-break date.</w:t>
      </w:r>
    </w:p>
    <w:p>
      <w:pPr>
        <w:spacing w:line="300" w:lineRule="auto" w:after="160"/>
        <w:jc w:val="both"/>
      </w:pPr>
      <w:r>
        <w:rPr>
          <w:rFonts w:ascii="Palatino Linotype" w:hAnsi="Palatino Linotype" w:cs="Palatino Linotype" w:eastAsia="Palatino Linotype"/>
          <w:sz w:val="24"/>
        </w:rPr>
        <w:t>The 24-month nuclear-threat response is stable in the two long historical samples. Its separate Brent coefficient is 0.136 with an HC3 standard error of 0.049 through December 2011 and 0.129 with an HC3 standard error of 0.058 through December 2018. Both estimates are positive and statistically different from zero at conventional levels. The negative diplomatic coefficient likewise retains its sign in the displayed historical samples.</w:t>
      </w:r>
    </w:p>
    <w:p>
      <w:pPr>
        <w:pStyle w:val="Heading2"/>
      </w:pPr>
      <w:r>
        <w:rPr>
          <w:rFonts w:ascii="Palatino Linotype" w:hAnsi="Palatino Linotype" w:cs="Palatino Linotype" w:eastAsia="Palatino Linotype"/>
          <w:sz w:val="26"/>
        </w:rPr>
        <w:t>6.3 Specification sensitivity</w:t>
      </w:r>
    </w:p>
    <w:p>
      <w:pPr>
        <w:spacing w:line="300" w:lineRule="auto" w:after="160"/>
        <w:jc w:val="both"/>
      </w:pPr>
      <w:r>
        <w:rPr>
          <w:rFonts w:ascii="Palatino Linotype" w:hAnsi="Palatino Linotype" w:cs="Palatino Linotype" w:eastAsia="Palatino Linotype"/>
          <w:sz w:val="24"/>
        </w:rPr>
        <w:t>Lag sensitivity is examined on matched observations. A two-price-lag equation removes the baseline augmentation, a four-price-lag equation adds another price lag, and a third alternative uses three lags of every variable in the control system. The latter directly checks whether extending the activity, production-growth, and geopolitical lag blocks changes the estimates. Table B1 reports these comparisons and the contemporaneous-production control. The production extension changes the conditioning set and may remove part of geopolitical transmission; it is not an externally identified oil-supply shock.</w:t>
      </w:r>
    </w:p>
    <w:p>
      <w:pPr>
        <w:spacing w:line="300" w:lineRule="auto" w:after="160"/>
        <w:jc w:val="both"/>
      </w:pPr>
      <w:r>
        <w:rPr>
          <w:rFonts w:ascii="Palatino Linotype" w:hAnsi="Palatino Linotype" w:cs="Palatino Linotype" w:eastAsia="Palatino Linotype"/>
          <w:sz w:val="24"/>
        </w:rPr>
        <w:t xml:space="preserve">The log-curvature contrast replaces the raw second difference by </w:t>
      </w:r>
      <m:oMath>
        <m:sSup>
          <m:e>
            <m:r>
              <m:t xml:space="preserve">Δ</m:t>
            </m:r>
          </m:e>
          <m:sup>
            <m:r>
              <m:t xml:space="preserve">2</m:t>
            </m:r>
          </m:sup>
        </m:sSup>
        <m:sSub>
          <m:e>
            <m:r>
              <m:t xml:space="preserve">x</m:t>
            </m:r>
          </m:e>
          <m:sub>
            <m:r>
              <m:t xml:space="preserve">j</m:t>
            </m:r>
            <m:r>
              <m:t xml:space="preserve">,</m:t>
            </m:r>
            <m:r>
              <m:t xml:space="preserve">t</m:t>
            </m:r>
          </m:sub>
        </m:sSub>
      </m:oMath>
      <w:r>
        <w:rPr>
          <w:rFonts w:ascii="Palatino Linotype" w:hAnsi="Palatino Linotype" w:cs="Palatino Linotype" w:eastAsia="Palatino Linotype"/>
          <w:sz w:val="24"/>
        </w:rPr>
        <w:t xml:space="preserve">. Since </w:t>
      </w:r>
      <m:oMath>
        <m:sSub>
          <m:e>
            <m:r>
              <m:t xml:space="preserve">x</m:t>
            </m:r>
          </m:e>
          <m:sub>
            <m:r>
              <m:t xml:space="preserve">j</m:t>
            </m:r>
            <m:r>
              <m:t xml:space="preserve">,</m:t>
            </m:r>
            <m:r>
              <m:t xml:space="preserve">t</m:t>
            </m:r>
            <m:r>
              <m:t xml:space="preserve">−</m:t>
            </m:r>
            <m:r>
              <m:t xml:space="preserve">1</m:t>
            </m:r>
          </m:sub>
        </m:sSub>
      </m:oMath>
      <w:r>
        <w:rPr>
          <w:rFonts w:ascii="Palatino Linotype" w:hAnsi="Palatino Linotype" w:cs="Palatino Linotype" w:eastAsia="Palatino Linotype"/>
          <w:sz w:val="24"/>
        </w:rPr>
        <w:t xml:space="preserve"> and </w:t>
      </w:r>
      <m:oMath>
        <m:sSub>
          <m:e>
            <m:r>
              <m:t xml:space="preserve">x</m:t>
            </m:r>
          </m:e>
          <m:sub>
            <m:r>
              <m:t xml:space="preserve">j</m:t>
            </m:r>
            <m:r>
              <m:t xml:space="preserve">,</m:t>
            </m:r>
            <m:r>
              <m:t xml:space="preserve">t</m:t>
            </m:r>
            <m:r>
              <m:t xml:space="preserve">−</m:t>
            </m:r>
            <m:r>
              <m:t xml:space="preserve">2</m:t>
            </m:r>
          </m:sub>
        </m:sSub>
      </m:oMath>
      <w:r>
        <w:rPr>
          <w:rFonts w:ascii="Palatino Linotype" w:hAnsi="Palatino Linotype" w:cs="Palatino Linotype" w:eastAsia="Palatino Linotype"/>
          <w:sz w:val="24"/>
        </w:rPr>
        <w:t xml:space="preserve"> are already controls, residualizing this alternative instrument gives exactly the residualized current regressor. Its IV coefficient consequently equals the ordinary-least-squares coefficient on the same sample. This algebraic result explains why the contrast must not be interpreted as a second independent instrument that corroborates exclusion. It documents the consequences of the instrument's transformation and reinforces the need to specify raw-index curvature in the baseline.</w:t>
      </w:r>
    </w:p>
    <w:p>
      <w:pPr>
        <w:spacing w:line="300" w:lineRule="auto" w:after="160"/>
        <w:jc w:val="both"/>
      </w:pPr>
      <w:r>
        <w:rPr>
          <w:rFonts w:ascii="Palatino Linotype" w:hAnsi="Palatino Linotype" w:cs="Palatino Linotype" w:eastAsia="Palatino Linotype"/>
          <w:sz w:val="24"/>
        </w:rPr>
        <w:t>Several boundaries remain. News-based measurement may include variation unrelated to the economically relevant state. A global event index aggregates heterogeneous locations and severities. The macro controls do not exhaust information available to market participants. Identification assumes that the instrument-induced variation represented by the geopolitical state captures the relevant pathway into prices; the diagnostic tests cannot prove this condition. These limits qualify the scope of the causal interpretation without making expectations, risk pricing, or other consequences of geopolitics illegitimate transmission channels.</w:t>
      </w:r>
    </w:p>
    <w:p>
      <w:pPr>
        <w:pStyle w:val="Heading1"/>
      </w:pPr>
      <w:r>
        <w:rPr>
          <w:rFonts w:ascii="Palatino Linotype" w:hAnsi="Palatino Linotype" w:cs="Palatino Linotype" w:eastAsia="Palatino Linotype"/>
          <w:sz w:val="30"/>
        </w:rPr>
        <w:t>7 Energy security policy implications</w:t>
      </w:r>
    </w:p>
    <w:p>
      <w:pPr>
        <w:pStyle w:val="Heading2"/>
      </w:pPr>
      <w:r>
        <w:rPr>
          <w:rFonts w:ascii="Palatino Linotype" w:hAnsi="Palatino Linotype" w:cs="Palatino Linotype" w:eastAsia="Palatino Linotype"/>
          <w:sz w:val="26"/>
        </w:rPr>
        <w:t>7.1 Event specific monitoring</w:t>
      </w:r>
    </w:p>
    <w:p>
      <w:pPr>
        <w:spacing w:line="300" w:lineRule="auto" w:after="160"/>
        <w:jc w:val="both"/>
      </w:pPr>
      <w:r>
        <w:rPr>
          <w:rFonts w:ascii="Palatino Linotype" w:hAnsi="Palatino Linotype" w:cs="Palatino Linotype" w:eastAsia="Palatino Linotype"/>
          <w:sz w:val="24"/>
        </w:rPr>
        <w:t>The first policy implication is that an aggregate geopolitical-risk index should not be used as a sufficient statistic for oil-market stress. The estimated signs, timing, and persistence differ across military conflict, diplomatic tension, and nuclear threat. Energy ministries, emergency-stock agencies, and market-monitoring units can therefore obtain a more informative signal by reporting the event composition of geopolitical risk alongside its aggregate level. A dashboard should show whether a monthly increase is driven by threats to physical security, armed conflict, diplomatic confrontation, sanctions, or another category, and whether the change represents a persistent level shift or a sharp turning point.</w:t>
      </w:r>
    </w:p>
    <w:p>
      <w:pPr>
        <w:spacing w:line="300" w:lineRule="auto" w:after="160"/>
        <w:jc w:val="both"/>
      </w:pPr>
      <w:r>
        <w:rPr>
          <w:rFonts w:ascii="Palatino Linotype" w:hAnsi="Palatino Linotype" w:cs="Palatino Linotype" w:eastAsia="Palatino Linotype"/>
          <w:sz w:val="24"/>
        </w:rPr>
        <w:t>This recommendation concerns diagnosis, not automatic action. The category indices measure news coverage and severity scores; they are not direct measures of disrupted barrels, spare capacity, or transport availability. A large turning point should trigger closer examination of physical-market evidence rather than a predetermined policy response. The dated episodes in Appendix A illustrate how recognizable events enter the curvature measure, while the event-window tests show that the main estimates are not mechanically attributable to one selected crisis.</w:t>
      </w:r>
    </w:p>
    <w:p>
      <w:pPr>
        <w:pStyle w:val="Heading2"/>
      </w:pPr>
      <w:r>
        <w:rPr>
          <w:rFonts w:ascii="Palatino Linotype" w:hAnsi="Palatino Linotype" w:cs="Palatino Linotype" w:eastAsia="Palatino Linotype"/>
          <w:sz w:val="26"/>
        </w:rPr>
        <w:t>7.2 Contingency planning and emergency stocks</w:t>
      </w:r>
    </w:p>
    <w:p>
      <w:pPr>
        <w:spacing w:line="300" w:lineRule="auto" w:after="160"/>
        <w:jc w:val="both"/>
      </w:pPr>
      <w:r>
        <w:rPr>
          <w:rFonts w:ascii="Palatino Linotype" w:hAnsi="Palatino Linotype" w:cs="Palatino Linotype" w:eastAsia="Palatino Linotype"/>
          <w:sz w:val="24"/>
        </w:rPr>
        <w:t>The second implication concerns the sequencing of contingency decisions. The positive nuclear-threat response is consistent with markets pricing disruption risk or precautionary demand, whereas the negative medium-run diplomatic response is consistent with weaker expected global activity. These mechanisms imply different policy problems. A prospective availability shortfall calls for operational readiness, coordination with other stockholding countries, and verification of release capacity. A demand-driven price decline does not provide the same rationale for an emergency release and may instead raise questions about revenue exposure, investment, and the resilience of producing economies.</w:t>
      </w:r>
    </w:p>
    <w:p>
      <w:pPr>
        <w:spacing w:line="300" w:lineRule="auto" w:after="160"/>
        <w:jc w:val="both"/>
      </w:pPr>
      <w:r>
        <w:rPr>
          <w:rFonts w:ascii="Palatino Linotype" w:hAnsi="Palatino Linotype" w:cs="Palatino Linotype" w:eastAsia="Palatino Linotype"/>
          <w:sz w:val="24"/>
        </w:rPr>
        <w:t>The estimates do not identify the effect of releasing strategic petroleum reserves and cannot determine an optimal release rule. They support a two-stage decision process. In the first stage, event-specific geopolitical information determines which contingency scenarios deserve attention. In the second, intervention depends on corroborating indicators: observed and expected production losses, export restrictions, shipping and insurance conditions, commercial inventories, spare capacity, refinery constraints, and futures spreads. This safeguard prevents the geopolitical index from becoming a mechanical trigger while still using it as timely information about the nature of the risk.</w:t>
      </w:r>
    </w:p>
    <w:p>
      <w:pPr>
        <w:pStyle w:val="Heading2"/>
      </w:pPr>
      <w:r>
        <w:rPr>
          <w:rFonts w:ascii="Palatino Linotype" w:hAnsi="Palatino Linotype" w:cs="Palatino Linotype" w:eastAsia="Palatino Linotype"/>
          <w:sz w:val="26"/>
        </w:rPr>
        <w:t>7.3 Price scenarios inflation risk and communication</w:t>
      </w:r>
    </w:p>
    <w:p>
      <w:pPr>
        <w:spacing w:line="300" w:lineRule="auto" w:after="160"/>
        <w:jc w:val="both"/>
      </w:pPr>
      <w:r>
        <w:rPr>
          <w:rFonts w:ascii="Palatino Linotype" w:hAnsi="Palatino Linotype" w:cs="Palatino Linotype" w:eastAsia="Palatino Linotype"/>
          <w:sz w:val="24"/>
        </w:rPr>
        <w:t>The response horizon also matters for planning. Military conflict produces a positive impact estimate but no precise medium-run response, whereas diplomatic and nuclear categories diverge more clearly around the two-year horizon. Short-run emergency planning and medium-run macroeconomic scenarios should therefore not apply one common geopolitical multiplier. Agencies can construct category-specific paths, preserve the uncertainty bands, and update the scenario when physical data reveal whether supply, demand, or precautionary forces dominate.</w:t>
      </w:r>
    </w:p>
    <w:p>
      <w:pPr>
        <w:spacing w:line="300" w:lineRule="auto" w:after="160"/>
        <w:jc w:val="both"/>
      </w:pPr>
      <w:r>
        <w:rPr>
          <w:rFonts w:ascii="Palatino Linotype" w:hAnsi="Palatino Linotype" w:cs="Palatino Linotype" w:eastAsia="Palatino Linotype"/>
          <w:sz w:val="24"/>
        </w:rPr>
        <w:t>The results are also relevant to communication between energy authorities, fiscal agencies, and central banks. A geopolitical escalation is not necessarily an inflationary oil-supply shock. Communicating the event composition and the supporting physical evidence can reduce the risk of treating a demand-related decline and a disruption-related increase as equivalent. Consumer-price pass-through, welfare effects, and monetary-policy responses are outside the estimated system and require separate models. The contribution here is to improve the oil-price input used in such assessments.</w:t>
      </w:r>
    </w:p>
    <w:p>
      <w:pPr>
        <w:pStyle w:val="Heading2"/>
      </w:pPr>
      <w:r>
        <w:rPr>
          <w:rFonts w:ascii="Palatino Linotype" w:hAnsi="Palatino Linotype" w:cs="Palatino Linotype" w:eastAsia="Palatino Linotype"/>
          <w:sz w:val="26"/>
        </w:rPr>
        <w:t>7.4 Limits to policy use</w:t>
      </w:r>
    </w:p>
    <w:p>
      <w:pPr>
        <w:spacing w:line="300" w:lineRule="auto" w:after="160"/>
        <w:jc w:val="both"/>
      </w:pPr>
      <w:r>
        <w:rPr>
          <w:rFonts w:ascii="Palatino Linotype" w:hAnsi="Palatino Linotype" w:cs="Palatino Linotype" w:eastAsia="Palatino Linotype"/>
          <w:sz w:val="24"/>
        </w:rPr>
        <w:t>Policy application should retain four qualifications. First, the estimates are global historical responses local to the variation selected by the instruments, not forecasts for a named future crisis. Second, a 10% increase in one plus an index is a common statistical normalization, not an assertion that different events have equal physical severity. Third, the positive nuclear response is stable in the long samples ending before 2012 and before 2019, while simultaneous inference is less decisive for some diplomatic horizons than pointwise inference. Fourth, inventories, shipping disruptions, and policy interventions are not separately identified as transmission mechanisms. The appropriate use is disciplined scenario formation and monitoring, not a deterministic intervention rule.</w:t>
      </w:r>
    </w:p>
    <w:p>
      <w:pPr>
        <w:pStyle w:val="Heading1"/>
      </w:pPr>
      <w:r>
        <w:rPr>
          <w:rFonts w:ascii="Palatino Linotype" w:hAnsi="Palatino Linotype" w:cs="Palatino Linotype" w:eastAsia="Palatino Linotype"/>
          <w:sz w:val="30"/>
        </w:rPr>
        <w:t>8 Conclusion</w:t>
      </w:r>
    </w:p>
    <w:p>
      <w:pPr>
        <w:spacing w:line="300" w:lineRule="auto" w:after="160"/>
        <w:jc w:val="both"/>
      </w:pPr>
      <w:r>
        <w:rPr>
          <w:rFonts w:ascii="Palatino Linotype" w:hAnsi="Palatino Linotype" w:cs="Palatino Linotype" w:eastAsia="Palatino Linotype"/>
          <w:sz w:val="24"/>
        </w:rPr>
        <w:t>Energy policy should not begin from the premise that every geopolitical escalation is the same adverse oil-supply shock. Event-specific turning points reveal dynamic differences concealed by the aggregate risk measure. In the full-sample joint model, diplomatic tension is followed by lower real oil prices in the medium run, while nuclear threat has the opposite sign. Military conflict has a positive impact response but a less precise medium-run profile. Formal equality tests support heterogeneity at medium horizons, and the comparison of Brent and WTI shows that the finding is not confined to one benchmark.</w:t>
      </w:r>
    </w:p>
    <w:p>
      <w:pPr>
        <w:spacing w:line="300" w:lineRule="auto" w:after="160"/>
        <w:jc w:val="both"/>
      </w:pPr>
      <w:r>
        <w:rPr>
          <w:rFonts w:ascii="Palatino Linotype" w:hAnsi="Palatino Linotype" w:cs="Palatino Linotype" w:eastAsia="Palatino Linotype"/>
          <w:sz w:val="24"/>
        </w:rPr>
        <w:t>The practical contribution is an event-specific diagnostic for energy-security assessment. Geopolitical categories can identify which supply-disruption, demand, and precautionary scenarios deserve closer attention; physical-market indicators must then determine whether emergency intervention is justified. This approach supports differentiated reserve readiness, horizon-specific stress testing, and clearer communication of oil-price and inflation risks without converting a news index into an automatic policy rule.</w:t>
      </w:r>
    </w:p>
    <w:p>
      <w:pPr>
        <w:spacing w:line="300" w:lineRule="auto" w:after="160"/>
        <w:jc w:val="both"/>
      </w:pPr>
      <w:r>
        <w:rPr>
          <w:rFonts w:ascii="Palatino Linotype" w:hAnsi="Palatino Linotype" w:cs="Palatino Linotype" w:eastAsia="Palatino Linotype"/>
          <w:sz w:val="24"/>
        </w:rPr>
        <w:t>The causal interpretation rests on the economic argument that abrupt changes in geopolitical trajectories provide variation less plausibly driven by routine monthly economic feedback, and that this variation affects prices through the geopolitical state and its consequences. The published turning-point strategy supplies the identification framework; the present evidence shows its value for distinguishing energy-market responses across geopolitical event types. The principal timing tests do not reject, the core patterns survive event exclusions, and the nuclear response remains positive in the long samples ending before 2012 and before 2019. The results support a transparent and conditional use of geopolitical information in energy policy: disaggregate the event, assess its likely mechanism, corroborate it with physical evidence, and preserve uncertainty in the resulting scenario.</w:t>
      </w:r>
    </w:p>
    <w:p>
      <w:pPr>
        <w:pStyle w:val="Heading1"/>
      </w:pPr>
      <w:r>
        <w:t>Declaration of generative AI and AI assisted technologies in the writing process</w:t>
      </w:r>
    </w:p>
    <w:p>
      <w:pPr/>
      <w:r>
        <w:t>During the preparation of this work, the authors used artificial intelligence tools for proofreading and language editing. The authors reviewed and edited the resulting text and take full responsibility for the scientific content of the article.</w:t>
      </w:r>
    </w:p>
    <w:p>
      <w:pPr>
        <w:pStyle w:val="Heading1"/>
      </w:pPr>
      <w:r>
        <w:rPr>
          <w:rFonts w:ascii="Palatino Linotype" w:hAnsi="Palatino Linotype" w:cs="Palatino Linotype" w:eastAsia="Palatino Linotype"/>
          <w:sz w:val="30"/>
        </w:rPr>
        <w:t>References</w:t>
      </w:r>
    </w:p>
    <w:p>
      <w:pPr>
        <w:keepLines/>
        <w:spacing w:line="300" w:lineRule="auto" w:after="160"/>
        <w:ind w:hanging="288" w:left="288"/>
        <w:jc w:val="both"/>
      </w:pPr>
      <w:r>
        <w:rPr>
          <w:rFonts w:ascii="Palatino Linotype" w:hAnsi="Palatino Linotype" w:cs="Palatino Linotype" w:eastAsia="Palatino Linotype"/>
          <w:sz w:val="24"/>
        </w:rPr>
        <w:t>Alquist, R., Kilian, L., 2010. What do we learn from the price of crude oil futures? Journal of Applied Econometrics 25(4), 539–573. https://doi.org/10.1002/jae.1159.</w:t>
      </w:r>
    </w:p>
    <w:p>
      <w:pPr>
        <w:keepLines/>
        <w:spacing w:line="300" w:lineRule="auto" w:after="160"/>
        <w:ind w:hanging="288" w:left="288"/>
        <w:jc w:val="both"/>
      </w:pPr>
      <w:r>
        <w:rPr>
          <w:rFonts w:ascii="Palatino Linotype" w:hAnsi="Palatino Linotype" w:cs="Palatino Linotype" w:eastAsia="Palatino Linotype"/>
          <w:sz w:val="24"/>
        </w:rPr>
        <w:t>Angrist, J.D., Imbens, G.W., 1995. Two-stage least squares estimation of average causal effects in models with variable treatment intensity. Journal of the American Statistical Association 90(430), 431–442. https://doi.org/10.1080/01621459.1995.10476535.</w:t>
      </w:r>
    </w:p>
    <w:p>
      <w:pPr>
        <w:keepLines/>
        <w:spacing w:line="300" w:lineRule="auto" w:after="160"/>
        <w:ind w:hanging="288" w:left="288"/>
        <w:jc w:val="both"/>
      </w:pPr>
      <w:r>
        <w:rPr>
          <w:rFonts w:ascii="Palatino Linotype" w:hAnsi="Palatino Linotype" w:cs="Palatino Linotype" w:eastAsia="Palatino Linotype"/>
          <w:sz w:val="24"/>
        </w:rPr>
        <w:t>Baker, S.R., Bloom, N., Davis, S.J., 2016. Measuring economic policy uncertainty. Quarterly Journal of Economics 131(4), 1593–1636. https://doi.org/10.1093/qje/qjw024.</w:t>
      </w:r>
    </w:p>
    <w:p>
      <w:pPr>
        <w:keepLines/>
        <w:spacing w:line="300" w:lineRule="auto" w:after="160"/>
        <w:ind w:hanging="288" w:left="288"/>
        <w:jc w:val="both"/>
      </w:pPr>
      <w:r>
        <w:rPr>
          <w:rFonts w:ascii="Palatino Linotype" w:hAnsi="Palatino Linotype" w:cs="Palatino Linotype" w:eastAsia="Palatino Linotype"/>
          <w:sz w:val="24"/>
        </w:rPr>
        <w:t>Barnichon, R., Brownlees, C., 2019. Impulse response estimation by smooth local projections. Review of Economics and Statistics 101(3), 522–530. https://doi.org/10.1162/rest_a_00778.</w:t>
      </w:r>
    </w:p>
    <w:p>
      <w:pPr>
        <w:keepLines/>
        <w:spacing w:line="300" w:lineRule="auto" w:after="160"/>
        <w:ind w:hanging="288" w:left="288"/>
        <w:jc w:val="both"/>
      </w:pPr>
      <w:r>
        <w:rPr>
          <w:rFonts w:ascii="Palatino Linotype" w:hAnsi="Palatino Linotype" w:cs="Palatino Linotype" w:eastAsia="Palatino Linotype"/>
          <w:sz w:val="24"/>
        </w:rPr>
        <w:t>Baumeister, C., Hamilton, J.D., 2019. Structural interpretation of vector autoregressions with incomplete identification: Revisiting the role of oil supply and demand shocks. American Economic Review 109(5), 1873–1910. https://doi.org/10.1257/aer.20151569.</w:t>
      </w:r>
    </w:p>
    <w:p>
      <w:pPr>
        <w:keepLines/>
        <w:spacing w:line="300" w:lineRule="auto" w:after="160"/>
        <w:ind w:hanging="288" w:left="288"/>
        <w:jc w:val="both"/>
      </w:pPr>
      <w:r>
        <w:rPr>
          <w:rFonts w:ascii="Palatino Linotype" w:hAnsi="Palatino Linotype" w:cs="Palatino Linotype" w:eastAsia="Palatino Linotype"/>
          <w:sz w:val="24"/>
        </w:rPr>
        <w:t>Baumeister, C., Kilian, L., 2016. Forty years of oil price fluctuations: Why the price of oil may still surprise us. Journal of Economic Perspectives 30(1), 139–160. https://doi.org/10.1257/jep.30.1.139.</w:t>
      </w:r>
    </w:p>
    <w:p>
      <w:pPr>
        <w:keepLines/>
        <w:spacing w:line="300" w:lineRule="auto" w:after="160"/>
        <w:ind w:hanging="288" w:left="288"/>
        <w:jc w:val="both"/>
      </w:pPr>
      <w:r>
        <w:rPr>
          <w:rFonts w:ascii="Palatino Linotype" w:hAnsi="Palatino Linotype" w:cs="Palatino Linotype" w:eastAsia="Palatino Linotype"/>
          <w:sz w:val="24"/>
        </w:rPr>
        <w:t>Bloom, N., 2009. The impact of uncertainty shocks. Econometrica 77(3), 623–685. https://doi.org/10.3982/ECTA6248.</w:t>
      </w:r>
    </w:p>
    <w:p>
      <w:pPr>
        <w:keepLines/>
        <w:spacing w:line="300" w:lineRule="auto" w:after="160"/>
        <w:ind w:hanging="288" w:left="288"/>
        <w:jc w:val="both"/>
      </w:pPr>
      <w:r>
        <w:rPr>
          <w:rFonts w:ascii="Palatino Linotype" w:hAnsi="Palatino Linotype" w:cs="Palatino Linotype" w:eastAsia="Palatino Linotype"/>
          <w:sz w:val="24"/>
        </w:rPr>
        <w:t>Caldara, D., Cavallo, M., Iacoviello, M., 2019. Oil price elasticities and oil price fluctuations. Journal of Monetary Economics 103, 1–20. https://doi.org/10.1016/j.jmoneco.2018.08.004.</w:t>
      </w:r>
    </w:p>
    <w:p>
      <w:pPr>
        <w:keepLines/>
        <w:spacing w:line="300" w:lineRule="auto" w:after="160"/>
        <w:ind w:hanging="288" w:left="288"/>
        <w:jc w:val="both"/>
      </w:pPr>
      <w:r>
        <w:rPr>
          <w:rFonts w:ascii="Palatino Linotype" w:hAnsi="Palatino Linotype" w:cs="Palatino Linotype" w:eastAsia="Palatino Linotype"/>
          <w:sz w:val="24"/>
        </w:rPr>
        <w:t>Caldara, D., Iacoviello, M., 2022. Measuring geopolitical risk. American Economic Review 112(4), 1194–1225. https://doi.org/10.1257/aer.20191823.</w:t>
      </w:r>
    </w:p>
    <w:p>
      <w:pPr>
        <w:keepLines/>
        <w:spacing w:line="300" w:lineRule="auto" w:after="160"/>
        <w:ind w:hanging="288" w:left="288"/>
        <w:jc w:val="both"/>
      </w:pPr>
      <w:r>
        <w:rPr>
          <w:rFonts w:ascii="Palatino Linotype" w:hAnsi="Palatino Linotype" w:cs="Palatino Linotype" w:eastAsia="Palatino Linotype"/>
          <w:sz w:val="24"/>
        </w:rPr>
        <w:t>Caldara, D., Iacoviello, M., Molligo, P., Prestipino, A., Raffo, A., 2020. The economic effects of trade policy uncertainty. Journal of Monetary Economics 109, 38–59. https://doi.org/10.1016/j.jmoneco.2019.11.002.</w:t>
      </w:r>
    </w:p>
    <w:p>
      <w:pPr>
        <w:keepLines/>
        <w:spacing w:line="300" w:lineRule="auto" w:after="160"/>
        <w:ind w:hanging="288" w:left="288"/>
        <w:jc w:val="both"/>
      </w:pPr>
      <w:r>
        <w:rPr>
          <w:rFonts w:ascii="Palatino Linotype" w:hAnsi="Palatino Linotype" w:cs="Palatino Linotype" w:eastAsia="Palatino Linotype"/>
          <w:sz w:val="24"/>
        </w:rPr>
        <w:t>Cherp, A., Jewell, J., 2014. The concept of energy security: Beyond the four As. Energy Policy 75, 415–421. https://doi.org/10.1016/j.enpol.2014.09.005.</w:t>
      </w:r>
    </w:p>
    <w:p>
      <w:pPr>
        <w:keepLines/>
        <w:spacing w:line="300" w:lineRule="auto" w:after="160"/>
        <w:ind w:hanging="288" w:left="288"/>
        <w:jc w:val="both"/>
      </w:pPr>
      <w:r>
        <w:rPr>
          <w:rFonts w:ascii="Palatino Linotype" w:hAnsi="Palatino Linotype" w:cs="Palatino Linotype" w:eastAsia="Palatino Linotype"/>
          <w:sz w:val="24"/>
        </w:rPr>
        <w:t>Handley, K., Limão, N., 2017. Policy uncertainty, trade, and welfare: Theory and evidence for China and the United States. American Economic Review 107(9), 2731–2783. https://doi.org/10.1257/aer.20141419.</w:t>
      </w:r>
    </w:p>
    <w:p>
      <w:pPr>
        <w:keepLines/>
        <w:spacing w:line="300" w:lineRule="auto" w:after="160"/>
        <w:ind w:hanging="288" w:left="288"/>
        <w:jc w:val="both"/>
      </w:pPr>
      <w:r>
        <w:rPr>
          <w:rFonts w:ascii="Palatino Linotype" w:hAnsi="Palatino Linotype" w:cs="Palatino Linotype" w:eastAsia="Palatino Linotype"/>
          <w:sz w:val="24"/>
        </w:rPr>
        <w:t>Iacoviello, M., Tong, J., 2026. The AI-GPR Index: Measuring Geopolitical Risk using Artificial Intelligence. Working paper, Federal Reserve Board of Governors, September 13. https://www.matteoiacoviello.com/research_files/AI_GPR_PAPER.pdf. Data: https://www.matteoiacoviello.com/ai_gpr.html.</w:t>
      </w:r>
    </w:p>
    <w:p>
      <w:pPr>
        <w:keepLines/>
        <w:spacing w:line="300" w:lineRule="auto" w:after="160"/>
        <w:ind w:hanging="288" w:left="288"/>
        <w:jc w:val="both"/>
      </w:pPr>
      <w:r>
        <w:rPr>
          <w:rFonts w:ascii="Palatino Linotype" w:hAnsi="Palatino Linotype" w:cs="Palatino Linotype" w:eastAsia="Palatino Linotype"/>
          <w:sz w:val="24"/>
        </w:rPr>
        <w:t>Inoue, A., Rossi, B., Wang, Y., 2024. Local projections in unstable environments. Journal of Econometrics 244(2), 105726. https://doi.org/10.1016/j.jeconom.2024.105726.</w:t>
      </w:r>
    </w:p>
    <w:p>
      <w:pPr>
        <w:keepLines/>
        <w:spacing w:line="300" w:lineRule="auto" w:after="160"/>
        <w:ind w:hanging="288" w:left="288"/>
        <w:jc w:val="both"/>
      </w:pPr>
      <w:r>
        <w:rPr>
          <w:rFonts w:ascii="Palatino Linotype" w:hAnsi="Palatino Linotype" w:cs="Palatino Linotype" w:eastAsia="Palatino Linotype"/>
          <w:sz w:val="24"/>
        </w:rPr>
        <w:t>Jordà, Ò., 2005. Estimation and inference of impulse responses by local projections. American Economic Review 95(1), 161–182. https://doi.org/10.1257/0002828053828518.</w:t>
      </w:r>
    </w:p>
    <w:p>
      <w:pPr>
        <w:keepLines/>
        <w:spacing w:line="300" w:lineRule="auto" w:after="160"/>
        <w:ind w:hanging="288" w:left="288"/>
        <w:jc w:val="both"/>
      </w:pPr>
      <w:r>
        <w:rPr>
          <w:rFonts w:ascii="Palatino Linotype" w:hAnsi="Palatino Linotype" w:cs="Palatino Linotype" w:eastAsia="Palatino Linotype"/>
          <w:sz w:val="24"/>
        </w:rPr>
        <w:t>Jordà, Ò., Taylor, A.M., 2025. Local projections. Journal of Economic Literature 63(1), 59–110. https://doi.org/10.1257/jel.20241521.</w:t>
      </w:r>
    </w:p>
    <w:p>
      <w:pPr>
        <w:keepLines/>
        <w:spacing w:line="300" w:lineRule="auto" w:after="160"/>
        <w:ind w:hanging="288" w:left="288"/>
        <w:jc w:val="both"/>
      </w:pPr>
      <w:r>
        <w:rPr>
          <w:rFonts w:ascii="Palatino Linotype" w:hAnsi="Palatino Linotype" w:cs="Palatino Linotype" w:eastAsia="Palatino Linotype"/>
          <w:sz w:val="24"/>
        </w:rPr>
        <w:t>Kilian, L., 2009. Not all oil price shocks are alike: Disentangling demand and supply shocks in the crude oil market. American Economic Review 99(3), 1053–1069. https://doi.org/10.1257/aer.99.3.1053.</w:t>
      </w:r>
    </w:p>
    <w:p>
      <w:pPr>
        <w:keepLines/>
        <w:spacing w:line="300" w:lineRule="auto" w:after="160"/>
        <w:ind w:hanging="288" w:left="288"/>
        <w:jc w:val="both"/>
      </w:pPr>
      <w:r>
        <w:rPr>
          <w:rFonts w:ascii="Palatino Linotype" w:hAnsi="Palatino Linotype" w:cs="Palatino Linotype" w:eastAsia="Palatino Linotype"/>
          <w:sz w:val="24"/>
        </w:rPr>
        <w:t>Kilian, L., Murphy, D.P., 2014. The role of inventories and speculative trading in the global market for crude oil. Journal of Applied Econometrics 29(3), 454–478. https://doi.org/10.1002/jae.2322.</w:t>
      </w:r>
    </w:p>
    <w:p>
      <w:pPr>
        <w:keepLines/>
        <w:spacing w:line="300" w:lineRule="auto" w:after="160"/>
        <w:ind w:hanging="288" w:left="288"/>
        <w:jc w:val="both"/>
      </w:pPr>
      <w:r>
        <w:rPr>
          <w:rFonts w:ascii="Palatino Linotype" w:hAnsi="Palatino Linotype" w:cs="Palatino Linotype" w:eastAsia="Palatino Linotype"/>
          <w:sz w:val="24"/>
        </w:rPr>
        <w:t>Li, D., Plagborg-Møller, M., Wolf, C.K., 2024. Local projections vs. VARs: Lessons from thousands of DGPs. Journal of Econometrics 244(2), 105722. https://doi.org/10.1016/j.jeconom.2024.105722.</w:t>
      </w:r>
    </w:p>
    <w:p>
      <w:pPr>
        <w:keepLines/>
        <w:spacing w:line="300" w:lineRule="auto" w:after="160"/>
        <w:ind w:hanging="288" w:left="288"/>
        <w:jc w:val="both"/>
      </w:pPr>
      <w:r>
        <w:rPr>
          <w:rFonts w:ascii="Palatino Linotype" w:hAnsi="Palatino Linotype" w:cs="Palatino Linotype" w:eastAsia="Palatino Linotype"/>
          <w:sz w:val="24"/>
        </w:rPr>
        <w:t>MacKinnon, J.G., White, H., 1985. Some heteroskedasticity-consistent covariance matrix estimators with improved finite sample properties. Journal of Econometrics 29(3), 305–325. https://doi.org/10.1016/0304-4076(85)90158-7.</w:t>
      </w:r>
    </w:p>
    <w:p>
      <w:pPr>
        <w:keepLines/>
        <w:spacing w:line="300" w:lineRule="auto" w:after="160"/>
        <w:ind w:hanging="288" w:left="288"/>
        <w:jc w:val="both"/>
      </w:pPr>
      <w:r>
        <w:rPr>
          <w:rFonts w:ascii="Palatino Linotype" w:hAnsi="Palatino Linotype" w:cs="Palatino Linotype" w:eastAsia="Palatino Linotype"/>
          <w:sz w:val="24"/>
        </w:rPr>
        <w:t>Mignon, V., Saadaoui, J., 2024. How do political tensions and geopolitical risks impact oil prices? Energy Economics 129, 107219. https://doi.org/10.1016/j.eneco.2023.107219.</w:t>
      </w:r>
    </w:p>
    <w:p>
      <w:pPr>
        <w:keepLines/>
        <w:spacing w:line="300" w:lineRule="auto" w:after="160"/>
        <w:ind w:hanging="288" w:left="288"/>
        <w:jc w:val="both"/>
      </w:pPr>
      <w:r>
        <w:rPr>
          <w:rFonts w:ascii="Palatino Linotype" w:hAnsi="Palatino Linotype" w:cs="Palatino Linotype" w:eastAsia="Palatino Linotype"/>
          <w:sz w:val="24"/>
        </w:rPr>
        <w:t>Mignon, V., Saadaoui, J., 2025. Asymmetries in the oil market: accounting for the growing role of China through quantile regressions. Macroeconomic Dynamics 29, e38. https://doi.org/10.1017/S1365100524000312.</w:t>
      </w:r>
    </w:p>
    <w:p>
      <w:pPr>
        <w:keepLines/>
        <w:spacing w:line="300" w:lineRule="auto" w:after="160"/>
        <w:ind w:hanging="288" w:left="288"/>
        <w:jc w:val="both"/>
      </w:pPr>
      <w:r>
        <w:rPr>
          <w:rFonts w:ascii="Palatino Linotype" w:hAnsi="Palatino Linotype" w:cs="Palatino Linotype" w:eastAsia="Palatino Linotype"/>
          <w:sz w:val="24"/>
        </w:rPr>
        <w:t>Montiel Olea, J.L., Plagborg-Møller, M., 2019. Simultaneous confidence bands: Theory, implementation, and an application to SVARs. Journal of Applied Econometrics 34(1), 1–17. https://doi.org/10.1002/jae.2656.</w:t>
      </w:r>
    </w:p>
    <w:p>
      <w:pPr>
        <w:keepLines/>
        <w:spacing w:line="300" w:lineRule="auto" w:after="160"/>
        <w:ind w:hanging="288" w:left="288"/>
        <w:jc w:val="both"/>
      </w:pPr>
      <w:r>
        <w:rPr>
          <w:rFonts w:ascii="Palatino Linotype" w:hAnsi="Palatino Linotype" w:cs="Palatino Linotype" w:eastAsia="Palatino Linotype"/>
          <w:sz w:val="24"/>
        </w:rPr>
        <w:t>Montiel Olea, J.L., Plagborg-Møller, M., 2021. Local projection inference is simpler and more robust than you think. Econometrica 89(4), 1789–1823. https://doi.org/10.3982/ECTA18756.</w:t>
      </w:r>
    </w:p>
    <w:p>
      <w:pPr>
        <w:keepLines/>
        <w:spacing w:line="300" w:lineRule="auto" w:after="160"/>
        <w:ind w:hanging="288" w:left="288"/>
        <w:jc w:val="both"/>
      </w:pPr>
      <w:r>
        <w:rPr>
          <w:rFonts w:ascii="Palatino Linotype" w:hAnsi="Palatino Linotype" w:cs="Palatino Linotype" w:eastAsia="Palatino Linotype"/>
          <w:sz w:val="24"/>
        </w:rPr>
        <w:t>Nakamura, E., Steinsson, J., 2018. Identification in macroeconomics. Journal of Economic Perspectives 32(3), 59–86. https://doi.org/10.1257/jep.32.3.59.</w:t>
      </w:r>
    </w:p>
    <w:p>
      <w:pPr>
        <w:keepLines/>
        <w:spacing w:line="300" w:lineRule="auto" w:after="160"/>
        <w:ind w:hanging="288" w:left="288"/>
        <w:jc w:val="both"/>
      </w:pPr>
      <w:r>
        <w:rPr>
          <w:rFonts w:ascii="Palatino Linotype" w:hAnsi="Palatino Linotype" w:cs="Palatino Linotype" w:eastAsia="Palatino Linotype"/>
          <w:sz w:val="24"/>
        </w:rPr>
        <w:t>Newey, W.K., West, K.D., 1987. A simple, positive semi-definite, heteroskedasticity and autocorrelation consistent covariance matrix. Econometrica 55(3), 703–708. https://doi.org/10.2307/1913610.</w:t>
      </w:r>
    </w:p>
    <w:p>
      <w:pPr>
        <w:keepLines/>
        <w:spacing w:line="300" w:lineRule="auto" w:after="160"/>
        <w:ind w:hanging="288" w:left="288"/>
        <w:jc w:val="both"/>
      </w:pPr>
      <w:r>
        <w:rPr>
          <w:rFonts w:ascii="Palatino Linotype" w:hAnsi="Palatino Linotype" w:cs="Palatino Linotype" w:eastAsia="Palatino Linotype"/>
          <w:sz w:val="24"/>
        </w:rPr>
        <w:t>Plagborg-Møller, M., Wolf, C.K., 2021. Local projections and VARs estimate the same impulse responses. Econometrica 89(2), 955–980. https://doi.org/10.3982/ECTA17813.</w:t>
      </w:r>
    </w:p>
    <w:p>
      <w:pPr>
        <w:keepLines/>
        <w:spacing w:line="300" w:lineRule="auto" w:after="160"/>
        <w:ind w:hanging="288" w:left="288"/>
        <w:jc w:val="both"/>
      </w:pPr>
      <w:r>
        <w:rPr>
          <w:rFonts w:ascii="Palatino Linotype" w:hAnsi="Palatino Linotype" w:cs="Palatino Linotype" w:eastAsia="Palatino Linotype"/>
          <w:sz w:val="24"/>
        </w:rPr>
        <w:t>Saadaoui, J., 2026. Geopolitical turning points and macroeconomic volatility: A bilateral identification strategy. Journal of Comparative Economics 54, 804–818. https://doi.org/10.1016/j.jce.2026.03.010.</w:t>
      </w:r>
    </w:p>
    <w:p>
      <w:pPr>
        <w:keepLines/>
        <w:spacing w:line="300" w:lineRule="auto" w:after="160"/>
        <w:ind w:hanging="288" w:left="288"/>
        <w:jc w:val="both"/>
      </w:pPr>
      <w:r>
        <w:rPr>
          <w:rFonts w:ascii="Palatino Linotype" w:hAnsi="Palatino Linotype" w:cs="Palatino Linotype" w:eastAsia="Palatino Linotype"/>
          <w:sz w:val="24"/>
        </w:rPr>
        <w:t>Sanderson, E., Windmeijer, F., 2016. A weak instrument F-test in linear IV models with multiple endogenous variables. Journal of Econometrics 190(2), 212–221. https://doi.org/10.1016/j.jeconom.2015.06.004.</w:t>
      </w:r>
    </w:p>
    <w:p>
      <w:pPr>
        <w:keepLines/>
        <w:spacing w:line="300" w:lineRule="auto" w:after="160"/>
        <w:ind w:hanging="288" w:left="288"/>
        <w:jc w:val="both"/>
      </w:pPr>
      <w:r>
        <w:rPr>
          <w:rFonts w:ascii="Palatino Linotype" w:hAnsi="Palatino Linotype" w:cs="Palatino Linotype" w:eastAsia="Palatino Linotype"/>
          <w:sz w:val="24"/>
        </w:rPr>
        <w:t>Staiger, D., Stock, J.H., 1997. Instrumental variables regression with weak instruments. Econometrica 65(3), 557–586. https://doi.org/10.2307/2171753.</w:t>
      </w:r>
    </w:p>
    <w:p>
      <w:pPr>
        <w:keepLines/>
        <w:spacing w:line="300" w:lineRule="auto" w:after="160"/>
        <w:ind w:hanging="288" w:left="288"/>
        <w:jc w:val="both"/>
      </w:pPr>
      <w:r>
        <w:rPr>
          <w:rFonts w:ascii="Palatino Linotype" w:hAnsi="Palatino Linotype" w:cs="Palatino Linotype" w:eastAsia="Palatino Linotype"/>
          <w:sz w:val="24"/>
        </w:rPr>
        <w:t>Stock, J.H., Watson, M.W., 2018. Identification and estimation of dynamic causal effects in macroeconomics using external instruments. Economic Journal 128(610), 917–948. https://doi.org/10.1111/ecoj.12593.</w:t>
      </w:r>
    </w:p>
    <w:p>
      <w:pPr>
        <w:keepLines/>
        <w:spacing w:line="300" w:lineRule="auto" w:after="160"/>
        <w:ind w:hanging="288" w:left="288"/>
        <w:jc w:val="both"/>
      </w:pPr>
      <w:r>
        <w:rPr>
          <w:rFonts w:ascii="Palatino Linotype" w:hAnsi="Palatino Linotype" w:cs="Palatino Linotype" w:eastAsia="Palatino Linotype"/>
          <w:sz w:val="24"/>
        </w:rPr>
        <w:t>Verduzco-Bustos, G., Zanetti, F., 2026. The effects of geopolitical oil price shocks. CEPR Discussion Paper 21378. https://cepr.org/publications/dp21378.</w:t>
      </w:r>
    </w:p>
    <w:p>
      <w:pPr>
        <w:keepLines/>
        <w:spacing w:line="300" w:lineRule="auto" w:after="160"/>
        <w:ind w:hanging="288" w:left="288"/>
        <w:jc w:val="both"/>
      </w:pPr>
      <w:r>
        <w:rPr>
          <w:rFonts w:ascii="Palatino Linotype" w:hAnsi="Palatino Linotype" w:cs="Palatino Linotype" w:eastAsia="Palatino Linotype"/>
          <w:sz w:val="24"/>
        </w:rPr>
        <w:t>White, H., 1980. A heteroskedasticity-consistent covariance matrix estimator and a direct test for heteroskedasticity. Econometrica 48(4), 817–838. https://doi.org/10.2307/1912934.</w:t>
      </w:r>
    </w:p>
    <w:p>
      <w:pPr>
        <w:keepLines/>
        <w:spacing w:line="300" w:lineRule="auto" w:after="160"/>
        <w:ind w:hanging="288" w:left="288"/>
        <w:jc w:val="both"/>
      </w:pPr>
      <w:r>
        <w:rPr>
          <w:rFonts w:ascii="Palatino Linotype" w:hAnsi="Palatino Linotype" w:cs="Palatino Linotype" w:eastAsia="Palatino Linotype"/>
          <w:sz w:val="24"/>
        </w:rPr>
        <w:t>Winzer, C., 2012. Conceptualizing energy security. Energy Policy 46, 36–48. https://doi.org/10.1016/j.enpol.2012.02.067.</w:t>
      </w:r>
    </w:p>
    <w:p>
      <w:pPr>
        <w:spacing w:line="300" w:lineRule="auto" w:after="160"/>
      </w:pPr>
      <w:r>
        <w:rPr>
          <w:rFonts w:ascii="Palatino Linotype" w:hAnsi="Palatino Linotype" w:cs="Palatino Linotype" w:eastAsia="Palatino Linotype"/>
          <w:sz w:val="24"/>
        </w:rPr>
        <w:br w:type="page"/>
      </w:r>
    </w:p>
    <w:p>
      <w:pPr>
        <w:pStyle w:val="Heading1"/>
      </w:pPr>
      <w:r>
        <w:rPr>
          <w:rFonts w:ascii="Palatino Linotype" w:hAnsi="Palatino Linotype" w:cs="Palatino Linotype" w:eastAsia="Palatino Linotype"/>
          <w:sz w:val="30"/>
        </w:rPr>
        <w:t>Appendix A Data sources and construction</w:t>
      </w:r>
    </w:p>
    <w:p>
      <w:pPr>
        <w:spacing w:line="300" w:lineRule="auto" w:after="160"/>
        <w:jc w:val="both"/>
      </w:pPr>
      <w:r>
        <w:rPr>
          <w:rFonts w:ascii="Palatino Linotype" w:hAnsi="Palatino Linotype" w:cs="Palatino Linotype" w:eastAsia="Palatino Linotype"/>
          <w:sz w:val="24"/>
        </w:rPr>
        <w:t>The estimation snapshot is monthly, uses a complete calendar, and contains no imputed observations. AI-GPR is from Iacoviello and Tong's official monthly event-type dataset, vintage through August 31, 2026. The aggregate and eight event-category columns retain the source units. The treatment is computed as the natural logarithm of one plus each index. The instrument is computed from the untransformed index. Source and transformed data are supplied as both CSV and XLSX, with missing observations left blank and a variable dictionary recording these definitions.</w:t>
      </w:r>
    </w:p>
    <w:p>
      <w:pPr>
        <w:spacing w:line="300" w:lineRule="auto" w:after="160"/>
        <w:jc w:val="both"/>
      </w:pPr>
      <w:r>
        <w:rPr>
          <w:rFonts w:ascii="Palatino Linotype" w:hAnsi="Palatino Linotype" w:cs="Palatino Linotype" w:eastAsia="Palatino Linotype"/>
          <w:sz w:val="24"/>
        </w:rPr>
        <w:t>Nominal WTI is the U.S. Energy Information Administration Cushing, Oklahoma spot price, monthly average; nominal Brent is the EIA Europe Brent spot price, monthly average. Both complete EIA histories were downloaded on September 19, 2026. Each is deflated by the seasonally adjusted all-items CPI series CUSR0000SA0 from the Bureau of Labor Statistics bulk-data file, also downloaded on September 19, 2026. The resulting real-price levels are logged. Official source pages are https://www.eia.gov/dnav/pet/pet_pri_spt_s1_m.htm and https://download.bls.gov/pub/time.series/cu/cu.data.1.AllItems. The logarithmic price normalization affects intercepts but not estimated responses when a constant is included.</w:t>
      </w:r>
    </w:p>
    <w:p>
      <w:pPr>
        <w:spacing w:line="300" w:lineRule="auto" w:after="160"/>
        <w:jc w:val="both"/>
      </w:pPr>
      <w:r>
        <w:rPr>
          <w:rFonts w:ascii="Palatino Linotype" w:hAnsi="Palatino Linotype" w:cs="Palatino Linotype" w:eastAsia="Palatino Linotype"/>
          <w:sz w:val="24"/>
        </w:rPr>
        <w:t>World industrial production is the Baumeister–Hamilton index for OECD economies and six major non-member economies, available from https://sites.google.com/site/cjsbaumeister/datasets. Global crude-oil production is EIA international series 57-1-WORL-TBPD.M, obtained through DBnomics at https://db.nomics.world/EIA/INTL/57-1-WORL-TBPD.M. The first difference of the log production level is the production-growth control; it is not divided by 100 or annualized. Monthly logs of industrial production enter the control vector in levels.</w:t>
      </w:r>
    </w:p>
    <w:p>
      <w:pPr>
        <w:spacing w:line="300" w:lineRule="auto" w:after="160"/>
        <w:jc w:val="both"/>
      </w:pPr>
      <w:r>
        <w:rPr>
          <w:rFonts w:ascii="Palatino Linotype" w:hAnsi="Palatino Linotype" w:cs="Palatino Linotype" w:eastAsia="Palatino Linotype"/>
          <w:sz w:val="24"/>
        </w:rPr>
        <w:t>Every macroeconomic variable is constructed from one complete current-source history. No historical segment is retained from an earlier research vintage; no later segment is spliced or rebased at a join date. The package includes the full provider files and a build script that recreates the monthly merge directly. CUSR0000SA0 reports no October 2025 observation in the downloaded BLS file. Its level is therefore filled by log-linear interpolation between September and November 2025, yielding approximately 324.654. The corresponding nominal Brent and WTI observations are taken directly from the EIA. This is the only interpolated input; other unavailable provider values remain missing.</w:t>
      </w:r>
    </w:p>
    <w:p>
      <w:pPr>
        <w:pStyle w:val="Caption"/>
        <w:keepNext/>
        <w:spacing w:before="180" w:after="80"/>
      </w:pPr>
      <w:r>
        <w:rPr>
          <w:rFonts w:ascii="Palatino Linotype" w:hAnsi="Palatino Linotype" w:cs="Palatino Linotype" w:eastAsia="Palatino Linotype"/>
          <w:sz w:val="22"/>
        </w:rPr>
        <w:t>Table A1  Observation availability</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3888"/>
        <w:gridCol w:w="1440"/>
        <w:gridCol w:w="1440"/>
        <w:gridCol w:w="1368"/>
        <w:gridCol w:w="1512"/>
      </w:tblGrid>
      <w:tr>
        <w:trPr>
          <w:cantSplit/>
          <w:tblHeader/>
        </w:trPr>
        <w:tc>
          <w:tcPr>
            <w:tcW w:type="dxa" w:w="3888"/>
            <w:vAlign w:val="center"/>
            <w:tcMar>
              <w:top w:w="55" w:type="dxa"/>
              <w:bottom w:w="55" w:type="dxa"/>
              <w:start w:w="55" w:type="dxa"/>
              <w:end w:w="55" w:type="dxa"/>
            </w:tcMar>
            <w:tcBorders>
              <w:bottom w:val="single" w:sz="5"/>
            </w:tcBorders>
          </w:tcPr>
          <w:p>
            <w:pPr>
              <w:spacing w:after="80" w:before="80" w:line="259" w:lineRule="auto"/>
              <w:jc w:val="left"/>
            </w:pPr>
            <w:r>
              <w:rPr>
                <w:rFonts w:ascii="Palatino Linotype" w:hAnsi="Palatino Linotype" w:cs="Palatino Linotype" w:eastAsia="Palatino Linotype"/>
                <w:b/>
                <w:sz w:val="20"/>
              </w:rPr>
              <w:t>Series</w:t>
            </w:r>
          </w:p>
        </w:tc>
        <w:tc>
          <w:tcPr>
            <w:tcW w:type="dxa" w:w="1440"/>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First month</w:t>
            </w:r>
          </w:p>
        </w:tc>
        <w:tc>
          <w:tcPr>
            <w:tcW w:type="dxa" w:w="1440"/>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Last month</w:t>
            </w:r>
          </w:p>
        </w:tc>
        <w:tc>
          <w:tcPr>
            <w:tcW w:type="dxa" w:w="1368"/>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Observed</w:t>
            </w:r>
          </w:p>
        </w:tc>
        <w:tc>
          <w:tcPr>
            <w:tcW w:type="dxa" w:w="1512"/>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Missing</w:t>
            </w:r>
          </w:p>
        </w:tc>
      </w:tr>
      <w:tr>
        <w:trPr>
          <w:cantSplit/>
        </w:trPr>
        <w:tc>
          <w:tcPr>
            <w:tcW w:type="dxa" w:w="3888"/>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Real WTI price</w:t>
            </w:r>
          </w:p>
        </w:tc>
        <w:tc>
          <w:tcPr>
            <w:tcW w:type="dxa" w:w="144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1990-01</w:t>
            </w:r>
          </w:p>
        </w:tc>
        <w:tc>
          <w:tcPr>
            <w:tcW w:type="dxa" w:w="144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2026-08</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440</w:t>
            </w:r>
          </w:p>
        </w:tc>
        <w:tc>
          <w:tcPr>
            <w:tcW w:type="dxa" w:w="151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w:t>
            </w:r>
          </w:p>
        </w:tc>
      </w:tr>
      <w:tr>
        <w:trPr>
          <w:cantSplit/>
        </w:trPr>
        <w:tc>
          <w:tcPr>
            <w:tcW w:type="dxa" w:w="3888"/>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Real Brent price</w:t>
            </w:r>
          </w:p>
        </w:tc>
        <w:tc>
          <w:tcPr>
            <w:tcW w:type="dxa" w:w="144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1990-01</w:t>
            </w:r>
          </w:p>
        </w:tc>
        <w:tc>
          <w:tcPr>
            <w:tcW w:type="dxa" w:w="144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2026-08</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440</w:t>
            </w:r>
          </w:p>
        </w:tc>
        <w:tc>
          <w:tcPr>
            <w:tcW w:type="dxa" w:w="151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0</w:t>
            </w:r>
          </w:p>
        </w:tc>
      </w:tr>
      <w:tr>
        <w:trPr>
          <w:cantSplit/>
        </w:trPr>
        <w:tc>
          <w:tcPr>
            <w:tcW w:type="dxa" w:w="3888"/>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World industrial production</w:t>
            </w:r>
          </w:p>
        </w:tc>
        <w:tc>
          <w:tcPr>
            <w:tcW w:type="dxa" w:w="144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1990-01</w:t>
            </w:r>
          </w:p>
        </w:tc>
        <w:tc>
          <w:tcPr>
            <w:tcW w:type="dxa" w:w="144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2026-06</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438</w:t>
            </w:r>
          </w:p>
        </w:tc>
        <w:tc>
          <w:tcPr>
            <w:tcW w:type="dxa" w:w="151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w:t>
            </w:r>
          </w:p>
        </w:tc>
      </w:tr>
      <w:tr>
        <w:trPr>
          <w:cantSplit/>
        </w:trPr>
        <w:tc>
          <w:tcPr>
            <w:tcW w:type="dxa" w:w="3888"/>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Global oil production</w:t>
            </w:r>
          </w:p>
        </w:tc>
        <w:tc>
          <w:tcPr>
            <w:tcW w:type="dxa" w:w="144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1990-01</w:t>
            </w:r>
          </w:p>
        </w:tc>
        <w:tc>
          <w:tcPr>
            <w:tcW w:type="dxa" w:w="144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2026-02</w:t>
            </w:r>
          </w:p>
        </w:tc>
        <w:tc>
          <w:tcPr>
            <w:tcW w:type="dxa" w:w="1368"/>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434</w:t>
            </w:r>
          </w:p>
        </w:tc>
        <w:tc>
          <w:tcPr>
            <w:tcW w:type="dxa" w:w="151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6</w:t>
            </w:r>
          </w:p>
        </w:tc>
      </w:tr>
      <w:tr>
        <w:trPr>
          <w:cantSplit/>
        </w:trPr>
        <w:tc>
          <w:tcPr>
            <w:tcW w:type="dxa" w:w="3888"/>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AI-GPR and event categories</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1990-01</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2026-08</w:t>
            </w:r>
          </w:p>
        </w:tc>
        <w:tc>
          <w:tcPr>
            <w:tcW w:type="dxa" w:w="1368"/>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440</w:t>
            </w:r>
          </w:p>
        </w:tc>
        <w:tc>
          <w:tcPr>
            <w:tcW w:type="dxa" w:w="151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w:t>
            </w:r>
          </w:p>
        </w:tc>
      </w:tr>
    </w:tbl>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Availability is evaluated over the 440-month calendar January 1990–August 2026, before transformations. Missing includes months after a series' source endpoint. Real Brent and WTI are complete: the unavailable October 2025 CPI deflator is log-linearly interpolated, while the nominal oil prices remain observed. Two instrument differences and the lagged controls further reduce admissible regression origins.</w:t>
      </w:r>
    </w:p>
    <w:p>
      <w:pPr>
        <w:pStyle w:val="Caption"/>
        <w:keepNext/>
        <w:spacing w:before="180" w:after="80"/>
      </w:pPr>
      <w:r>
        <w:rPr>
          <w:rFonts w:ascii="Palatino Linotype" w:hAnsi="Palatino Linotype" w:cs="Palatino Linotype" w:eastAsia="Palatino Linotype"/>
          <w:sz w:val="22"/>
        </w:rPr>
        <w:t>Table A2  Dated geopolitical episodes used in the event-window analysis</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249"/>
        <w:gridCol w:w="2429"/>
        <w:gridCol w:w="1596"/>
        <w:gridCol w:w="972"/>
        <w:gridCol w:w="902"/>
        <w:gridCol w:w="1180"/>
        <w:gridCol w:w="1319"/>
      </w:tblGrid>
      <w:tr>
        <w:trPr>
          <w:cantSplit/>
          <w:tblHeader/>
        </w:trPr>
        <w:tc>
          <w:tcPr>
            <w:tcW w:type="dxa" w:w="1249"/>
            <w:vAlign w:val="center"/>
            <w:tcMar>
              <w:top w:w="55" w:type="dxa"/>
              <w:bottom w:w="55" w:type="dxa"/>
              <w:start w:w="55" w:type="dxa"/>
              <w:end w:w="55" w:type="dxa"/>
            </w:tcMar>
            <w:tcBorders>
              <w:bottom w:val="single" w:sz="5"/>
            </w:tcBorders>
          </w:tcPr>
          <w:p>
            <w:pPr>
              <w:spacing w:after="80" w:before="80" w:line="259" w:lineRule="auto"/>
              <w:jc w:val="left"/>
            </w:pPr>
            <w:r>
              <w:rPr>
                <w:rFonts w:ascii="Palatino Linotype" w:hAnsi="Palatino Linotype" w:cs="Palatino Linotype" w:eastAsia="Palatino Linotype"/>
                <w:b/>
                <w:sz w:val="20"/>
              </w:rPr>
              <w:t>Dated month</w:t>
            </w:r>
          </w:p>
        </w:tc>
        <w:tc>
          <w:tcPr>
            <w:tcW w:type="dxa" w:w="2429"/>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Geopolitical episode</w:t>
            </w:r>
          </w:p>
        </w:tc>
        <w:tc>
          <w:tcPr>
            <w:tcW w:type="dxa" w:w="1596"/>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Illustrative category</w:t>
            </w:r>
          </w:p>
        </w:tc>
        <w:tc>
          <w:tcPr>
            <w:tcW w:type="dxa" w:w="972"/>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Raw curvature Z</w:t>
            </w:r>
          </w:p>
        </w:tc>
        <w:tc>
          <w:tcPr>
            <w:tcW w:type="dxa" w:w="902"/>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Sign</w:t>
            </w:r>
          </w:p>
        </w:tc>
        <w:tc>
          <w:tcPr>
            <w:tcW w:type="dxa" w:w="1180"/>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Historical |Z| percentile</w:t>
            </w:r>
          </w:p>
        </w:tc>
        <w:tc>
          <w:tcPr>
            <w:tcW w:type="dxa" w:w="1319"/>
            <w:vAlign w:val="center"/>
            <w:tcMar>
              <w:top w:w="55" w:type="dxa"/>
              <w:bottom w:w="55" w:type="dxa"/>
              <w:start w:w="55" w:type="dxa"/>
              <w:end w:w="55" w:type="dxa"/>
            </w:tcMar>
            <w:tcBorders>
              <w:bottom w:val="single" w:sz="5"/>
            </w:tcBorders>
          </w:tcPr>
          <w:p>
            <w:pPr>
              <w:spacing w:after="80" w:before="80" w:line="259" w:lineRule="auto"/>
              <w:jc w:val="center"/>
            </w:pPr>
            <w:r>
              <w:rPr>
                <w:rFonts w:ascii="Palatino Linotype" w:hAnsi="Palatino Linotype" w:cs="Palatino Linotype" w:eastAsia="Palatino Linotype"/>
                <w:b/>
                <w:sz w:val="20"/>
              </w:rPr>
              <w:t>Excluded window</w:t>
            </w:r>
          </w:p>
        </w:tc>
      </w:tr>
      <w:tr>
        <w:trPr>
          <w:cantSplit/>
        </w:trPr>
        <w:tc>
          <w:tcPr>
            <w:tcW w:type="dxa" w:w="1249"/>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August 1990</w:t>
            </w:r>
          </w:p>
        </w:tc>
        <w:tc>
          <w:tcPr>
            <w:tcW w:type="dxa" w:w="242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Iraq invades Kuwait</w:t>
            </w:r>
          </w:p>
        </w:tc>
        <w:tc>
          <w:tcPr>
            <w:tcW w:type="dxa" w:w="15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Military conflict</w:t>
            </w:r>
          </w:p>
        </w:tc>
        <w:tc>
          <w:tcPr>
            <w:tcW w:type="dxa" w:w="9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108.91</w:t>
            </w:r>
          </w:p>
        </w:tc>
        <w:tc>
          <w:tcPr>
            <w:tcW w:type="dxa" w:w="90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Positive</w:t>
            </w:r>
          </w:p>
        </w:tc>
        <w:tc>
          <w:tcPr>
            <w:tcW w:type="dxa" w:w="118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100.0</w:t>
            </w:r>
          </w:p>
        </w:tc>
        <w:tc>
          <w:tcPr>
            <w:tcW w:type="dxa" w:w="13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1990-07 to 1990-09</w:t>
            </w:r>
          </w:p>
        </w:tc>
      </w:tr>
      <w:tr>
        <w:trPr>
          <w:cantSplit/>
        </w:trPr>
        <w:tc>
          <w:tcPr>
            <w:tcW w:type="dxa" w:w="1249"/>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January 1991</w:t>
            </w:r>
          </w:p>
        </w:tc>
        <w:tc>
          <w:tcPr>
            <w:tcW w:type="dxa" w:w="242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Gulf War air campaign</w:t>
            </w:r>
          </w:p>
        </w:tc>
        <w:tc>
          <w:tcPr>
            <w:tcW w:type="dxa" w:w="15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Military conflict</w:t>
            </w:r>
          </w:p>
        </w:tc>
        <w:tc>
          <w:tcPr>
            <w:tcW w:type="dxa" w:w="9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155.05</w:t>
            </w:r>
          </w:p>
        </w:tc>
        <w:tc>
          <w:tcPr>
            <w:tcW w:type="dxa" w:w="90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Positive</w:t>
            </w:r>
          </w:p>
        </w:tc>
        <w:tc>
          <w:tcPr>
            <w:tcW w:type="dxa" w:w="118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90.9</w:t>
            </w:r>
          </w:p>
        </w:tc>
        <w:tc>
          <w:tcPr>
            <w:tcW w:type="dxa" w:w="13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1990-12 to 1991-02</w:t>
            </w:r>
          </w:p>
        </w:tc>
      </w:tr>
      <w:tr>
        <w:trPr>
          <w:cantSplit/>
        </w:trPr>
        <w:tc>
          <w:tcPr>
            <w:tcW w:type="dxa" w:w="1249"/>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May 1998</w:t>
            </w:r>
          </w:p>
        </w:tc>
        <w:tc>
          <w:tcPr>
            <w:tcW w:type="dxa" w:w="242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Indian and Pakistani nuclear tests</w:t>
            </w:r>
          </w:p>
        </w:tc>
        <w:tc>
          <w:tcPr>
            <w:tcW w:type="dxa" w:w="15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Nuclear threat</w:t>
            </w:r>
          </w:p>
        </w:tc>
        <w:tc>
          <w:tcPr>
            <w:tcW w:type="dxa" w:w="9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16.00</w:t>
            </w:r>
          </w:p>
        </w:tc>
        <w:tc>
          <w:tcPr>
            <w:tcW w:type="dxa" w:w="90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Positive</w:t>
            </w:r>
          </w:p>
        </w:tc>
        <w:tc>
          <w:tcPr>
            <w:tcW w:type="dxa" w:w="118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100.0</w:t>
            </w:r>
          </w:p>
        </w:tc>
        <w:tc>
          <w:tcPr>
            <w:tcW w:type="dxa" w:w="13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1998-04 to 1998-06</w:t>
            </w:r>
          </w:p>
        </w:tc>
      </w:tr>
      <w:tr>
        <w:trPr>
          <w:cantSplit/>
        </w:trPr>
        <w:tc>
          <w:tcPr>
            <w:tcW w:type="dxa" w:w="1249"/>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September 2001</w:t>
            </w:r>
          </w:p>
        </w:tc>
        <w:tc>
          <w:tcPr>
            <w:tcW w:type="dxa" w:w="242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September 11 attacks</w:t>
            </w:r>
          </w:p>
        </w:tc>
        <w:tc>
          <w:tcPr>
            <w:tcW w:type="dxa" w:w="15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Terrorism</w:t>
            </w:r>
          </w:p>
        </w:tc>
        <w:tc>
          <w:tcPr>
            <w:tcW w:type="dxa" w:w="9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173.67</w:t>
            </w:r>
          </w:p>
        </w:tc>
        <w:tc>
          <w:tcPr>
            <w:tcW w:type="dxa" w:w="90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Positive</w:t>
            </w:r>
          </w:p>
        </w:tc>
        <w:tc>
          <w:tcPr>
            <w:tcW w:type="dxa" w:w="118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100.0</w:t>
            </w:r>
          </w:p>
        </w:tc>
        <w:tc>
          <w:tcPr>
            <w:tcW w:type="dxa" w:w="13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2001-08 to 2001-10</w:t>
            </w:r>
          </w:p>
        </w:tc>
      </w:tr>
      <w:tr>
        <w:trPr>
          <w:cantSplit/>
        </w:trPr>
        <w:tc>
          <w:tcPr>
            <w:tcW w:type="dxa" w:w="1249"/>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March 2003</w:t>
            </w:r>
          </w:p>
        </w:tc>
        <w:tc>
          <w:tcPr>
            <w:tcW w:type="dxa" w:w="242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Invasion of Iraq</w:t>
            </w:r>
          </w:p>
        </w:tc>
        <w:tc>
          <w:tcPr>
            <w:tcW w:type="dxa" w:w="15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Military conflict</w:t>
            </w:r>
          </w:p>
        </w:tc>
        <w:tc>
          <w:tcPr>
            <w:tcW w:type="dxa" w:w="9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82.79</w:t>
            </w:r>
          </w:p>
        </w:tc>
        <w:tc>
          <w:tcPr>
            <w:tcW w:type="dxa" w:w="90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Positive</w:t>
            </w:r>
          </w:p>
        </w:tc>
        <w:tc>
          <w:tcPr>
            <w:tcW w:type="dxa" w:w="118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96.8</w:t>
            </w:r>
          </w:p>
        </w:tc>
        <w:tc>
          <w:tcPr>
            <w:tcW w:type="dxa" w:w="13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2003-02 to 2003-04</w:t>
            </w:r>
          </w:p>
        </w:tc>
      </w:tr>
      <w:tr>
        <w:trPr>
          <w:cantSplit/>
        </w:trPr>
        <w:tc>
          <w:tcPr>
            <w:tcW w:type="dxa" w:w="1249"/>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October 2006</w:t>
            </w:r>
          </w:p>
        </w:tc>
        <w:tc>
          <w:tcPr>
            <w:tcW w:type="dxa" w:w="242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North Korean nuclear test</w:t>
            </w:r>
          </w:p>
        </w:tc>
        <w:tc>
          <w:tcPr>
            <w:tcW w:type="dxa" w:w="15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Nuclear threat</w:t>
            </w:r>
          </w:p>
        </w:tc>
        <w:tc>
          <w:tcPr>
            <w:tcW w:type="dxa" w:w="9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10.55</w:t>
            </w:r>
          </w:p>
        </w:tc>
        <w:tc>
          <w:tcPr>
            <w:tcW w:type="dxa" w:w="90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Positive</w:t>
            </w:r>
          </w:p>
        </w:tc>
        <w:tc>
          <w:tcPr>
            <w:tcW w:type="dxa" w:w="118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97.0</w:t>
            </w:r>
          </w:p>
        </w:tc>
        <w:tc>
          <w:tcPr>
            <w:tcW w:type="dxa" w:w="13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2006-09 to 2006-11</w:t>
            </w:r>
          </w:p>
        </w:tc>
      </w:tr>
      <w:tr>
        <w:trPr>
          <w:cantSplit/>
        </w:trPr>
        <w:tc>
          <w:tcPr>
            <w:tcW w:type="dxa" w:w="1249"/>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February 2011</w:t>
            </w:r>
          </w:p>
        </w:tc>
        <w:tc>
          <w:tcPr>
            <w:tcW w:type="dxa" w:w="242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Libyan uprising</w:t>
            </w:r>
          </w:p>
        </w:tc>
        <w:tc>
          <w:tcPr>
            <w:tcW w:type="dxa" w:w="15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Civil war</w:t>
            </w:r>
          </w:p>
        </w:tc>
        <w:tc>
          <w:tcPr>
            <w:tcW w:type="dxa" w:w="9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17.00</w:t>
            </w:r>
          </w:p>
        </w:tc>
        <w:tc>
          <w:tcPr>
            <w:tcW w:type="dxa" w:w="90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Positive</w:t>
            </w:r>
          </w:p>
        </w:tc>
        <w:tc>
          <w:tcPr>
            <w:tcW w:type="dxa" w:w="118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99.6</w:t>
            </w:r>
          </w:p>
        </w:tc>
        <w:tc>
          <w:tcPr>
            <w:tcW w:type="dxa" w:w="13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2011-01 to 2011-03</w:t>
            </w:r>
          </w:p>
        </w:tc>
      </w:tr>
      <w:tr>
        <w:trPr>
          <w:cantSplit/>
        </w:trPr>
        <w:tc>
          <w:tcPr>
            <w:tcW w:type="dxa" w:w="1249"/>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July 2013</w:t>
            </w:r>
          </w:p>
        </w:tc>
        <w:tc>
          <w:tcPr>
            <w:tcW w:type="dxa" w:w="242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Egyptian military takeover</w:t>
            </w:r>
          </w:p>
        </w:tc>
        <w:tc>
          <w:tcPr>
            <w:tcW w:type="dxa" w:w="15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Coup</w:t>
            </w:r>
          </w:p>
        </w:tc>
        <w:tc>
          <w:tcPr>
            <w:tcW w:type="dxa" w:w="9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12.00</w:t>
            </w:r>
          </w:p>
        </w:tc>
        <w:tc>
          <w:tcPr>
            <w:tcW w:type="dxa" w:w="90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Positive</w:t>
            </w:r>
          </w:p>
        </w:tc>
        <w:tc>
          <w:tcPr>
            <w:tcW w:type="dxa" w:w="118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98.9</w:t>
            </w:r>
          </w:p>
        </w:tc>
        <w:tc>
          <w:tcPr>
            <w:tcW w:type="dxa" w:w="13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2013-06 to 2013-08</w:t>
            </w:r>
          </w:p>
        </w:tc>
      </w:tr>
      <w:tr>
        <w:trPr>
          <w:cantSplit/>
        </w:trPr>
        <w:tc>
          <w:tcPr>
            <w:tcW w:type="dxa" w:w="1249"/>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November 2015</w:t>
            </w:r>
          </w:p>
        </w:tc>
        <w:tc>
          <w:tcPr>
            <w:tcW w:type="dxa" w:w="242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Paris attacks</w:t>
            </w:r>
          </w:p>
        </w:tc>
        <w:tc>
          <w:tcPr>
            <w:tcW w:type="dxa" w:w="15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Terrorism</w:t>
            </w:r>
          </w:p>
        </w:tc>
        <w:tc>
          <w:tcPr>
            <w:tcW w:type="dxa" w:w="9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53.04</w:t>
            </w:r>
          </w:p>
        </w:tc>
        <w:tc>
          <w:tcPr>
            <w:tcW w:type="dxa" w:w="90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Positive</w:t>
            </w:r>
          </w:p>
        </w:tc>
        <w:tc>
          <w:tcPr>
            <w:tcW w:type="dxa" w:w="118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98.7</w:t>
            </w:r>
          </w:p>
        </w:tc>
        <w:tc>
          <w:tcPr>
            <w:tcW w:type="dxa" w:w="13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2015-10 to 2015-12</w:t>
            </w:r>
          </w:p>
        </w:tc>
      </w:tr>
      <w:tr>
        <w:trPr>
          <w:cantSplit/>
        </w:trPr>
        <w:tc>
          <w:tcPr>
            <w:tcW w:type="dxa" w:w="1249"/>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July 2017</w:t>
            </w:r>
          </w:p>
        </w:tc>
        <w:tc>
          <w:tcPr>
            <w:tcW w:type="dxa" w:w="242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North Korean missile escalation</w:t>
            </w:r>
          </w:p>
        </w:tc>
        <w:tc>
          <w:tcPr>
            <w:tcW w:type="dxa" w:w="15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Nuclear threat</w:t>
            </w:r>
          </w:p>
        </w:tc>
        <w:tc>
          <w:tcPr>
            <w:tcW w:type="dxa" w:w="9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12.54</w:t>
            </w:r>
          </w:p>
        </w:tc>
        <w:tc>
          <w:tcPr>
            <w:tcW w:type="dxa" w:w="90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Positive</w:t>
            </w:r>
          </w:p>
        </w:tc>
        <w:tc>
          <w:tcPr>
            <w:tcW w:type="dxa" w:w="118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97.9</w:t>
            </w:r>
          </w:p>
        </w:tc>
        <w:tc>
          <w:tcPr>
            <w:tcW w:type="dxa" w:w="13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2017-06 to 2017-08</w:t>
            </w:r>
          </w:p>
        </w:tc>
      </w:tr>
      <w:tr>
        <w:trPr>
          <w:cantSplit/>
        </w:trPr>
        <w:tc>
          <w:tcPr>
            <w:tcW w:type="dxa" w:w="1249"/>
            <w:vAlign w:val="center"/>
            <w:tcMar>
              <w:top w:w="55" w:type="dxa"/>
              <w:bottom w:w="55" w:type="dxa"/>
              <w:start w:w="55" w:type="dxa"/>
              <w:end w:w="55" w:type="dxa"/>
            </w:tcMar>
          </w:tcPr>
          <w:p>
            <w:pPr>
              <w:spacing w:after="80" w:before="80" w:line="259" w:lineRule="auto"/>
              <w:jc w:val="left"/>
            </w:pPr>
            <w:r>
              <w:rPr>
                <w:rFonts w:ascii="Palatino Linotype" w:hAnsi="Palatino Linotype" w:cs="Palatino Linotype" w:eastAsia="Palatino Linotype"/>
                <w:b w:val="0"/>
                <w:sz w:val="20"/>
              </w:rPr>
              <w:t>February 2022</w:t>
            </w:r>
          </w:p>
        </w:tc>
        <w:tc>
          <w:tcPr>
            <w:tcW w:type="dxa" w:w="242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Russian invasion of Ukraine</w:t>
            </w:r>
          </w:p>
        </w:tc>
        <w:tc>
          <w:tcPr>
            <w:tcW w:type="dxa" w:w="1596"/>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Military conflict</w:t>
            </w:r>
          </w:p>
        </w:tc>
        <w:tc>
          <w:tcPr>
            <w:tcW w:type="dxa" w:w="97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72.41</w:t>
            </w:r>
          </w:p>
        </w:tc>
        <w:tc>
          <w:tcPr>
            <w:tcW w:type="dxa" w:w="902"/>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Positive</w:t>
            </w:r>
          </w:p>
        </w:tc>
        <w:tc>
          <w:tcPr>
            <w:tcW w:type="dxa" w:w="1180"/>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97.4</w:t>
            </w:r>
          </w:p>
        </w:tc>
        <w:tc>
          <w:tcPr>
            <w:tcW w:type="dxa" w:w="1319"/>
            <w:vAlign w:val="center"/>
            <w:tcMar>
              <w:top w:w="55" w:type="dxa"/>
              <w:bottom w:w="55" w:type="dxa"/>
              <w:start w:w="55" w:type="dxa"/>
              <w:end w:w="55" w:type="dxa"/>
            </w:tcMar>
          </w:tcPr>
          <w:p>
            <w:pPr>
              <w:spacing w:after="80" w:before="80" w:line="259" w:lineRule="auto"/>
              <w:jc w:val="center"/>
            </w:pPr>
            <w:r>
              <w:rPr>
                <w:rFonts w:ascii="Palatino Linotype" w:hAnsi="Palatino Linotype" w:cs="Palatino Linotype" w:eastAsia="Palatino Linotype"/>
                <w:b w:val="0"/>
                <w:sz w:val="20"/>
              </w:rPr>
              <w:t>2022-01 to 2022-03</w:t>
            </w:r>
          </w:p>
        </w:tc>
      </w:tr>
      <w:tr>
        <w:trPr>
          <w:cantSplit/>
        </w:trPr>
        <w:tc>
          <w:tcPr>
            <w:tcW w:type="dxa" w:w="1249"/>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October 2023</w:t>
            </w:r>
          </w:p>
        </w:tc>
        <w:tc>
          <w:tcPr>
            <w:tcW w:type="dxa" w:w="242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Israel-Hamas war outbreak</w:t>
            </w:r>
          </w:p>
        </w:tc>
        <w:tc>
          <w:tcPr>
            <w:tcW w:type="dxa" w:w="1596"/>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Military conflict</w:t>
            </w:r>
          </w:p>
        </w:tc>
        <w:tc>
          <w:tcPr>
            <w:tcW w:type="dxa" w:w="97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129.24</w:t>
            </w:r>
          </w:p>
        </w:tc>
        <w:tc>
          <w:tcPr>
            <w:tcW w:type="dxa" w:w="90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Positive</w:t>
            </w:r>
          </w:p>
        </w:tc>
        <w:tc>
          <w:tcPr>
            <w:tcW w:type="dxa" w:w="118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98.8</w:t>
            </w:r>
          </w:p>
        </w:tc>
        <w:tc>
          <w:tcPr>
            <w:tcW w:type="dxa" w:w="1319"/>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2023-09 to 2023-11</w:t>
            </w:r>
          </w:p>
        </w:tc>
      </w:tr>
    </w:tbl>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 xml:space="preserve">Raw curvature is the signed turning-point value for the event type most directly associated with the dated episode: </w:t>
      </w:r>
      <m:oMath>
        <m:sSub>
          <m:e>
            <m:r>
              <m:t xml:space="preserve">Z</m:t>
            </m:r>
          </m:e>
          <m:sub>
            <m:r>
              <m:t xml:space="preserve">j</m:t>
            </m:r>
            <m:r>
              <m:t xml:space="preserve">,</m:t>
            </m:r>
            <m:r>
              <m:t xml:space="preserve">t</m:t>
            </m:r>
          </m:sub>
        </m:sSub>
        <m:r>
          <m:t xml:space="preserve">=</m:t>
        </m:r>
        <m:sSup>
          <m:e>
            <m:r>
              <m:t xml:space="preserve">Δ</m:t>
            </m:r>
          </m:e>
          <m:sup>
            <m:r>
              <m:t xml:space="preserve">2</m:t>
            </m:r>
          </m:sup>
        </m:sSup>
        <m:sSub>
          <m:e>
            <m:r>
              <m:t xml:space="preserve">G</m:t>
            </m:r>
          </m:e>
          <m:sub>
            <m:r>
              <m:t xml:space="preserve">j</m:t>
            </m:r>
            <m:r>
              <m:t xml:space="preserve">,</m:t>
            </m:r>
            <m:r>
              <m:t xml:space="preserve">t</m:t>
            </m:r>
          </m:sub>
        </m:sSub>
      </m:oMath>
      <w:r>
        <w:rPr>
          <w:rFonts w:ascii="Palatino Linotype" w:hAnsi="Palatino Linotype" w:cs="Palatino Linotype" w:eastAsia="Palatino Linotype"/>
          <w:sz w:val="21"/>
        </w:rPr>
        <w:t xml:space="preserve">. Positive values indicate upward curvature toward higher measured category risk; negative values indicate downward curvature. The historical percentile ranks </w:t>
      </w:r>
      <m:oMath>
        <m:r>
          <m:t xml:space="preserve">|</m:t>
        </m:r>
        <m:sSub>
          <m:e>
            <m:r>
              <m:t xml:space="preserve">Z</m:t>
            </m:r>
          </m:e>
          <m:sub>
            <m:r>
              <m:t xml:space="preserve">j</m:t>
            </m:r>
            <m:r>
              <m:t xml:space="preserve">,</m:t>
            </m:r>
            <m:r>
              <m:t xml:space="preserve">t</m:t>
            </m:r>
          </m:sub>
        </m:sSub>
        <m:r>
          <m:t xml:space="preserve">|</m:t>
        </m:r>
      </m:oMath>
      <w:r>
        <w:rPr>
          <w:rFonts w:ascii="Palatino Linotype" w:hAnsi="Palatino Linotype" w:cs="Palatino Linotype" w:eastAsia="Palatino Linotype"/>
          <w:sz w:val="21"/>
        </w:rPr>
        <w:t xml:space="preserve"> within the absolute category-specific curvature observations available from January 1990 through the dated month, inclusive. It therefore measures the contemporaneous extremity of the turning point without using future data. The category assignment is illustrative rather than exclusive because several event types can move in the same month. The event-exclusion exercise removes the dated month and its adjacent origin months, one episode at a time.</w:t>
      </w:r>
    </w:p>
    <w:p>
      <w:pPr>
        <w:spacing w:line="300" w:lineRule="auto" w:after="160"/>
        <w:jc w:val="both"/>
      </w:pPr>
      <w:r>
        <w:rPr>
          <w:rFonts w:ascii="Palatino Linotype" w:hAnsi="Palatino Linotype" w:cs="Palatino Linotype" w:eastAsia="Palatino Linotype"/>
          <w:sz w:val="24"/>
        </w:rPr>
        <w:t>Table A2 restores the quantitative correspondence between recognizable geopolitical episodes and the instrument. The signed value identifies the direction of the change in trajectory, while the expanding historical percentile shows how unusual its magnitude was when the episode occurred. These are descriptive realizations of the rule-based instrument, not hand-coded shocks or proof that each episode is exogenous. The dates neither define the instrument nor select the baseline observations. Complete event-window estimates by outcome, category, horizon, and episode are reported in the replication file results/event_drop.csv.</w:t>
      </w:r>
    </w:p>
    <w:p>
      <w:pPr>
        <w:spacing w:line="300" w:lineRule="auto" w:after="160"/>
        <w:jc w:val="both"/>
      </w:pPr>
      <w:r>
        <w:rPr>
          <w:rFonts w:ascii="Palatino Linotype" w:hAnsi="Palatino Linotype" w:cs="Palatino Linotype" w:eastAsia="Palatino Linotype"/>
          <w:sz w:val="24"/>
        </w:rPr>
        <w:t>Software constructs leads and lags before trimming the sample, uses stable partialling-out calculations for the exactly identified IV estimator, and retains calendar-aligned score arrays for covariance calculations. Reported tables are generated from the exported numerical estimates rather than manually entered coefficients. Tests independently compare the estimator and covariance matrices with alternative calculations and verify the fixed two-month lead, lag patterns, missing-data handling, and shock normalization. Those checks establish implementation consistency; the economic identification conditions remain the assumptions stated in Section 4.</w:t>
      </w:r>
    </w:p>
    <w:p>
      <w:pPr>
        <w:pStyle w:val="Heading1"/>
      </w:pPr>
      <w:r>
        <w:rPr>
          <w:rFonts w:ascii="Palatino Linotype" w:hAnsi="Palatino Linotype" w:cs="Palatino Linotype" w:eastAsia="Palatino Linotype"/>
          <w:sz w:val="30"/>
        </w:rPr>
        <w:t>Appendix B Supplementary specification and price benchmark</w:t>
      </w:r>
    </w:p>
    <w:p>
      <w:pPr>
        <w:pStyle w:val="Caption"/>
        <w:keepNext/>
        <w:spacing w:before="180" w:after="80"/>
      </w:pPr>
      <w:r>
        <w:rPr>
          <w:rFonts w:ascii="Palatino Linotype" w:hAnsi="Palatino Linotype" w:cs="Palatino Linotype" w:eastAsia="Palatino Linotype"/>
          <w:sz w:val="22"/>
        </w:rPr>
        <w:t>Table B1  Matched sample specification sensitivity for Brent</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880"/>
        <w:gridCol w:w="1944"/>
        <w:gridCol w:w="1440"/>
        <w:gridCol w:w="1440"/>
        <w:gridCol w:w="1152"/>
        <w:gridCol w:w="792"/>
      </w:tblGrid>
      <w:tr>
        <w:trPr>
          <w:cantSplit/>
          <w:tblHeader/>
        </w:trPr>
        <w:tc>
          <w:tcPr>
            <w:tcW w:type="dxa" w:w="2880"/>
            <w:vAlign w:val="center"/>
            <w:tcMar>
              <w:top w:w="55" w:type="dxa"/>
              <w:bottom w:w="55" w:type="dxa"/>
              <w:start w:w="55" w:type="dxa"/>
              <w:end w:w="55" w:type="dxa"/>
            </w:tcMar>
            <w:tcBorders>
              <w:bottom w:val="single" w:sz="5"/>
            </w:tcBorders>
          </w:tcPr>
          <w:p>
            <w:pPr>
              <w:keepNext/>
              <w:spacing w:after="80" w:before="80" w:line="259" w:lineRule="auto"/>
              <w:jc w:val="left"/>
            </w:pPr>
            <w:r>
              <w:rPr>
                <w:rFonts w:ascii="Palatino Linotype" w:hAnsi="Palatino Linotype" w:cs="Palatino Linotype" w:eastAsia="Palatino Linotype"/>
                <w:b/>
                <w:sz w:val="20"/>
              </w:rPr>
              <w:t>Category and horizon</w:t>
            </w:r>
          </w:p>
        </w:tc>
        <w:tc>
          <w:tcPr>
            <w:tcW w:type="dxa" w:w="1944"/>
            <w:vAlign w:val="center"/>
            <w:tcMar>
              <w:top w:w="55" w:type="dxa"/>
              <w:bottom w:w="55" w:type="dxa"/>
              <w:start w:w="55" w:type="dxa"/>
              <w:end w:w="55" w:type="dxa"/>
            </w:tcMar>
            <w:tcBorders>
              <w:bottom w:val="single" w:sz="5"/>
            </w:tcBorders>
          </w:tcPr>
          <w:p>
            <w:pPr>
              <w:keepNext/>
              <w:spacing w:after="80" w:before="80" w:line="259" w:lineRule="auto"/>
              <w:jc w:val="center"/>
            </w:pPr>
            <w:r>
              <w:rPr>
                <w:rFonts w:ascii="Palatino Linotype" w:hAnsi="Palatino Linotype" w:cs="Palatino Linotype" w:eastAsia="Palatino Linotype"/>
                <w:b/>
                <w:sz w:val="20"/>
              </w:rPr>
              <w:t>Alternative</w:t>
            </w:r>
          </w:p>
        </w:tc>
        <w:tc>
          <w:tcPr>
            <w:tcW w:type="dxa" w:w="1440"/>
            <w:vAlign w:val="center"/>
            <w:tcMar>
              <w:top w:w="55" w:type="dxa"/>
              <w:bottom w:w="55" w:type="dxa"/>
              <w:start w:w="55" w:type="dxa"/>
              <w:end w:w="55" w:type="dxa"/>
            </w:tcMar>
            <w:tcBorders>
              <w:bottom w:val="single" w:sz="5"/>
            </w:tcBorders>
          </w:tcPr>
          <w:p>
            <w:pPr>
              <w:keepNext/>
              <w:spacing w:after="80" w:before="80" w:line="259" w:lineRule="auto"/>
              <w:jc w:val="center"/>
            </w:pPr>
            <w:r>
              <w:rPr>
                <w:rFonts w:ascii="Palatino Linotype" w:hAnsi="Palatino Linotype" w:cs="Palatino Linotype" w:eastAsia="Palatino Linotype"/>
                <w:b/>
                <w:sz w:val="20"/>
              </w:rPr>
              <w:t>Matched baseline</w:t>
            </w:r>
          </w:p>
        </w:tc>
        <w:tc>
          <w:tcPr>
            <w:tcW w:type="dxa" w:w="1440"/>
            <w:vAlign w:val="center"/>
            <w:tcMar>
              <w:top w:w="55" w:type="dxa"/>
              <w:bottom w:w="55" w:type="dxa"/>
              <w:start w:w="55" w:type="dxa"/>
              <w:end w:w="55" w:type="dxa"/>
            </w:tcMar>
            <w:tcBorders>
              <w:bottom w:val="single" w:sz="5"/>
            </w:tcBorders>
          </w:tcPr>
          <w:p>
            <w:pPr>
              <w:keepNext/>
              <w:spacing w:after="80" w:before="80" w:line="259" w:lineRule="auto"/>
              <w:jc w:val="center"/>
            </w:pPr>
            <w:r>
              <w:rPr>
                <w:rFonts w:ascii="Palatino Linotype" w:hAnsi="Palatino Linotype" w:cs="Palatino Linotype" w:eastAsia="Palatino Linotype"/>
                <w:b/>
                <w:sz w:val="20"/>
              </w:rPr>
              <w:t>Alternative slope</w:t>
            </w:r>
          </w:p>
        </w:tc>
        <w:tc>
          <w:tcPr>
            <w:tcW w:type="dxa" w:w="1152"/>
            <w:vAlign w:val="center"/>
            <w:tcMar>
              <w:top w:w="55" w:type="dxa"/>
              <w:bottom w:w="55" w:type="dxa"/>
              <w:start w:w="55" w:type="dxa"/>
              <w:end w:w="55" w:type="dxa"/>
            </w:tcMar>
            <w:tcBorders>
              <w:bottom w:val="single" w:sz="5"/>
            </w:tcBorders>
          </w:tcPr>
          <w:p>
            <w:pPr>
              <w:keepNext/>
              <w:spacing w:after="80" w:before="80" w:line="259" w:lineRule="auto"/>
              <w:jc w:val="center"/>
            </w:pPr>
            <w:r>
              <w:rPr>
                <w:rFonts w:ascii="Palatino Linotype" w:hAnsi="Palatino Linotype" w:cs="Palatino Linotype" w:eastAsia="Palatino Linotype"/>
                <w:b/>
                <w:sz w:val="20"/>
              </w:rPr>
              <w:t>HC3 SE</w:t>
            </w:r>
          </w:p>
        </w:tc>
        <w:tc>
          <w:tcPr>
            <w:tcW w:type="dxa" w:w="792"/>
            <w:vAlign w:val="center"/>
            <w:tcMar>
              <w:top w:w="55" w:type="dxa"/>
              <w:bottom w:w="55" w:type="dxa"/>
              <w:start w:w="55" w:type="dxa"/>
              <w:end w:w="55" w:type="dxa"/>
            </w:tcMar>
            <w:tcBorders>
              <w:bottom w:val="single" w:sz="5"/>
            </w:tcBorders>
          </w:tcPr>
          <w:p>
            <w:pPr>
              <w:keepNext/>
              <w:spacing w:after="80" w:before="80" w:line="259" w:lineRule="auto"/>
              <w:jc w:val="center"/>
            </w:pPr>
            <w:r>
              <w:rPr>
                <w:rFonts w:ascii="Palatino Linotype" w:hAnsi="Palatino Linotype" w:cs="Palatino Linotype" w:eastAsia="Palatino Linotype"/>
                <w:b/>
                <w:sz w:val="20"/>
              </w:rPr>
              <w:t>N</w:t>
            </w:r>
          </w:p>
        </w:tc>
      </w:tr>
      <w:tr>
        <w:trPr>
          <w:cantSplit/>
        </w:trPr>
        <w:tc>
          <w:tcPr>
            <w:tcW w:type="dxa" w:w="288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Military conflict h=0</w:t>
            </w:r>
          </w:p>
        </w:tc>
        <w:tc>
          <w:tcPr>
            <w:tcW w:type="dxa" w:w="19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2 price lags</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0.064</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0.065</w:t>
            </w:r>
          </w:p>
        </w:tc>
        <w:tc>
          <w:tcPr>
            <w:tcW w:type="dxa" w:w="115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0.030</w:t>
            </w:r>
          </w:p>
        </w:tc>
        <w:tc>
          <w:tcPr>
            <w:tcW w:type="dxa" w:w="79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432</w:t>
            </w:r>
          </w:p>
        </w:tc>
      </w:tr>
      <w:tr>
        <w:trPr>
          <w:cantSplit/>
        </w:trPr>
        <w:tc>
          <w:tcPr>
            <w:tcW w:type="dxa" w:w="288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Military conflict h=0</w:t>
            </w:r>
          </w:p>
        </w:tc>
        <w:tc>
          <w:tcPr>
            <w:tcW w:type="dxa" w:w="19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 price lags</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0.063</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0.063</w:t>
            </w:r>
          </w:p>
        </w:tc>
        <w:tc>
          <w:tcPr>
            <w:tcW w:type="dxa" w:w="115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0.030</w:t>
            </w:r>
          </w:p>
        </w:tc>
        <w:tc>
          <w:tcPr>
            <w:tcW w:type="dxa" w:w="79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431</w:t>
            </w:r>
          </w:p>
        </w:tc>
      </w:tr>
      <w:tr>
        <w:trPr>
          <w:cantSplit/>
        </w:trPr>
        <w:tc>
          <w:tcPr>
            <w:tcW w:type="dxa" w:w="288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Military conflict h=0</w:t>
            </w:r>
          </w:p>
        </w:tc>
        <w:tc>
          <w:tcPr>
            <w:tcW w:type="dxa" w:w="19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3 lags all variables</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0.063</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0.064</w:t>
            </w:r>
          </w:p>
        </w:tc>
        <w:tc>
          <w:tcPr>
            <w:tcW w:type="dxa" w:w="115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0.031</w:t>
            </w:r>
          </w:p>
        </w:tc>
        <w:tc>
          <w:tcPr>
            <w:tcW w:type="dxa" w:w="79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431</w:t>
            </w:r>
          </w:p>
        </w:tc>
      </w:tr>
      <w:tr>
        <w:trPr>
          <w:cantSplit/>
        </w:trPr>
        <w:tc>
          <w:tcPr>
            <w:tcW w:type="dxa" w:w="288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Military conflict h=0</w:t>
            </w:r>
          </w:p>
        </w:tc>
        <w:tc>
          <w:tcPr>
            <w:tcW w:type="dxa" w:w="19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Current production</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0.048</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0.044</w:t>
            </w:r>
          </w:p>
        </w:tc>
        <w:tc>
          <w:tcPr>
            <w:tcW w:type="dxa" w:w="115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0.028</w:t>
            </w:r>
          </w:p>
        </w:tc>
        <w:tc>
          <w:tcPr>
            <w:tcW w:type="dxa" w:w="79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431</w:t>
            </w:r>
          </w:p>
        </w:tc>
      </w:tr>
      <w:tr>
        <w:trPr>
          <w:cantSplit/>
        </w:trPr>
        <w:tc>
          <w:tcPr>
            <w:tcW w:type="dxa" w:w="288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Diplomatic tension h=24</w:t>
            </w:r>
          </w:p>
        </w:tc>
        <w:tc>
          <w:tcPr>
            <w:tcW w:type="dxa" w:w="19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2 price lags</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−0.308</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−0.310</w:t>
            </w:r>
          </w:p>
        </w:tc>
        <w:tc>
          <w:tcPr>
            <w:tcW w:type="dxa" w:w="115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0.104</w:t>
            </w:r>
          </w:p>
        </w:tc>
        <w:tc>
          <w:tcPr>
            <w:tcW w:type="dxa" w:w="79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413</w:t>
            </w:r>
          </w:p>
        </w:tc>
      </w:tr>
      <w:tr>
        <w:trPr>
          <w:cantSplit/>
        </w:trPr>
        <w:tc>
          <w:tcPr>
            <w:tcW w:type="dxa" w:w="288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Diplomatic tension h=24</w:t>
            </w:r>
          </w:p>
        </w:tc>
        <w:tc>
          <w:tcPr>
            <w:tcW w:type="dxa" w:w="19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 price lags</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−0.311</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−0.315</w:t>
            </w:r>
          </w:p>
        </w:tc>
        <w:tc>
          <w:tcPr>
            <w:tcW w:type="dxa" w:w="115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0.105</w:t>
            </w:r>
          </w:p>
        </w:tc>
        <w:tc>
          <w:tcPr>
            <w:tcW w:type="dxa" w:w="79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412</w:t>
            </w:r>
          </w:p>
        </w:tc>
      </w:tr>
      <w:tr>
        <w:trPr>
          <w:cantSplit/>
        </w:trPr>
        <w:tc>
          <w:tcPr>
            <w:tcW w:type="dxa" w:w="288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Diplomatic tension h=24</w:t>
            </w:r>
          </w:p>
        </w:tc>
        <w:tc>
          <w:tcPr>
            <w:tcW w:type="dxa" w:w="19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3 lags all variables</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−0.311</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−0.293</w:t>
            </w:r>
          </w:p>
        </w:tc>
        <w:tc>
          <w:tcPr>
            <w:tcW w:type="dxa" w:w="115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0.105</w:t>
            </w:r>
          </w:p>
        </w:tc>
        <w:tc>
          <w:tcPr>
            <w:tcW w:type="dxa" w:w="79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412</w:t>
            </w:r>
          </w:p>
        </w:tc>
      </w:tr>
      <w:tr>
        <w:trPr>
          <w:cantSplit/>
        </w:trPr>
        <w:tc>
          <w:tcPr>
            <w:tcW w:type="dxa" w:w="288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Diplomatic tension h=24</w:t>
            </w:r>
          </w:p>
        </w:tc>
        <w:tc>
          <w:tcPr>
            <w:tcW w:type="dxa" w:w="19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Current production</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−0.308</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−0.288</w:t>
            </w:r>
          </w:p>
        </w:tc>
        <w:tc>
          <w:tcPr>
            <w:tcW w:type="dxa" w:w="115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0.104</w:t>
            </w:r>
          </w:p>
        </w:tc>
        <w:tc>
          <w:tcPr>
            <w:tcW w:type="dxa" w:w="79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413</w:t>
            </w:r>
          </w:p>
        </w:tc>
      </w:tr>
      <w:tr>
        <w:trPr>
          <w:cantSplit/>
        </w:trPr>
        <w:tc>
          <w:tcPr>
            <w:tcW w:type="dxa" w:w="288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Nuclear threat h=24</w:t>
            </w:r>
          </w:p>
        </w:tc>
        <w:tc>
          <w:tcPr>
            <w:tcW w:type="dxa" w:w="19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2 price lags</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0.098</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0.100</w:t>
            </w:r>
          </w:p>
        </w:tc>
        <w:tc>
          <w:tcPr>
            <w:tcW w:type="dxa" w:w="115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0.049</w:t>
            </w:r>
          </w:p>
        </w:tc>
        <w:tc>
          <w:tcPr>
            <w:tcW w:type="dxa" w:w="79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413</w:t>
            </w:r>
          </w:p>
        </w:tc>
      </w:tr>
      <w:tr>
        <w:trPr>
          <w:cantSplit/>
        </w:trPr>
        <w:tc>
          <w:tcPr>
            <w:tcW w:type="dxa" w:w="288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Nuclear threat h=24</w:t>
            </w:r>
          </w:p>
        </w:tc>
        <w:tc>
          <w:tcPr>
            <w:tcW w:type="dxa" w:w="19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 price lags</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0.098</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0.097</w:t>
            </w:r>
          </w:p>
        </w:tc>
        <w:tc>
          <w:tcPr>
            <w:tcW w:type="dxa" w:w="115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0.050</w:t>
            </w:r>
          </w:p>
        </w:tc>
        <w:tc>
          <w:tcPr>
            <w:tcW w:type="dxa" w:w="79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412</w:t>
            </w:r>
          </w:p>
        </w:tc>
      </w:tr>
      <w:tr>
        <w:trPr>
          <w:cantSplit/>
        </w:trPr>
        <w:tc>
          <w:tcPr>
            <w:tcW w:type="dxa" w:w="288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Nuclear threat h=24</w:t>
            </w:r>
          </w:p>
        </w:tc>
        <w:tc>
          <w:tcPr>
            <w:tcW w:type="dxa" w:w="19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3 lags all variables</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0.098</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0.103</w:t>
            </w:r>
          </w:p>
        </w:tc>
        <w:tc>
          <w:tcPr>
            <w:tcW w:type="dxa" w:w="115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0.052</w:t>
            </w:r>
          </w:p>
        </w:tc>
        <w:tc>
          <w:tcPr>
            <w:tcW w:type="dxa" w:w="79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412</w:t>
            </w:r>
          </w:p>
        </w:tc>
      </w:tr>
      <w:tr>
        <w:trPr>
          <w:cantSplit/>
        </w:trPr>
        <w:tc>
          <w:tcPr>
            <w:tcW w:type="dxa" w:w="2880"/>
            <w:vAlign w:val="center"/>
            <w:tcMar>
              <w:top w:w="55" w:type="dxa"/>
              <w:bottom w:w="55" w:type="dxa"/>
              <w:start w:w="55" w:type="dxa"/>
              <w:end w:w="55" w:type="dxa"/>
            </w:tcMar>
          </w:tcPr>
          <w:p>
            <w:pPr>
              <w:keepNext/>
              <w:spacing w:after="80" w:before="80" w:line="259" w:lineRule="auto"/>
              <w:jc w:val="left"/>
            </w:pPr>
            <w:r>
              <w:rPr>
                <w:rFonts w:ascii="Palatino Linotype" w:hAnsi="Palatino Linotype" w:cs="Palatino Linotype" w:eastAsia="Palatino Linotype"/>
                <w:b w:val="0"/>
                <w:sz w:val="20"/>
              </w:rPr>
              <w:t>Nuclear threat h=24</w:t>
            </w:r>
          </w:p>
        </w:tc>
        <w:tc>
          <w:tcPr>
            <w:tcW w:type="dxa" w:w="1944"/>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Current production</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0.098</w:t>
            </w:r>
          </w:p>
        </w:tc>
        <w:tc>
          <w:tcPr>
            <w:tcW w:type="dxa" w:w="1440"/>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0.096</w:t>
            </w:r>
          </w:p>
        </w:tc>
        <w:tc>
          <w:tcPr>
            <w:tcW w:type="dxa" w:w="115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0.049</w:t>
            </w:r>
          </w:p>
        </w:tc>
        <w:tc>
          <w:tcPr>
            <w:tcW w:type="dxa" w:w="792"/>
            <w:vAlign w:val="center"/>
            <w:tcMar>
              <w:top w:w="55" w:type="dxa"/>
              <w:bottom w:w="55" w:type="dxa"/>
              <w:start w:w="55" w:type="dxa"/>
              <w:end w:w="55" w:type="dxa"/>
            </w:tcMar>
          </w:tcPr>
          <w:p>
            <w:pPr>
              <w:keepNext/>
              <w:spacing w:after="80" w:before="80" w:line="259" w:lineRule="auto"/>
              <w:jc w:val="center"/>
            </w:pPr>
            <w:r>
              <w:rPr>
                <w:rFonts w:ascii="Palatino Linotype" w:hAnsi="Palatino Linotype" w:cs="Palatino Linotype" w:eastAsia="Palatino Linotype"/>
                <w:b w:val="0"/>
                <w:sz w:val="20"/>
              </w:rPr>
              <w:t>413</w:t>
            </w:r>
          </w:p>
        </w:tc>
      </w:tr>
    </w:tbl>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Each alternative is compared with the single-category baseline re-estimated on exactly the same observations. Baseline coefficients use three price lags. Alternatives use two or four price lags, three lags of every variable, or contemporaneous oil-production growth. Apart from the stated change, controls are unchanged. Standard errors use HC3 for the displayed alternative. The production-control exercise conditions on a potentially endogenous mediator and is not an independently identified oil-supply-shock control.</w:t>
      </w:r>
    </w:p>
    <w:p>
      <w:pPr>
        <w:keepNext/>
        <w:spacing w:line="300" w:lineRule="auto" w:after="160"/>
        <w:jc w:val="center"/>
      </w:pPr>
      <w:r>
        <w:rPr>
          <w:rFonts w:ascii="Palatino Linotype" w:hAnsi="Palatino Linotype" w:cs="Palatino Linotype" w:eastAsia="Palatino Linotype"/>
          <w:sz w:val="24"/>
        </w:rPr>
        <w:drawing>
          <wp:inline xmlns:a="http://schemas.openxmlformats.org/drawingml/2006/main" xmlns:pic="http://schemas.openxmlformats.org/drawingml/2006/picture">
            <wp:extent cx="5943600" cy="4443274"/>
            <wp:docPr id="5" name="Picture 5"/>
            <wp:cNvGraphicFramePr>
              <a:graphicFrameLocks noChangeAspect="1"/>
            </wp:cNvGraphicFramePr>
            <a:graphic>
              <a:graphicData uri="http://schemas.openxmlformats.org/drawingml/2006/picture">
                <pic:pic>
                  <pic:nvPicPr>
                    <pic:cNvPr id="0" name="fig03_wti_separate_irfs.png"/>
                    <pic:cNvPicPr/>
                  </pic:nvPicPr>
                  <pic:blipFill>
                    <a:blip r:embed="rId14"/>
                    <a:stretch>
                      <a:fillRect/>
                    </a:stretch>
                  </pic:blipFill>
                  <pic:spPr>
                    <a:xfrm>
                      <a:off x="0" y="0"/>
                      <a:ext cx="5943600" cy="4443274"/>
                    </a:xfrm>
                    <a:prstGeom prst="rect"/>
                  </pic:spPr>
                </pic:pic>
              </a:graphicData>
            </a:graphic>
          </wp:inline>
        </w:drawing>
      </w:r>
    </w:p>
    <w:p>
      <w:pPr>
        <w:pStyle w:val="Caption"/>
        <w:keepNext/>
        <w:spacing w:before="180" w:after="80"/>
      </w:pPr>
      <w:r>
        <w:rPr>
          <w:rFonts w:ascii="Palatino Linotype" w:hAnsi="Palatino Linotype" w:cs="Palatino Linotype" w:eastAsia="Palatino Linotype"/>
          <w:sz w:val="22"/>
        </w:rPr>
        <w:t>Fig. B1.  WTI responses in separate geopolitical category models</w:t>
      </w:r>
    </w:p>
    <w:p>
      <w:pPr>
        <w:keepLines/>
        <w:spacing w:after="220" w:line="276" w:lineRule="auto"/>
      </w:pPr>
      <w:r>
        <w:rPr>
          <w:rFonts w:ascii="Palatino Linotype" w:hAnsi="Palatino Linotype" w:cs="Palatino Linotype" w:eastAsia="Palatino Linotype"/>
          <w:b/>
          <w:sz w:val="21"/>
        </w:rPr>
        <w:t xml:space="preserve">Notes: </w:t>
      </w:r>
      <w:r>
        <w:rPr>
          <w:rFonts w:ascii="Palatino Linotype" w:hAnsi="Palatino Linotype" w:cs="Palatino Linotype" w:eastAsia="Palatino Linotype"/>
          <w:sz w:val="21"/>
        </w:rPr>
        <w:t>The specification, panel order, normalization, and interval convention are identical to Fig. 3, with log real WTI replacing log real Brent. Responses are log points ×100 for a 10% increase in one plus the corresponding geopolitical index. The treatment uses the natural logarithm of one plus the index; the instrument is the second difference of its raw level. Dark and light areas are 90% and 95% heteroskedasticity-robust HC3 pointwise intervals.</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latino Linotype" w:hAnsi="Palatino Linotype" w:cs="Palatino Linotype" w:eastAsia="Palatino Linotype"/>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Palatino Linotype" w:hAnsi="Palatino Linotype" w:cs="Palatino Linotype" w:eastAsia="Palatino Linotype"/>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color w:val="000000"/>
    </w:rPr>
  </w:style>
  <w:style w:type="character" w:customStyle="1" w:styleId="HeaderChar">
    <w:name w:val="Header Char"/>
    <w:basedOn w:val="DefaultParagraphFont"/>
    <w:link w:val="Header"/>
    <w:uiPriority w:val="99"/>
    <w:rsid w:val="00E618BF"/>
    <w:rPr>
      <w:rFonts w:ascii="Palatino Linotype" w:hAnsi="Palatino Linotype" w:cs="Palatino Linotype" w:eastAsia="Palatino Linotype"/>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color w:val="000000"/>
    </w:rPr>
  </w:style>
  <w:style w:type="character" w:customStyle="1" w:styleId="FooterChar">
    <w:name w:val="Footer Char"/>
    <w:basedOn w:val="DefaultParagraphFont"/>
    <w:link w:val="Footer"/>
    <w:uiPriority w:val="99"/>
    <w:rsid w:val="00E618BF"/>
    <w:rPr>
      <w:rFonts w:ascii="Palatino Linotype" w:hAnsi="Palatino Linotype" w:cs="Palatino Linotype" w:eastAsia="Palatino Linotype"/>
      <w:color w:val="000000"/>
    </w:rPr>
  </w:style>
  <w:style w:type="paragraph" w:styleId="Heading1">
    <w:name w:val="heading 1"/>
    <w:basedOn w:val="Normal"/>
    <w:next w:val="Normal"/>
    <w:link w:val="Heading1Char"/>
    <w:uiPriority w:val="9"/>
    <w:qFormat/>
    <w:rsid w:val="00FC693F"/>
    <w:pPr>
      <w:keepNext/>
      <w:keepLines/>
      <w:spacing w:before="200" w:after="120"/>
      <w:outlineLvl w:val="0"/>
    </w:pPr>
    <w:rPr>
      <w:rFonts w:ascii="Palatino Linotype" w:hAnsi="Palatino Linotype" w:cs="Palatino Linotype" w:eastAsia="Palatino Linotype"/>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Palatino Linotype" w:hAnsi="Palatino Linotype" w:cs="Palatino Linotype" w:eastAsia="Palatino Linotype"/>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Palatino Linotype" w:hAnsi="Palatino Linotype" w:cs="Palatino Linotype" w:eastAsia="Palatino Linotype"/>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Palatino Linotype" w:hAnsi="Palatino Linotype" w:cs="Palatino Linotype" w:eastAsia="Palatino Linotype"/>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Palatino Linotype" w:hAnsi="Palatino Linotype" w:cs="Palatino Linotype" w:eastAsia="Palatino Linotype"/>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Palatino Linotype" w:hAnsi="Palatino Linotype" w:cs="Palatino Linotype" w:eastAsia="Palatino Linotype"/>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Palatino Linotype" w:hAnsi="Palatino Linotype" w:cs="Palatino Linotype" w:eastAsia="Palatino Linotype"/>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Palatino Linotype" w:hAnsi="Palatino Linotype" w:cs="Palatino Linotype" w:eastAsia="Palatino Linotype"/>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Palatino Linotype" w:hAnsi="Palatino Linotype" w:cs="Palatino Linotype" w:eastAsia="Palatino Linotype"/>
      <w:i/>
      <w:iCs/>
      <w:color w:val="000000"/>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color w:val="000000"/>
    </w:rPr>
  </w:style>
  <w:style w:type="table" w:default="1" w:styleId="TableNormal">
    <w:name w:val="Normal Table"/>
    <w:uiPriority w:val="99"/>
    <w:semiHidden/>
    <w:unhideWhenUsed/>
    <w:rPr>
      <w:rFonts w:ascii="Palatino Linotype" w:hAnsi="Palatino Linotype" w:cs="Palatino Linotype" w:eastAsia="Palatino Linotype"/>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Palatino Linotype" w:hAnsi="Palatino Linotype" w:cs="Palatino Linotype" w:eastAsia="Palatino Linotype"/>
      <w:color w:val="000000"/>
    </w:rPr>
  </w:style>
  <w:style w:type="character" w:customStyle="1" w:styleId="Heading1Char">
    <w:name w:val="Heading 1 Char"/>
    <w:basedOn w:val="DefaultParagraphFont"/>
    <w:link w:val="Heading1"/>
    <w:uiPriority w:val="9"/>
    <w:rsid w:val="00FC693F"/>
    <w:rPr>
      <w:rFonts w:ascii="Palatino Linotype" w:hAnsi="Palatino Linotype" w:cs="Palatino Linotype" w:eastAsia="Palatino Linotype"/>
      <w:b/>
      <w:bCs/>
      <w:color w:val="000000"/>
      <w:sz w:val="28"/>
      <w:szCs w:val="28"/>
    </w:rPr>
  </w:style>
  <w:style w:type="character" w:customStyle="1" w:styleId="Heading2Char">
    <w:name w:val="Heading 2 Char"/>
    <w:basedOn w:val="DefaultParagraphFont"/>
    <w:link w:val="Heading2"/>
    <w:uiPriority w:val="9"/>
    <w:rsid w:val="00FC693F"/>
    <w:rPr>
      <w:rFonts w:ascii="Palatino Linotype" w:hAnsi="Palatino Linotype" w:cs="Palatino Linotype" w:eastAsia="Palatino Linotype"/>
      <w:b/>
      <w:bCs/>
      <w:color w:val="000000"/>
      <w:sz w:val="26"/>
      <w:szCs w:val="26"/>
    </w:rPr>
  </w:style>
  <w:style w:type="character" w:customStyle="1" w:styleId="Heading3Char">
    <w:name w:val="Heading 3 Char"/>
    <w:basedOn w:val="DefaultParagraphFont"/>
    <w:link w:val="Heading3"/>
    <w:uiPriority w:val="9"/>
    <w:rsid w:val="00FC693F"/>
    <w:rPr>
      <w:rFonts w:ascii="Palatino Linotype" w:hAnsi="Palatino Linotype" w:cs="Palatino Linotype" w:eastAsia="Palatino Linotype"/>
      <w:b/>
      <w:bCs/>
      <w:color w:val="000000"/>
    </w:rPr>
  </w:style>
  <w:style w:type="paragraph" w:styleId="Title">
    <w:name w:val="Title"/>
    <w:basedOn w:val="Normal"/>
    <w:next w:val="Normal"/>
    <w:link w:val="TitleChar"/>
    <w:uiPriority w:val="10"/>
    <w:qFormat/>
    <w:rsid w:val="00FC693F"/>
    <w:pPr>
      <w:spacing w:after="120" w:line="240" w:lineRule="auto" w:before="200"/>
      <w:contextualSpacing/>
    </w:pPr>
    <w:rPr>
      <w:rFonts w:ascii="Palatino Linotype" w:hAnsi="Palatino Linotype" w:cs="Palatino Linotype" w:eastAsia="Palatino Linotype"/>
      <w:b/>
      <w:i w:val="0"/>
      <w:color w:val="000000"/>
      <w:spacing w:val="5"/>
      <w:kern w:val="28"/>
      <w:sz w:val="40"/>
      <w:szCs w:val="52"/>
    </w:rPr>
  </w:style>
  <w:style w:type="character" w:customStyle="1" w:styleId="TitleChar">
    <w:name w:val="Title Char"/>
    <w:basedOn w:val="DefaultParagraphFont"/>
    <w:link w:val="Title"/>
    <w:uiPriority w:val="10"/>
    <w:rsid w:val="00FC693F"/>
    <w:rPr>
      <w:rFonts w:ascii="Palatino Linotype" w:hAnsi="Palatino Linotype" w:cs="Palatino Linotype" w:eastAsia="Palatino Linotype"/>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Palatino Linotype" w:hAnsi="Palatino Linotype" w:cs="Palatino Linotype" w:eastAsia="Palatino Linotype"/>
      <w:i/>
      <w:iCs/>
      <w:color w:val="000000"/>
      <w:spacing w:val="15"/>
      <w:sz w:val="24"/>
      <w:szCs w:val="24"/>
    </w:rPr>
  </w:style>
  <w:style w:type="character" w:customStyle="1" w:styleId="SubtitleChar">
    <w:name w:val="Subtitle Char"/>
    <w:basedOn w:val="DefaultParagraphFont"/>
    <w:link w:val="Subtitle"/>
    <w:uiPriority w:val="11"/>
    <w:rsid w:val="00FC693F"/>
    <w:rPr>
      <w:rFonts w:ascii="Palatino Linotype" w:hAnsi="Palatino Linotype" w:cs="Palatino Linotype" w:eastAsia="Palatino Linotype"/>
      <w:i/>
      <w:iCs/>
      <w:color w:val="000000"/>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color w:val="000000"/>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color w:val="000000"/>
    </w:rPr>
  </w:style>
  <w:style w:type="character" w:customStyle="1" w:styleId="BodyTextChar">
    <w:name w:val="Body Text Char"/>
    <w:basedOn w:val="DefaultParagraphFont"/>
    <w:link w:val="BodyText"/>
    <w:uiPriority w:val="99"/>
    <w:rsid w:val="00AA1D8D"/>
    <w:rPr>
      <w:rFonts w:ascii="Palatino Linotype" w:hAnsi="Palatino Linotype" w:cs="Palatino Linotype" w:eastAsia="Palatino Linotype"/>
      <w:color w:val="000000"/>
    </w:rPr>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color w:val="000000"/>
    </w:rPr>
  </w:style>
  <w:style w:type="character" w:customStyle="1" w:styleId="BodyText2Char">
    <w:name w:val="Body Text 2 Char"/>
    <w:basedOn w:val="DefaultParagraphFont"/>
    <w:link w:val="BodyText2"/>
    <w:uiPriority w:val="99"/>
    <w:rsid w:val="00AA1D8D"/>
    <w:rPr>
      <w:rFonts w:ascii="Palatino Linotype" w:hAnsi="Palatino Linotype" w:cs="Palatino Linotype" w:eastAsia="Palatino Linotype"/>
      <w:color w:val="000000"/>
    </w:rPr>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color w:val="000000"/>
      <w:sz w:val="16"/>
      <w:szCs w:val="16"/>
    </w:rPr>
  </w:style>
  <w:style w:type="character" w:customStyle="1" w:styleId="BodyText3Char">
    <w:name w:val="Body Text 3 Char"/>
    <w:basedOn w:val="DefaultParagraphFont"/>
    <w:link w:val="BodyText3"/>
    <w:uiPriority w:val="99"/>
    <w:rsid w:val="00AA1D8D"/>
    <w:rPr>
      <w:rFonts w:ascii="Palatino Linotype" w:hAnsi="Palatino Linotype" w:cs="Palatino Linotype" w:eastAsia="Palatino Linotype"/>
      <w:color w:val="000000"/>
      <w:sz w:val="16"/>
      <w:szCs w:val="16"/>
    </w:rPr>
  </w:style>
  <w:style w:type="paragraph" w:styleId="List">
    <w:name w:val="List"/>
    <w:basedOn w:val="Normal"/>
    <w:uiPriority w:val="99"/>
    <w:unhideWhenUsed/>
    <w:rsid w:val="00AA1D8D"/>
    <w:pPr>
      <w:ind w:left="360" w:hanging="360"/>
      <w:contextualSpacing/>
    </w:pPr>
    <w:rPr>
      <w:rFonts w:ascii="Palatino Linotype" w:hAnsi="Palatino Linotype" w:cs="Palatino Linotype" w:eastAsia="Palatino Linotype"/>
      <w:color w:val="000000"/>
    </w:rPr>
  </w:style>
  <w:style w:type="paragraph" w:styleId="List2">
    <w:name w:val="List 2"/>
    <w:basedOn w:val="Normal"/>
    <w:uiPriority w:val="99"/>
    <w:unhideWhenUsed/>
    <w:rsid w:val="00326F90"/>
    <w:pPr>
      <w:ind w:left="720" w:hanging="360"/>
      <w:contextualSpacing/>
    </w:pPr>
    <w:rPr>
      <w:rFonts w:ascii="Palatino Linotype" w:hAnsi="Palatino Linotype" w:cs="Palatino Linotype" w:eastAsia="Palatino Linotype"/>
      <w:color w:val="000000"/>
    </w:rPr>
  </w:style>
  <w:style w:type="paragraph" w:styleId="List3">
    <w:name w:val="List 3"/>
    <w:basedOn w:val="Normal"/>
    <w:uiPriority w:val="99"/>
    <w:unhideWhenUsed/>
    <w:rsid w:val="00326F90"/>
    <w:pPr>
      <w:ind w:left="1080" w:hanging="360"/>
      <w:contextualSpacing/>
    </w:pPr>
    <w:rPr>
      <w:rFonts w:ascii="Palatino Linotype" w:hAnsi="Palatino Linotype" w:cs="Palatino Linotype" w:eastAsia="Palatino Linotype"/>
      <w:color w:val="000000"/>
    </w:rPr>
  </w:style>
  <w:style w:type="paragraph" w:styleId="ListBullet">
    <w:name w:val="List Bullet"/>
    <w:basedOn w:val="Normal"/>
    <w:uiPriority w:val="99"/>
    <w:unhideWhenUsed/>
    <w:rsid w:val="00326F90"/>
    <w:pPr>
      <w:numPr>
        <w:numId w:val="1"/>
      </w:numPr>
      <w:contextualSpacing/>
    </w:pPr>
    <w:rPr>
      <w:rFonts w:ascii="Palatino Linotype" w:hAnsi="Palatino Linotype" w:cs="Palatino Linotype" w:eastAsia="Palatino Linotype"/>
      <w:color w:val="000000"/>
    </w:rPr>
  </w:style>
  <w:style w:type="paragraph" w:styleId="ListBullet2">
    <w:name w:val="List Bullet 2"/>
    <w:basedOn w:val="Normal"/>
    <w:uiPriority w:val="99"/>
    <w:unhideWhenUsed/>
    <w:rsid w:val="00326F90"/>
    <w:pPr>
      <w:numPr>
        <w:numId w:val="2"/>
      </w:numPr>
      <w:contextualSpacing/>
    </w:pPr>
    <w:rPr>
      <w:rFonts w:ascii="Palatino Linotype" w:hAnsi="Palatino Linotype" w:cs="Palatino Linotype" w:eastAsia="Palatino Linotype"/>
      <w:color w:val="000000"/>
    </w:rPr>
  </w:style>
  <w:style w:type="paragraph" w:styleId="ListBullet3">
    <w:name w:val="List Bullet 3"/>
    <w:basedOn w:val="Normal"/>
    <w:uiPriority w:val="99"/>
    <w:unhideWhenUsed/>
    <w:rsid w:val="00326F90"/>
    <w:pPr>
      <w:numPr>
        <w:numId w:val="3"/>
      </w:numPr>
      <w:contextualSpacing/>
    </w:pPr>
    <w:rPr>
      <w:rFonts w:ascii="Palatino Linotype" w:hAnsi="Palatino Linotype" w:cs="Palatino Linotype" w:eastAsia="Palatino Linotype"/>
      <w:color w:val="000000"/>
    </w:rPr>
  </w:style>
  <w:style w:type="paragraph" w:styleId="ListNumber">
    <w:name w:val="List Number"/>
    <w:basedOn w:val="Normal"/>
    <w:uiPriority w:val="99"/>
    <w:unhideWhenUsed/>
    <w:rsid w:val="00326F90"/>
    <w:pPr>
      <w:numPr>
        <w:numId w:val="5"/>
      </w:numPr>
      <w:contextualSpacing/>
    </w:pPr>
    <w:rPr>
      <w:rFonts w:ascii="Palatino Linotype" w:hAnsi="Palatino Linotype" w:cs="Palatino Linotype" w:eastAsia="Palatino Linotype"/>
      <w:color w:val="000000"/>
    </w:rPr>
  </w:style>
  <w:style w:type="paragraph" w:styleId="ListNumber2">
    <w:name w:val="List Number 2"/>
    <w:basedOn w:val="Normal"/>
    <w:uiPriority w:val="99"/>
    <w:unhideWhenUsed/>
    <w:rsid w:val="0029639D"/>
    <w:pPr>
      <w:numPr>
        <w:numId w:val="6"/>
      </w:numPr>
      <w:contextualSpacing/>
    </w:pPr>
    <w:rPr>
      <w:rFonts w:ascii="Palatino Linotype" w:hAnsi="Palatino Linotype" w:cs="Palatino Linotype" w:eastAsia="Palatino Linotype"/>
      <w:color w:val="000000"/>
    </w:rPr>
  </w:style>
  <w:style w:type="paragraph" w:styleId="ListNumber3">
    <w:name w:val="List Number 3"/>
    <w:basedOn w:val="Normal"/>
    <w:uiPriority w:val="99"/>
    <w:unhideWhenUsed/>
    <w:rsid w:val="0029639D"/>
    <w:pPr>
      <w:numPr>
        <w:numId w:val="7"/>
      </w:numPr>
      <w:contextualSpacing/>
    </w:pPr>
    <w:rPr>
      <w:rFonts w:ascii="Palatino Linotype" w:hAnsi="Palatino Linotype" w:cs="Palatino Linotype" w:eastAsia="Palatino Linotype"/>
      <w:color w:val="000000"/>
    </w:rPr>
  </w:style>
  <w:style w:type="paragraph" w:styleId="ListContinue">
    <w:name w:val="List Continue"/>
    <w:basedOn w:val="Normal"/>
    <w:uiPriority w:val="99"/>
    <w:unhideWhenUsed/>
    <w:rsid w:val="0029639D"/>
    <w:pPr>
      <w:spacing w:after="120"/>
      <w:ind w:left="360"/>
      <w:contextualSpacing/>
    </w:pPr>
    <w:rPr>
      <w:rFonts w:ascii="Palatino Linotype" w:hAnsi="Palatino Linotype" w:cs="Palatino Linotype" w:eastAsia="Palatino Linotype"/>
      <w:color w:val="000000"/>
    </w:rPr>
  </w:style>
  <w:style w:type="paragraph" w:styleId="ListContinue2">
    <w:name w:val="List Continue 2"/>
    <w:basedOn w:val="Normal"/>
    <w:uiPriority w:val="99"/>
    <w:unhideWhenUsed/>
    <w:rsid w:val="0029639D"/>
    <w:pPr>
      <w:spacing w:after="120"/>
      <w:ind w:left="720"/>
      <w:contextualSpacing/>
    </w:pPr>
    <w:rPr>
      <w:rFonts w:ascii="Palatino Linotype" w:hAnsi="Palatino Linotype" w:cs="Palatino Linotype" w:eastAsia="Palatino Linotype"/>
      <w:color w:val="000000"/>
    </w:rPr>
  </w:style>
  <w:style w:type="paragraph" w:styleId="ListContinue3">
    <w:name w:val="List Continue 3"/>
    <w:basedOn w:val="Normal"/>
    <w:uiPriority w:val="99"/>
    <w:unhideWhenUsed/>
    <w:rsid w:val="0029639D"/>
    <w:pPr>
      <w:spacing w:after="120"/>
      <w:ind w:left="1080"/>
      <w:contextualSpacing/>
    </w:pPr>
    <w:rPr>
      <w:rFonts w:ascii="Palatino Linotype" w:hAnsi="Palatino Linotype" w:cs="Palatino Linotype" w:eastAsia="Palatino Linotype"/>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Palatino Linotype" w:hAnsi="Palatino Linotype" w:cs="Palatino Linotype" w:eastAsia="Palatino Linotype"/>
      <w:color w:val="000000"/>
      <w:sz w:val="20"/>
      <w:szCs w:val="20"/>
    </w:rPr>
  </w:style>
  <w:style w:type="character" w:customStyle="1" w:styleId="MacroTextChar">
    <w:name w:val="Macro Text Char"/>
    <w:basedOn w:val="DefaultParagraphFont"/>
    <w:link w:val="MacroText"/>
    <w:uiPriority w:val="99"/>
    <w:rsid w:val="0029639D"/>
    <w:rPr>
      <w:rFonts w:ascii="Palatino Linotype" w:hAnsi="Palatino Linotype" w:cs="Palatino Linotype" w:eastAsia="Palatino Linotype"/>
      <w:color w:val="000000"/>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rPr>
  </w:style>
  <w:style w:type="character" w:customStyle="1" w:styleId="QuoteChar">
    <w:name w:val="Quote Char"/>
    <w:basedOn w:val="DefaultParagraphFont"/>
    <w:link w:val="Quote"/>
    <w:uiPriority w:val="29"/>
    <w:rsid w:val="00FC693F"/>
    <w:rPr>
      <w:rFonts w:ascii="Palatino Linotype" w:hAnsi="Palatino Linotype" w:cs="Palatino Linotype" w:eastAsia="Palatino Linotype"/>
      <w:i/>
      <w:iCs/>
      <w:color w:val="000000"/>
    </w:rPr>
  </w:style>
  <w:style w:type="character" w:customStyle="1" w:styleId="Heading4Char">
    <w:name w:val="Heading 4 Char"/>
    <w:basedOn w:val="DefaultParagraphFont"/>
    <w:link w:val="Heading4"/>
    <w:uiPriority w:val="9"/>
    <w:semiHidden/>
    <w:rsid w:val="00FC693F"/>
    <w:rPr>
      <w:rFonts w:ascii="Palatino Linotype" w:hAnsi="Palatino Linotype" w:cs="Palatino Linotype" w:eastAsia="Palatino Linotype"/>
      <w:b/>
      <w:bCs/>
      <w:i/>
      <w:iCs/>
      <w:color w:val="000000"/>
    </w:rPr>
  </w:style>
  <w:style w:type="character" w:customStyle="1" w:styleId="Heading5Char">
    <w:name w:val="Heading 5 Char"/>
    <w:basedOn w:val="DefaultParagraphFont"/>
    <w:link w:val="Heading5"/>
    <w:uiPriority w:val="9"/>
    <w:semiHidden/>
    <w:rsid w:val="00FC693F"/>
    <w:rPr>
      <w:rFonts w:ascii="Palatino Linotype" w:hAnsi="Palatino Linotype" w:cs="Palatino Linotype" w:eastAsia="Palatino Linotype"/>
      <w:color w:val="000000"/>
    </w:rPr>
  </w:style>
  <w:style w:type="character" w:customStyle="1" w:styleId="Heading6Char">
    <w:name w:val="Heading 6 Char"/>
    <w:basedOn w:val="DefaultParagraphFont"/>
    <w:link w:val="Heading6"/>
    <w:uiPriority w:val="9"/>
    <w:semiHidden/>
    <w:rsid w:val="00FC693F"/>
    <w:rPr>
      <w:rFonts w:ascii="Palatino Linotype" w:hAnsi="Palatino Linotype" w:cs="Palatino Linotype" w:eastAsia="Palatino Linotype"/>
      <w:i/>
      <w:iCs/>
      <w:color w:val="000000"/>
    </w:rPr>
  </w:style>
  <w:style w:type="character" w:customStyle="1" w:styleId="Heading7Char">
    <w:name w:val="Heading 7 Char"/>
    <w:basedOn w:val="DefaultParagraphFont"/>
    <w:link w:val="Heading7"/>
    <w:uiPriority w:val="9"/>
    <w:semiHidden/>
    <w:rsid w:val="00FC693F"/>
    <w:rPr>
      <w:rFonts w:ascii="Palatino Linotype" w:hAnsi="Palatino Linotype" w:cs="Palatino Linotype" w:eastAsia="Palatino Linotype"/>
      <w:i/>
      <w:iCs/>
      <w:color w:val="000000"/>
    </w:rPr>
  </w:style>
  <w:style w:type="character" w:customStyle="1" w:styleId="Heading8Char">
    <w:name w:val="Heading 8 Char"/>
    <w:basedOn w:val="DefaultParagraphFont"/>
    <w:link w:val="Heading8"/>
    <w:uiPriority w:val="9"/>
    <w:semiHidden/>
    <w:rsid w:val="00FC693F"/>
    <w:rPr>
      <w:rFonts w:ascii="Palatino Linotype" w:hAnsi="Palatino Linotype" w:cs="Palatino Linotype" w:eastAsia="Palatino Linotype"/>
      <w:color w:val="000000"/>
      <w:sz w:val="20"/>
      <w:szCs w:val="20"/>
    </w:rPr>
  </w:style>
  <w:style w:type="character" w:customStyle="1" w:styleId="Heading9Char">
    <w:name w:val="Heading 9 Char"/>
    <w:basedOn w:val="DefaultParagraphFont"/>
    <w:link w:val="Heading9"/>
    <w:uiPriority w:val="9"/>
    <w:semiHidden/>
    <w:rsid w:val="00FC693F"/>
    <w:rPr>
      <w:rFonts w:ascii="Palatino Linotype" w:hAnsi="Palatino Linotype" w:cs="Palatino Linotype" w:eastAsia="Palatino Linotype"/>
      <w:i/>
      <w:iCs/>
      <w:color w:val="000000"/>
      <w:sz w:val="20"/>
      <w:szCs w:val="20"/>
    </w:rPr>
  </w:style>
  <w:style w:type="paragraph" w:styleId="Caption">
    <w:name w:val="caption"/>
    <w:basedOn w:val="Normal"/>
    <w:next w:val="Normal"/>
    <w:uiPriority w:val="35"/>
    <w:semiHidden/>
    <w:unhideWhenUsed/>
    <w:qFormat/>
    <w:rsid w:val="00FC693F"/>
    <w:pPr>
      <w:spacing w:line="240" w:lineRule="auto" w:before="200" w:after="120"/>
    </w:pPr>
    <w:rPr>
      <w:rFonts w:ascii="Palatino Linotype" w:hAnsi="Palatino Linotype" w:cs="Palatino Linotype" w:eastAsia="Palatino Linotype"/>
      <w:b w:val="0"/>
      <w:bCs/>
      <w:i w:val="0"/>
      <w:color w:val="000000"/>
      <w:sz w:val="22"/>
      <w:szCs w:val="18"/>
    </w:rPr>
  </w:style>
  <w:style w:type="character" w:styleId="Strong">
    <w:name w:val="Strong"/>
    <w:basedOn w:val="DefaultParagraphFont"/>
    <w:uiPriority w:val="22"/>
    <w:qFormat/>
    <w:rsid w:val="00FC693F"/>
    <w:rPr>
      <w:rFonts w:ascii="Palatino Linotype" w:hAnsi="Palatino Linotype" w:cs="Palatino Linotype" w:eastAsia="Palatino Linotype"/>
      <w:b/>
      <w:bCs/>
      <w:color w:val="000000"/>
    </w:rPr>
  </w:style>
  <w:style w:type="character" w:styleId="Emphasis">
    <w:name w:val="Emphasis"/>
    <w:basedOn w:val="DefaultParagraphFont"/>
    <w:uiPriority w:val="20"/>
    <w:qFormat/>
    <w:rsid w:val="00FC693F"/>
    <w:rPr>
      <w:rFonts w:ascii="Palatino Linotype" w:hAnsi="Palatino Linotype" w:cs="Palatino Linotype" w:eastAsia="Palatino Linotype"/>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Palatino Linotype" w:hAnsi="Palatino Linotype" w:cs="Palatino Linotype" w:eastAsia="Palatino Linotype"/>
      <w:b/>
      <w:bCs/>
      <w:i/>
      <w:iCs/>
      <w:color w:val="000000"/>
    </w:rPr>
  </w:style>
  <w:style w:type="character" w:customStyle="1" w:styleId="IntenseQuoteChar">
    <w:name w:val="Intense Quote Char"/>
    <w:basedOn w:val="DefaultParagraphFont"/>
    <w:link w:val="IntenseQuote"/>
    <w:uiPriority w:val="30"/>
    <w:rsid w:val="00FC693F"/>
    <w:rPr>
      <w:rFonts w:ascii="Palatino Linotype" w:hAnsi="Palatino Linotype" w:cs="Palatino Linotype" w:eastAsia="Palatino Linotype"/>
      <w:b/>
      <w:bCs/>
      <w:i/>
      <w:iCs/>
      <w:color w:val="000000"/>
    </w:rPr>
  </w:style>
  <w:style w:type="character" w:styleId="SubtleEmphasis">
    <w:name w:val="Subtle Emphasis"/>
    <w:basedOn w:val="DefaultParagraphFont"/>
    <w:uiPriority w:val="19"/>
    <w:qFormat/>
    <w:rsid w:val="00FC693F"/>
    <w:rPr>
      <w:rFonts w:ascii="Palatino Linotype" w:hAnsi="Palatino Linotype" w:cs="Palatino Linotype" w:eastAsia="Palatino Linotype"/>
      <w:i/>
      <w:iCs/>
      <w:color w:val="000000"/>
    </w:rPr>
  </w:style>
  <w:style w:type="character" w:styleId="IntenseEmphasis">
    <w:name w:val="Intense Emphasis"/>
    <w:basedOn w:val="DefaultParagraphFont"/>
    <w:uiPriority w:val="21"/>
    <w:qFormat/>
    <w:rsid w:val="00FC693F"/>
    <w:rPr>
      <w:rFonts w:ascii="Palatino Linotype" w:hAnsi="Palatino Linotype" w:cs="Palatino Linotype" w:eastAsia="Palatino Linotype"/>
      <w:b/>
      <w:bCs/>
      <w:i/>
      <w:iCs/>
      <w:color w:val="000000"/>
    </w:rPr>
  </w:style>
  <w:style w:type="character" w:styleId="SubtleReference">
    <w:name w:val="Subtle Reference"/>
    <w:basedOn w:val="DefaultParagraphFont"/>
    <w:uiPriority w:val="31"/>
    <w:qFormat/>
    <w:rsid w:val="00FC693F"/>
    <w:rPr>
      <w:rFonts w:ascii="Palatino Linotype" w:hAnsi="Palatino Linotype" w:cs="Palatino Linotype" w:eastAsia="Palatino Linotype"/>
      <w:smallCaps/>
      <w:color w:val="000000"/>
      <w:u w:val="single"/>
    </w:rPr>
  </w:style>
  <w:style w:type="character" w:styleId="IntenseReference">
    <w:name w:val="Intense Reference"/>
    <w:basedOn w:val="DefaultParagraphFont"/>
    <w:uiPriority w:val="32"/>
    <w:qFormat/>
    <w:rsid w:val="00FC693F"/>
    <w:rPr>
      <w:rFonts w:ascii="Palatino Linotype" w:hAnsi="Palatino Linotype" w:cs="Palatino Linotype" w:eastAsia="Palatino Linotype"/>
      <w:b/>
      <w:bCs/>
      <w:smallCaps/>
      <w:color w:val="000000"/>
      <w:spacing w:val="5"/>
      <w:u w:val="single"/>
    </w:rPr>
  </w:style>
  <w:style w:type="character" w:styleId="BookTitle">
    <w:name w:val="Book Title"/>
    <w:basedOn w:val="DefaultParagraphFont"/>
    <w:uiPriority w:val="33"/>
    <w:qFormat/>
    <w:rsid w:val="00FC693F"/>
    <w:rPr>
      <w:rFonts w:ascii="Palatino Linotype" w:hAnsi="Palatino Linotype" w:cs="Palatino Linotype" w:eastAsia="Palatino Linotype"/>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Palatino Linotype" w:hAnsi="Palatino Linotype" w:cs="Palatino Linotype" w:eastAsia="Palatino Linotype"/>
      <w:color w:val="000000"/>
    </w:rPr>
  </w:style>
  <w:style w:type="table" w:styleId="TableGrid">
    <w:name w:val="Table Grid"/>
    <w:basedOn w:val="TableNormal"/>
    <w:uiPriority w:val="59"/>
    <w:rsid w:val="00FC693F"/>
    <w:pPr>
      <w:spacing w:after="0" w:line="240" w:lineRule="auto"/>
    </w:pPr>
    <w:rPr>
      <w:rFonts w:ascii="Palatino Linotype" w:hAnsi="Palatino Linotype" w:cs="Palatino Linotype" w:eastAsia="Palatino Linotype"/>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Palatino Linotype" w:hAnsi="Palatino Linotype" w:cs="Palatino Linotype" w:eastAsia="Palatino Linotype"/>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Palatino Linotype" w:hAnsi="Palatino Linotype" w:cs="Palatino Linotype" w:eastAsia="Palatino Linotype"/>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Palatino Linotype" w:hAnsi="Palatino Linotype" w:cs="Palatino Linotype" w:eastAsia="Palatino Linotype"/>
        <w:b/>
        <w:bCs/>
      </w:rPr>
    </w:tblStylePr>
    <w:tblStylePr w:type="lastCol">
      <w:rPr>
        <w:rFonts w:ascii="Palatino Linotype" w:hAnsi="Palatino Linotype" w:cs="Palatino Linotype" w:eastAsia="Palatino Linotype"/>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Palatino Linotype" w:hAnsi="Palatino Linotype" w:cs="Palatino Linotype" w:eastAsia="Palatino Linotype"/>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Palatino Linotype" w:hAnsi="Palatino Linotype" w:cs="Palatino Linotype" w:eastAsia="Palatino Linotype"/>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Palatino Linotype" w:hAnsi="Palatino Linotype" w:cs="Palatino Linotype" w:eastAsia="Palatino Linotype"/>
        <w:b/>
        <w:bCs/>
      </w:rPr>
    </w:tblStylePr>
    <w:tblStylePr w:type="lastCol">
      <w:rPr>
        <w:rFonts w:ascii="Palatino Linotype" w:hAnsi="Palatino Linotype" w:cs="Palatino Linotype" w:eastAsia="Palatino Linotype"/>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Palatino Linotype" w:hAnsi="Palatino Linotype" w:cs="Palatino Linotype" w:eastAsia="Palatino Linotype"/>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Palatino Linotype" w:hAnsi="Palatino Linotype" w:cs="Palatino Linotype" w:eastAsia="Palatino Linotype"/>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Palatino Linotype" w:hAnsi="Palatino Linotype" w:cs="Palatino Linotype" w:eastAsia="Palatino Linotype"/>
        <w:b/>
        <w:bCs/>
      </w:rPr>
    </w:tblStylePr>
    <w:tblStylePr w:type="lastCol">
      <w:rPr>
        <w:rFonts w:ascii="Palatino Linotype" w:hAnsi="Palatino Linotype" w:cs="Palatino Linotype" w:eastAsia="Palatino Linotype"/>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Palatino Linotype" w:hAnsi="Palatino Linotype" w:cs="Palatino Linotype" w:eastAsia="Palatino Linotype"/>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Palatino Linotype" w:hAnsi="Palatino Linotype" w:cs="Palatino Linotype" w:eastAsia="Palatino Linotype"/>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Palatino Linotype" w:hAnsi="Palatino Linotype" w:cs="Palatino Linotype" w:eastAsia="Palatino Linotype"/>
        <w:b/>
        <w:bCs/>
      </w:rPr>
    </w:tblStylePr>
    <w:tblStylePr w:type="lastCol">
      <w:rPr>
        <w:rFonts w:ascii="Palatino Linotype" w:hAnsi="Palatino Linotype" w:cs="Palatino Linotype" w:eastAsia="Palatino Linotype"/>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Palatino Linotype" w:hAnsi="Palatino Linotype" w:cs="Palatino Linotype" w:eastAsia="Palatino Linotype"/>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Palatino Linotype" w:hAnsi="Palatino Linotype" w:cs="Palatino Linotype" w:eastAsia="Palatino Linotype"/>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Palatino Linotype" w:hAnsi="Palatino Linotype" w:cs="Palatino Linotype" w:eastAsia="Palatino Linotype"/>
        <w:b/>
        <w:bCs/>
      </w:rPr>
    </w:tblStylePr>
    <w:tblStylePr w:type="lastCol">
      <w:rPr>
        <w:rFonts w:ascii="Palatino Linotype" w:hAnsi="Palatino Linotype" w:cs="Palatino Linotype" w:eastAsia="Palatino Linotype"/>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Palatino Linotype" w:hAnsi="Palatino Linotype" w:cs="Palatino Linotype" w:eastAsia="Palatino Linotype"/>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Palatino Linotype" w:hAnsi="Palatino Linotype" w:cs="Palatino Linotype" w:eastAsia="Palatino Linotype"/>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Palatino Linotype" w:hAnsi="Palatino Linotype" w:cs="Palatino Linotype" w:eastAsia="Palatino Linotype"/>
        <w:b/>
        <w:bCs/>
      </w:rPr>
    </w:tblStylePr>
    <w:tblStylePr w:type="lastCol">
      <w:rPr>
        <w:rFonts w:ascii="Palatino Linotype" w:hAnsi="Palatino Linotype" w:cs="Palatino Linotype" w:eastAsia="Palatino Linotype"/>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Palatino Linotype" w:hAnsi="Palatino Linotype" w:cs="Palatino Linotype" w:eastAsia="Palatino Linotype"/>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Palatino Linotype" w:hAnsi="Palatino Linotype" w:cs="Palatino Linotype" w:eastAsia="Palatino Linotype"/>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Palatino Linotype" w:hAnsi="Palatino Linotype" w:cs="Palatino Linotype" w:eastAsia="Palatino Linotype"/>
        <w:b/>
        <w:bCs/>
      </w:rPr>
    </w:tblStylePr>
    <w:tblStylePr w:type="lastCol">
      <w:rPr>
        <w:rFonts w:ascii="Palatino Linotype" w:hAnsi="Palatino Linotype" w:cs="Palatino Linotype" w:eastAsia="Palatino Linotype"/>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Palatino Linotype" w:hAnsi="Palatino Linotype" w:cs="Palatino Linotype" w:eastAsia="Palatino Linotype"/>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Palatino Linotype" w:hAnsi="Palatino Linotype" w:cs="Palatino Linotype" w:eastAsia="Palatino Linotype"/>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Palatino Linotype" w:hAnsi="Palatino Linotype" w:cs="Palatino Linotype" w:eastAsia="Palatino Linotype"/>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Palatino Linotype" w:hAnsi="Palatino Linotype" w:cs="Palatino Linotype" w:eastAsia="Palatino Linotype"/>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Palatino Linotype" w:hAnsi="Palatino Linotype" w:cs="Palatino Linotype" w:eastAsia="Palatino Linotype"/>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Palatino Linotype" w:hAnsi="Palatino Linotype" w:cs="Palatino Linotype" w:eastAsia="Palatino Linotype"/>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Palatino Linotype" w:hAnsi="Palatino Linotype" w:cs="Palatino Linotype" w:eastAsia="Palatino Linotype"/>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Palatino Linotype" w:hAnsi="Palatino Linotype" w:cs="Palatino Linotype" w:eastAsia="Palatino Linotype"/>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All Geopolitical Turning Points Are Alike Oil Price Effects and Implications for Energy Security Policy</dc:title>
  <dc:subject>Event-specific geopolitical risk and lag-augmented instrumental-variable local projections</dc:subject>
  <dc:creator>Jamel Saadaoui</dc:creator>
  <cp:keywords/>
  <dc:description>Readable manuscript edition</dc:description>
  <cp:lastModifiedBy>Jamel Saadaoui</cp:lastModifiedBy>
  <cp:revision>1</cp:revision>
  <dcterms:created xsi:type="dcterms:W3CDTF">2026-09-20T03:05:07Z</dcterms:created>
  <dcterms:modified xsi:type="dcterms:W3CDTF">2026-09-20T03:05:07Z</dcterms:modified>
  <cp:category/>
</cp:coreProperties>
</file>