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1B365D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spacing w:after="0"/>
              <w:jc w:val="center"/>
            </w:pPr>
            <w:r>
              <w:rPr>
                <w:rFonts w:ascii="Arial" w:hAnsi="Arial"/>
                <w:b/>
                <w:color w:val="FFFFFF"/>
                <w:sz w:val="36"/>
              </w:rPr>
              <w:t>PROJECT TASK SUBMISSION: MOBILE APP WIREFRAMING</w:t>
            </w:r>
          </w:p>
          <w:p>
            <w:pPr>
              <w:spacing w:after="0"/>
              <w:jc w:val="center"/>
            </w:pPr>
            <w:r>
              <w:rPr>
                <w:rFonts w:ascii="Arial" w:hAnsi="Arial"/>
                <w:i/>
                <w:color w:val="EAEAEA"/>
                <w:sz w:val="22"/>
              </w:rPr>
              <w:t>Coursework Assignment • User Research, Personas, User Flows, and Low-Fidelity Layouts</w:t>
            </w:r>
          </w:p>
        </w:tc>
      </w:tr>
    </w:tbl>
    <w:p>
      <w:pPr>
        <w:spacing w:before="360" w:after="240"/>
      </w:pPr>
      <w:r>
        <w:rPr>
          <w:rFonts w:ascii="Arial" w:hAnsi="Arial"/>
          <w:b/>
          <w:sz w:val="20"/>
        </w:rPr>
        <w:t xml:space="preserve"> Project Title: </w:t>
      </w:r>
      <w:r>
        <w:rPr>
          <w:rFonts w:ascii="Arial" w:hAnsi="Arial"/>
          <w:sz w:val="20"/>
        </w:rPr>
        <w:t>RouteEase — Smart Local Commute Assistant Mobile App</w:t>
        <w:br/>
      </w:r>
      <w:r>
        <w:rPr>
          <w:rFonts w:ascii="Arial" w:hAnsi="Arial"/>
          <w:b/>
          <w:sz w:val="20"/>
        </w:rPr>
        <w:t xml:space="preserve"> Methodology: </w:t>
      </w:r>
      <w:r>
        <w:rPr>
          <w:rFonts w:ascii="Arial" w:hAnsi="Arial"/>
          <w:sz w:val="20"/>
        </w:rPr>
        <w:t>Design Thinking Framework (Empathize, Define, Ideate, Prototype, Test)</w:t>
        <w:br/>
      </w:r>
      <w:r>
        <w:rPr>
          <w:rFonts w:ascii="Arial" w:hAnsi="Arial"/>
          <w:b/>
          <w:sz w:val="20"/>
        </w:rPr>
        <w:t xml:space="preserve"> Design Tool Specified: </w:t>
      </w:r>
      <w:r>
        <w:rPr>
          <w:rFonts w:ascii="Arial" w:hAnsi="Arial"/>
          <w:sz w:val="20"/>
        </w:rPr>
        <w:t>Figma (Low-Fidelity Interactive Layout Blueprint)</w:t>
        <w:br/>
      </w:r>
      <w:r>
        <w:rPr>
          <w:rFonts w:ascii="Arial" w:hAnsi="Arial"/>
          <w:b/>
          <w:sz w:val="20"/>
        </w:rPr>
        <w:t xml:space="preserve"> Submission Status: </w:t>
      </w:r>
      <w:r>
        <w:rPr>
          <w:rFonts w:ascii="Arial" w:hAnsi="Arial"/>
          <w:sz w:val="20"/>
        </w:rPr>
        <w:t>Ready for Review / Evaluation</w:t>
        <w:br/>
      </w:r>
    </w:p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1. Executive Summary &amp; Problem Definition</w:t>
      </w:r>
    </w:p>
    <w:p>
      <w:pPr>
        <w:spacing w:after="200" w:line="276" w:lineRule="auto"/>
      </w:pPr>
      <w:r>
        <w:t>Modern public transit networks present riders with dynamic challenges including unpredictable delays, disparate ticketing mechanisms, and a lack of consolidated real-time route optimization data. RouteEase bridges this operational gap by integrating multi-modal routes (bus, metro, rail, and micro-mobility) into a highly cohesive mobile dashboard. This project documents the complete user-centered design journey from early user discovery to structural low-fidelity interface blueprinting.</w:t>
      </w:r>
    </w:p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2. User Research &amp; Insights Discovery</w:t>
      </w:r>
    </w:p>
    <w:p>
      <w:pPr>
        <w:spacing w:after="120"/>
      </w:pPr>
      <w:r>
        <w:t>Primary context discovery was conducted via structured qualitative interviews with five baseline target consumers (daily working professionals and students). The primary findings are synthesized into actionable requirements below:</w:t>
      </w:r>
    </w:p>
    <w:p>
      <w:pPr>
        <w:pStyle w:val="ListBullet"/>
      </w:pPr>
      <w:r>
        <w:rPr>
          <w:b/>
        </w:rPr>
        <w:t xml:space="preserve">Real-Time Capacity Transparency: </w:t>
      </w:r>
      <w:r>
        <w:t>Commuters prioritized understanding transit vehicle crowd levels over minor speed improvements to manage social and spatial comfort.</w:t>
      </w:r>
    </w:p>
    <w:p>
      <w:pPr>
        <w:pStyle w:val="ListBullet"/>
      </w:pPr>
      <w:r>
        <w:rPr>
          <w:b/>
        </w:rPr>
        <w:t xml:space="preserve">Unified Payment Infrastructure: </w:t>
      </w:r>
      <w:r>
        <w:t>Significant friction stems from checking out across different transport operators. Users demand a consolidated shopping cart experience.</w:t>
      </w:r>
    </w:p>
    <w:p>
      <w:pPr>
        <w:pStyle w:val="ListBullet"/>
      </w:pPr>
      <w:r>
        <w:rPr>
          <w:b/>
        </w:rPr>
        <w:t xml:space="preserve">Application Overload &amp; Battery Drain: </w:t>
      </w:r>
      <w:r>
        <w:t>Active context switching between standalone maps, ticketing portals, and rideshare engines exponentially spikes cognitive overload and mobile resource consumption.</w:t>
      </w:r>
    </w:p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3. Targeted User Persona</w:t>
      </w:r>
    </w:p>
    <w:p>
      <w:r>
        <w:t>To keep design choices aligned with user needs, we built a target user persona based on field observations:</w:t>
      </w:r>
    </w:p>
    <w:p>
      <w:r>
        <w:rPr>
          <w:b/>
        </w:rPr>
        <w:t xml:space="preserve">• Name: </w:t>
      </w:r>
      <w:r>
        <w:t>Maya Lin (26 years old)</w:t>
        <w:br/>
      </w:r>
      <w:r>
        <w:rPr>
          <w:b/>
        </w:rPr>
        <w:t xml:space="preserve">• Demographics: </w:t>
      </w:r>
      <w:r>
        <w:t>Junior Software Developer; relies exclusively on public infrastructure for city movement.</w:t>
        <w:br/>
      </w:r>
      <w:r>
        <w:rPr>
          <w:b/>
        </w:rPr>
        <w:t xml:space="preserve">• Key Strategic Goals: </w:t>
      </w:r>
      <w:r>
        <w:t>Eliminate wait times during platform transfers; maintain accurate monthly commuter budgeting parameters.</w:t>
        <w:br/>
      </w:r>
      <w:r>
        <w:rPr>
          <w:b/>
        </w:rPr>
        <w:t xml:space="preserve">• Critical Frustrations: </w:t>
      </w:r>
      <w:r>
        <w:t>Receiving alerts regarding line disruptions only after scanning into transit zones, leaving zero margin for backup navigation.</w:t>
      </w:r>
    </w:p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4. Logical User Flow Architecture</w:t>
      </w:r>
    </w:p>
    <w:p>
      <w:r>
        <w:t>The linear operational path maps the exact logical checkpoints required for a primary user to run an end-to-end task: Searching, organizing, and finalizing a unified multi-modal checkout route.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1</w:t>
              <w:br/>
              <w:t>Home Dashboard</w:t>
            </w:r>
          </w:p>
        </w:tc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2</w:t>
              <w:br/>
              <w:t>Destination Entry</w:t>
            </w:r>
          </w:p>
        </w:tc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3</w:t>
              <w:br/>
              <w:t>Route Evaluation</w:t>
            </w:r>
          </w:p>
        </w:tc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4</w:t>
              <w:br/>
              <w:t>Journey Breakdown</w:t>
            </w:r>
          </w:p>
        </w:tc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5</w:t>
              <w:br/>
              <w:t>Unified Checkout</w:t>
            </w:r>
          </w:p>
        </w:tc>
        <w:tc>
          <w:tcPr>
            <w:tcW w:type="dxa" w:w="1560"/>
            <w:shd w:fill="F2F4F8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color w:val="333333"/>
                <w:sz w:val="18"/>
              </w:rPr>
              <w:t>Step 6</w:t>
              <w:br/>
              <w:t>Digital Receipt</w:t>
            </w:r>
          </w:p>
        </w:tc>
      </w:tr>
    </w:tbl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5. Low-Fidelity Wireframe Functional Layout Specifications</w:t>
      </w:r>
    </w:p>
    <w:p>
      <w:r>
        <w:t>These UI design specifications translate structural wireframes directly into Figma or Adobe XD layouts using basic geometric shapes and clear visual hierarchies.</w:t>
      </w:r>
    </w:p>
    <w:p>
      <w:pPr>
        <w:pStyle w:val="Heading2"/>
        <w:keepNext/>
        <w:spacing w:before="280" w:after="120"/>
      </w:pPr>
      <w:r>
        <w:rPr>
          <w:rFonts w:ascii="Arial" w:hAnsi="Arial"/>
          <w:color w:val="1B365D"/>
        </w:rPr>
        <w:t>Screen 1: Main Search Home Dashboard</w:t>
      </w:r>
    </w:p>
    <w:p>
      <w:pPr>
        <w:pStyle w:val="ListBullet"/>
      </w:pPr>
      <w:r>
        <w:t>Top Navigation Header Frame: Place a circular profile avatar container placeholder on the far left side. Place an alert bell icon on the far right margin.</w:t>
      </w:r>
    </w:p>
    <w:p>
      <w:pPr>
        <w:pStyle w:val="ListBullet"/>
      </w:pPr>
      <w:r>
        <w:t>Central Action Search Container: Centered rounded container containing explicit instructional helper placeholder text: 'Where are you heading today?'.</w:t>
      </w:r>
    </w:p>
    <w:p>
      <w:pPr>
        <w:pStyle w:val="ListBullet"/>
      </w:pPr>
      <w:r>
        <w:t>Lower Recents Section: Vertical list layout components populating previous routes, displaying uniform metadata strings and explicit clickable row navigation chevrons.</w:t>
      </w:r>
    </w:p>
    <w:p>
      <w:pPr>
        <w:pStyle w:val="ListBullet"/>
      </w:pPr>
      <w:r>
        <w:t>Global Footer Navigation: Fixed 3-button icon anchor menu containing placeholder labels for [Home Dashboard], [My Saved Routes], and [Settings Layout].</w:t>
      </w:r>
    </w:p>
    <w:p>
      <w:pPr>
        <w:pStyle w:val="Heading2"/>
        <w:keepNext/>
        <w:spacing w:before="280" w:after="120"/>
      </w:pPr>
      <w:r>
        <w:rPr>
          <w:rFonts w:ascii="Arial" w:hAnsi="Arial"/>
          <w:color w:val="1B365D"/>
        </w:rPr>
        <w:t>Screen 2: Multi-Modal Route Options Matrix</w:t>
      </w:r>
    </w:p>
    <w:p>
      <w:pPr>
        <w:pStyle w:val="ListBullet"/>
      </w:pPr>
      <w:r>
        <w:t>Context Header: Top-aligned structural header area containing an explicit 'Back' canvas button macro, alongside the active search phrase text entry bounding box.</w:t>
      </w:r>
    </w:p>
    <w:p>
      <w:pPr>
        <w:pStyle w:val="ListBullet"/>
      </w:pPr>
      <w:r>
        <w:t>Comparative Route List: A vertically stacked series of content blocks showcasing route options.</w:t>
      </w:r>
    </w:p>
    <w:p>
      <w:pPr>
        <w:pStyle w:val="ListBullet"/>
      </w:pPr>
      <w:r>
        <w:t>Block Internal Hierarchy: Left-aligned icons show the transit types needed (e.g., [Bus] + [Metro Sub-layer]). Right-aligned text strings show trip duration (e.g., '34 min') and clear price data.</w:t>
      </w:r>
    </w:p>
    <w:p>
      <w:pPr>
        <w:pStyle w:val="Heading2"/>
        <w:keepNext/>
        <w:spacing w:before="280" w:after="120"/>
      </w:pPr>
      <w:r>
        <w:rPr>
          <w:rFonts w:ascii="Arial" w:hAnsi="Arial"/>
          <w:color w:val="1B365D"/>
        </w:rPr>
        <w:t>Screen 3: Unified Ticketing Checkout Node</w:t>
      </w:r>
    </w:p>
    <w:p>
      <w:pPr>
        <w:pStyle w:val="ListBullet"/>
      </w:pPr>
      <w:r>
        <w:t>Modal Sub-Header: Top navigation containing an explicit 'Review Transits' textual string and an 'X' button to dismiss the view.</w:t>
      </w:r>
    </w:p>
    <w:p>
      <w:pPr>
        <w:pStyle w:val="ListBullet"/>
      </w:pPr>
      <w:r>
        <w:t>Granular Transit Timeline: Vertical step-by-step track showing specific transfer details, connecting platforms, lines, and walking layout buffers.</w:t>
      </w:r>
    </w:p>
    <w:p>
      <w:pPr>
        <w:pStyle w:val="ListBullet"/>
      </w:pPr>
      <w:r>
        <w:t>Fixed Action Footer Bar: High-contrast button spanning full container width with explicit functional text: 'Purchase All Transit Passes - $4.50'.</w:t>
      </w:r>
    </w:p>
    <w:p>
      <w:pPr>
        <w:pStyle w:val="Heading1"/>
        <w:keepNext/>
        <w:spacing w:before="280" w:after="120"/>
      </w:pPr>
      <w:r>
        <w:rPr>
          <w:rFonts w:ascii="Arial" w:hAnsi="Arial"/>
          <w:color w:val="1B365D"/>
        </w:rPr>
        <w:t>6. Design Thinking &amp; Pedagogical Reflection</w:t>
      </w:r>
    </w:p>
    <w:p>
      <w:r>
        <w:t>The application of the design framework resulted in key strategic takeaways:</w:t>
      </w:r>
    </w:p>
    <w:p>
      <w:r>
        <w:rPr>
          <w:b/>
        </w:rPr>
        <w:t xml:space="preserve">• Phase 1 (Empathize): </w:t>
      </w:r>
      <w:r>
        <w:t>Direct interviews revealed that travel certainty is more critical than finding the absolute lowest price.</w:t>
        <w:br/>
      </w:r>
      <w:r>
        <w:rPr>
          <w:b/>
        </w:rPr>
        <w:t xml:space="preserve">• Phase 2 (Define): </w:t>
      </w:r>
      <w:r>
        <w:t>The true friction lies in app overload and managing fragmented ticketing systems.</w:t>
        <w:br/>
      </w:r>
      <w:r>
        <w:rPr>
          <w:b/>
        </w:rPr>
        <w:t xml:space="preserve">• Phase 3 (Ideate): </w:t>
      </w:r>
      <w:r>
        <w:t>We chose to focus on a unified ticketing engine instead of social features.</w:t>
        <w:br/>
      </w:r>
      <w:r>
        <w:rPr>
          <w:b/>
        </w:rPr>
        <w:t xml:space="preserve">• Phase 4 (Prototype): </w:t>
      </w:r>
      <w:r>
        <w:t>Keeping layouts monochrome allows stakeholders to focus on content hierarchy, layout flow, and navigation before styling.</w:t>
        <w:br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