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color w:val="434343"/>
          <w:sz w:val="48"/>
          <w:szCs w:val="48"/>
        </w:rPr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Manual Técnico</w:t>
      </w:r>
    </w:p>
    <w:p w:rsidR="00000000" w:rsidDel="00000000" w:rsidP="00000000" w:rsidRDefault="00000000" w:rsidRPr="00000000" w14:paraId="00000026">
      <w:pPr>
        <w:jc w:val="right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Nombre del Aplicativo o Proceso</w:t>
      </w:r>
    </w:p>
    <w:p w:rsidR="00000000" w:rsidDel="00000000" w:rsidP="00000000" w:rsidRDefault="00000000" w:rsidRPr="00000000" w14:paraId="00000027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Desarrollado por</w:t>
      </w:r>
    </w:p>
    <w:p w:rsidR="00000000" w:rsidDel="00000000" w:rsidP="00000000" w:rsidRDefault="00000000" w:rsidRPr="00000000" w14:paraId="0000002A">
      <w:pPr>
        <w:jc w:val="righ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Barranquilla - Colombia</w:t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jt0th5oo7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no1wsxv6y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j216e4jgz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5l24uv1li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rq7uea307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Implementada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aslhqlzzy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de Proceso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yrtdlf53i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Base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nov7jq5due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Código Fuente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9721xq225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a Paso para Producción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color w:val="434343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yjt0th5oo7fl" w:id="0"/>
      <w:bookmarkEnd w:id="0"/>
      <w:r w:rsidDel="00000000" w:rsidR="00000000" w:rsidRPr="00000000">
        <w:rPr>
          <w:color w:val="434343"/>
          <w:rtl w:val="0"/>
        </w:rPr>
        <w:t xml:space="preserve">Descripción General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 esta sección, se proporciona una visión general del problema resuelto, la solución propuesta y las tecnologías que se han utilizado en el proyecto. Se puedes mencionar el lenguaje de programación (Python), así como cualquier librería, framework o herramienta adicional que se haya utilizado para implementar las automatizaciones. Se describe brevemente cada tecnología y su propósito en el proyecto.</w:t>
      </w:r>
    </w:p>
    <w:p w:rsidR="00000000" w:rsidDel="00000000" w:rsidP="00000000" w:rsidRDefault="00000000" w:rsidRPr="00000000" w14:paraId="0000003B">
      <w:pPr>
        <w:pStyle w:val="Heading2"/>
        <w:spacing w:after="200" w:lineRule="auto"/>
        <w:jc w:val="both"/>
        <w:rPr/>
      </w:pPr>
      <w:bookmarkStart w:colFirst="0" w:colLast="0" w:name="_gno1wsxv6ysc" w:id="1"/>
      <w:bookmarkEnd w:id="1"/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00" w:lineRule="auto"/>
        <w:jc w:val="both"/>
        <w:rPr/>
      </w:pPr>
      <w:bookmarkStart w:colFirst="0" w:colLast="0" w:name="_rj216e4jgzzk" w:id="2"/>
      <w:bookmarkEnd w:id="2"/>
      <w:r w:rsidDel="00000000" w:rsidR="00000000" w:rsidRPr="00000000">
        <w:rPr>
          <w:rtl w:val="0"/>
        </w:rPr>
        <w:t xml:space="preserve">Descripción de la Solución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00" w:lineRule="auto"/>
        <w:jc w:val="both"/>
        <w:rPr/>
      </w:pPr>
      <w:bookmarkStart w:colFirst="0" w:colLast="0" w:name="_r5l24uv1li94" w:id="3"/>
      <w:bookmarkEnd w:id="3"/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srayqulvs9sj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crq7uea3071j" w:id="5"/>
      <w:bookmarkEnd w:id="5"/>
      <w:r w:rsidDel="00000000" w:rsidR="00000000" w:rsidRPr="00000000">
        <w:rPr>
          <w:color w:val="434343"/>
          <w:rtl w:val="0"/>
        </w:rPr>
        <w:t xml:space="preserve">Arquitectura Implementada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 esta sección, se expone la arquitectura de la solución de automatización. Se explica cómo se estructura y organiza el sistema en términos de componentes y su interacción. Se pueden utilizar diagramas o esquemas para visualizar la arquitectura y describir cada componente, su función y las relaciones entre ellos. En caso de tener bases de datos en la solución, se debe dar una descripción detallada de las tablas y su estructura.</w:t>
      </w:r>
    </w:p>
    <w:p w:rsidR="00000000" w:rsidDel="00000000" w:rsidP="00000000" w:rsidRDefault="00000000" w:rsidRPr="00000000" w14:paraId="00000044">
      <w:pPr>
        <w:pStyle w:val="Heading2"/>
        <w:spacing w:after="200" w:lineRule="auto"/>
        <w:jc w:val="both"/>
        <w:rPr/>
      </w:pPr>
      <w:bookmarkStart w:colFirst="0" w:colLast="0" w:name="_aaslhqlzzy66" w:id="6"/>
      <w:bookmarkEnd w:id="6"/>
      <w:r w:rsidDel="00000000" w:rsidR="00000000" w:rsidRPr="00000000">
        <w:rPr>
          <w:rtl w:val="0"/>
        </w:rPr>
        <w:t xml:space="preserve">Flujo de Proceso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200" w:lineRule="auto"/>
        <w:jc w:val="both"/>
        <w:rPr/>
      </w:pPr>
      <w:bookmarkStart w:colFirst="0" w:colLast="0" w:name="_myrtdlf53im7" w:id="7"/>
      <w:bookmarkEnd w:id="7"/>
      <w:r w:rsidDel="00000000" w:rsidR="00000000" w:rsidRPr="00000000">
        <w:rPr>
          <w:rtl w:val="0"/>
        </w:rPr>
        <w:t xml:space="preserve">Diseño Base de Datos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e8ryhdk2zd5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wnov7jq5dued" w:id="9"/>
      <w:bookmarkEnd w:id="9"/>
      <w:r w:rsidDel="00000000" w:rsidR="00000000" w:rsidRPr="00000000">
        <w:rPr>
          <w:color w:val="434343"/>
          <w:rtl w:val="0"/>
        </w:rPr>
        <w:t xml:space="preserve">Descripción de Código Fuente</w:t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Aquí es donde se proporcionan detalles sobre el código fuente que se ha desarrollado. Se explica la estructura del proyecto, la organización de los directorios y archivos, y cómo se relacionan entre sí. Se describen los módulos o paquetes principales y su propósito. De ser necesario, se mencionan las convenciones de nomenclatura y estilo de codificación que se ha seguido, así como cualquier consideración especial en cuanto a la estructura del código.</w:t>
      </w:r>
    </w:p>
    <w:p w:rsidR="00000000" w:rsidDel="00000000" w:rsidP="00000000" w:rsidRDefault="00000000" w:rsidRPr="00000000" w14:paraId="0000004B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d037on1ikyr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00" w:lineRule="auto"/>
        <w:jc w:val="both"/>
        <w:rPr>
          <w:color w:val="434343"/>
        </w:rPr>
      </w:pPr>
      <w:bookmarkStart w:colFirst="0" w:colLast="0" w:name="_q9721xq225rj" w:id="11"/>
      <w:bookmarkEnd w:id="11"/>
      <w:r w:rsidDel="00000000" w:rsidR="00000000" w:rsidRPr="00000000">
        <w:rPr>
          <w:color w:val="434343"/>
          <w:rtl w:val="0"/>
        </w:rPr>
        <w:t xml:space="preserve">Paso a Paso para Producción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 esta sección, se proporciona una guía paso a paso para llevar las automatizaciones a producción. Se describen los pasos necesarios para configurar el entorno de producción, incluyendo la instalación de dependencias, configuración de variables de entorno, integración con otros sistemas si corresponde, y cualquier otra tarea requerida para poner en marcha la solución de automatización. </w:t>
      </w:r>
    </w:p>
    <w:p w:rsidR="00000000" w:rsidDel="00000000" w:rsidP="00000000" w:rsidRDefault="00000000" w:rsidRPr="00000000" w14:paraId="0000004F">
      <w:pPr>
        <w:spacing w:after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1062038" cy="55068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038" cy="5506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