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41C6" w14:textId="2FAFA9F4" w:rsidR="00F707C0" w:rsidRPr="00583FAA" w:rsidRDefault="00F707C0" w:rsidP="00F707C0">
      <w:pPr>
        <w:spacing w:line="360" w:lineRule="auto"/>
        <w:rPr>
          <w:b/>
          <w:lang w:val="en-GB"/>
        </w:rPr>
      </w:pPr>
      <w:r w:rsidRPr="00583FAA">
        <w:rPr>
          <w:b/>
          <w:lang w:val="en-GB"/>
        </w:rPr>
        <w:t>Supplementary material</w:t>
      </w:r>
      <w:r w:rsidR="004D58F7" w:rsidRPr="00583FAA">
        <w:rPr>
          <w:b/>
          <w:lang w:val="en-GB"/>
        </w:rPr>
        <w:t>: Intensification of dairy production can increase the GHG mitigation potential of the land use sector in East Africa</w:t>
      </w:r>
    </w:p>
    <w:p w14:paraId="0117C764" w14:textId="77777777" w:rsidR="00296641" w:rsidRPr="00583FAA" w:rsidRDefault="00296641" w:rsidP="00D56E44">
      <w:pPr>
        <w:spacing w:after="0" w:line="360" w:lineRule="auto"/>
        <w:rPr>
          <w:b/>
          <w:lang w:val="en-GB"/>
        </w:rPr>
      </w:pPr>
    </w:p>
    <w:p w14:paraId="0D4C8BFF" w14:textId="77777777" w:rsidR="00AC091B" w:rsidRPr="00583FAA" w:rsidRDefault="00AC091B" w:rsidP="004A2988">
      <w:pPr>
        <w:spacing w:after="0" w:line="360" w:lineRule="auto"/>
        <w:rPr>
          <w:b/>
          <w:lang w:val="en-GB"/>
        </w:rPr>
      </w:pPr>
      <w:bookmarkStart w:id="0" w:name="OLE_LINK12"/>
      <w:r w:rsidRPr="00583FAA">
        <w:rPr>
          <w:b/>
          <w:lang w:val="en-GB"/>
        </w:rPr>
        <w:t>1. Calculation of milk yields and GHG emissions from smallholder dairy production</w:t>
      </w:r>
    </w:p>
    <w:p w14:paraId="4CA36B0F" w14:textId="77777777" w:rsidR="009425DD" w:rsidRPr="00583FAA" w:rsidRDefault="00AC091B" w:rsidP="004A2988">
      <w:pPr>
        <w:spacing w:after="0" w:line="360" w:lineRule="auto"/>
        <w:rPr>
          <w:b/>
          <w:lang w:val="en-GB"/>
        </w:rPr>
      </w:pPr>
      <w:r w:rsidRPr="00583FAA">
        <w:rPr>
          <w:b/>
          <w:lang w:val="en-GB"/>
        </w:rPr>
        <w:t xml:space="preserve">1.1 </w:t>
      </w:r>
      <w:bookmarkEnd w:id="0"/>
      <w:r w:rsidRPr="00583FAA">
        <w:rPr>
          <w:b/>
          <w:lang w:val="en-GB"/>
        </w:rPr>
        <w:t>L</w:t>
      </w:r>
      <w:r w:rsidR="005841F1" w:rsidRPr="00583FAA">
        <w:rPr>
          <w:b/>
          <w:lang w:val="en-GB"/>
        </w:rPr>
        <w:t>ivestock simulator:</w:t>
      </w:r>
      <w:r w:rsidR="00B46A54" w:rsidRPr="00583FAA">
        <w:rPr>
          <w:b/>
          <w:lang w:val="en-GB"/>
        </w:rPr>
        <w:t xml:space="preserve"> LivSim</w:t>
      </w:r>
      <w:r w:rsidR="00AB192B" w:rsidRPr="00583FAA">
        <w:rPr>
          <w:b/>
          <w:lang w:val="en-GB"/>
        </w:rPr>
        <w:t xml:space="preserve"> </w:t>
      </w:r>
    </w:p>
    <w:p w14:paraId="344F0BD8" w14:textId="1A6E2F47" w:rsidR="00880B36" w:rsidRPr="00583FAA" w:rsidRDefault="00AC091B" w:rsidP="00296641">
      <w:pPr>
        <w:spacing w:after="0" w:line="360" w:lineRule="auto"/>
        <w:jc w:val="both"/>
        <w:rPr>
          <w:lang w:val="en-GB"/>
        </w:rPr>
      </w:pPr>
      <w:r w:rsidRPr="00583FAA">
        <w:rPr>
          <w:lang w:val="en-GB"/>
        </w:rPr>
        <w:t>The livestock production model LivSim was used to compute milk yields and GHG emission</w:t>
      </w:r>
      <w:r w:rsidR="00395A0A" w:rsidRPr="00583FAA">
        <w:rPr>
          <w:lang w:val="en-GB"/>
        </w:rPr>
        <w:t>s</w:t>
      </w:r>
      <w:r w:rsidRPr="00583FAA">
        <w:rPr>
          <w:lang w:val="en-GB"/>
        </w:rPr>
        <w:t xml:space="preserve"> from dairy cattle </w:t>
      </w:r>
      <w:r w:rsidR="00395A0A" w:rsidRPr="00583FAA">
        <w:rPr>
          <w:lang w:val="en-GB"/>
        </w:rPr>
        <w:t>(</w:t>
      </w:r>
      <w:r w:rsidR="006C68FE" w:rsidRPr="00583FAA">
        <w:rPr>
          <w:lang w:val="en-GB"/>
        </w:rPr>
        <w:t xml:space="preserve">exotic </w:t>
      </w:r>
      <w:r w:rsidR="00395A0A" w:rsidRPr="00583FAA">
        <w:rPr>
          <w:i/>
          <w:lang w:val="en-GB"/>
        </w:rPr>
        <w:t xml:space="preserve">Bos </w:t>
      </w:r>
      <w:r w:rsidR="006C68FE" w:rsidRPr="00583FAA">
        <w:rPr>
          <w:i/>
          <w:lang w:val="en-GB"/>
        </w:rPr>
        <w:t xml:space="preserve">Taurus </w:t>
      </w:r>
      <w:r w:rsidR="006C68FE" w:rsidRPr="00583FAA">
        <w:rPr>
          <w:lang w:val="en-GB"/>
        </w:rPr>
        <w:t>and crosses between</w:t>
      </w:r>
      <w:r w:rsidR="006C68FE" w:rsidRPr="00583FAA">
        <w:rPr>
          <w:i/>
          <w:lang w:val="en-GB"/>
        </w:rPr>
        <w:t xml:space="preserve"> Bos taurus </w:t>
      </w:r>
      <w:r w:rsidR="006C68FE" w:rsidRPr="00583FAA">
        <w:rPr>
          <w:lang w:val="en-GB"/>
        </w:rPr>
        <w:t>and local zebu</w:t>
      </w:r>
      <w:r w:rsidR="006C68FE" w:rsidRPr="00583FAA">
        <w:rPr>
          <w:i/>
          <w:lang w:val="en-GB"/>
        </w:rPr>
        <w:t xml:space="preserve"> Bos indicus</w:t>
      </w:r>
      <w:r w:rsidR="00395A0A" w:rsidRPr="00583FAA">
        <w:rPr>
          <w:lang w:val="en-GB"/>
        </w:rPr>
        <w:t xml:space="preserve">), </w:t>
      </w:r>
      <w:r w:rsidRPr="00583FAA">
        <w:rPr>
          <w:lang w:val="en-GB"/>
        </w:rPr>
        <w:t>typically found on smallholder dairy farms in Kenya (Rufino et al., 2009).</w:t>
      </w:r>
      <w:r w:rsidR="00395A0A" w:rsidRPr="00583FAA">
        <w:rPr>
          <w:lang w:val="en-GB"/>
        </w:rPr>
        <w:t xml:space="preserve"> </w:t>
      </w:r>
      <w:r w:rsidR="00A334D9" w:rsidRPr="00583FAA">
        <w:rPr>
          <w:lang w:val="en-GB"/>
        </w:rPr>
        <w:t>LivSim is a dynamic production model that simulate</w:t>
      </w:r>
      <w:r w:rsidR="006C68FE" w:rsidRPr="00583FAA">
        <w:rPr>
          <w:lang w:val="en-GB"/>
        </w:rPr>
        <w:t>s</w:t>
      </w:r>
      <w:r w:rsidR="00A334D9" w:rsidRPr="00583FAA">
        <w:rPr>
          <w:lang w:val="en-GB"/>
        </w:rPr>
        <w:t xml:space="preserve"> </w:t>
      </w:r>
      <w:r w:rsidR="004A2988" w:rsidRPr="00583FAA">
        <w:rPr>
          <w:lang w:val="en-GB"/>
        </w:rPr>
        <w:t xml:space="preserve">growth, </w:t>
      </w:r>
      <w:r w:rsidR="00A334D9" w:rsidRPr="00583FAA">
        <w:rPr>
          <w:lang w:val="en-GB"/>
        </w:rPr>
        <w:t xml:space="preserve">milk yields, and faecal and urine excretion for individual dairy cattle on a monthly basis taking into account </w:t>
      </w:r>
      <w:r w:rsidR="004A2988" w:rsidRPr="00583FAA">
        <w:rPr>
          <w:lang w:val="en-GB"/>
        </w:rPr>
        <w:t xml:space="preserve">the </w:t>
      </w:r>
      <w:r w:rsidR="00A334D9" w:rsidRPr="00583FAA">
        <w:rPr>
          <w:lang w:val="en-GB"/>
        </w:rPr>
        <w:t>animal</w:t>
      </w:r>
      <w:r w:rsidR="004A2988" w:rsidRPr="00583FAA">
        <w:rPr>
          <w:lang w:val="en-GB"/>
        </w:rPr>
        <w:t>’s energy and protein</w:t>
      </w:r>
      <w:r w:rsidR="00A334D9" w:rsidRPr="00583FAA">
        <w:rPr>
          <w:lang w:val="en-GB"/>
        </w:rPr>
        <w:t xml:space="preserve"> </w:t>
      </w:r>
      <w:r w:rsidR="004A2988" w:rsidRPr="00583FAA">
        <w:rPr>
          <w:lang w:val="en-GB"/>
        </w:rPr>
        <w:t xml:space="preserve">growth, </w:t>
      </w:r>
      <w:r w:rsidR="00A334D9" w:rsidRPr="00583FAA">
        <w:rPr>
          <w:lang w:val="en-GB"/>
        </w:rPr>
        <w:t xml:space="preserve">maintenance </w:t>
      </w:r>
      <w:r w:rsidR="004A2988" w:rsidRPr="00583FAA">
        <w:rPr>
          <w:lang w:val="en-GB"/>
        </w:rPr>
        <w:t xml:space="preserve">and production </w:t>
      </w:r>
      <w:r w:rsidR="00A334D9" w:rsidRPr="00583FAA">
        <w:rPr>
          <w:lang w:val="en-GB"/>
        </w:rPr>
        <w:t>requirements</w:t>
      </w:r>
      <w:r w:rsidR="004A2988" w:rsidRPr="00583FAA">
        <w:rPr>
          <w:lang w:val="en-GB"/>
        </w:rPr>
        <w:t xml:space="preserve"> following AFRC (1993)</w:t>
      </w:r>
      <w:r w:rsidR="00A334D9" w:rsidRPr="00583FAA">
        <w:rPr>
          <w:lang w:val="en-GB"/>
        </w:rPr>
        <w:t xml:space="preserve">. </w:t>
      </w:r>
      <w:r w:rsidR="00503F9A" w:rsidRPr="00583FAA">
        <w:rPr>
          <w:lang w:val="en-GB"/>
        </w:rPr>
        <w:t xml:space="preserve">Because LivSim is designed to simulate the </w:t>
      </w:r>
      <w:r w:rsidR="00F61BA1" w:rsidRPr="00583FAA">
        <w:rPr>
          <w:lang w:val="en-GB"/>
        </w:rPr>
        <w:t>impact of farmer’s resource allocation o</w:t>
      </w:r>
      <w:r w:rsidR="00867895" w:rsidRPr="00583FAA">
        <w:rPr>
          <w:lang w:val="en-GB"/>
        </w:rPr>
        <w:t>n</w:t>
      </w:r>
      <w:r w:rsidR="00F61BA1" w:rsidRPr="00583FAA">
        <w:rPr>
          <w:lang w:val="en-GB"/>
        </w:rPr>
        <w:t xml:space="preserve"> </w:t>
      </w:r>
      <w:r w:rsidR="00503F9A" w:rsidRPr="00583FAA">
        <w:rPr>
          <w:lang w:val="en-GB"/>
        </w:rPr>
        <w:t xml:space="preserve">lifetime productivity and output of cattle several parameters </w:t>
      </w:r>
      <w:r w:rsidR="004A2988" w:rsidRPr="00583FAA">
        <w:rPr>
          <w:lang w:val="en-GB"/>
        </w:rPr>
        <w:t>are required for</w:t>
      </w:r>
      <w:r w:rsidR="00503F9A" w:rsidRPr="00583FAA">
        <w:rPr>
          <w:lang w:val="en-GB"/>
        </w:rPr>
        <w:t xml:space="preserve"> running the model</w:t>
      </w:r>
      <w:r w:rsidR="00AE0A6B" w:rsidRPr="00583FAA">
        <w:rPr>
          <w:lang w:val="en-GB"/>
        </w:rPr>
        <w:t xml:space="preserve"> (Table S1)</w:t>
      </w:r>
      <w:r w:rsidR="00503F9A" w:rsidRPr="00583FAA">
        <w:rPr>
          <w:lang w:val="en-GB"/>
        </w:rPr>
        <w:t xml:space="preserve">. </w:t>
      </w:r>
      <w:r w:rsidR="00F61BA1" w:rsidRPr="00583FAA">
        <w:rPr>
          <w:lang w:val="en-GB"/>
        </w:rPr>
        <w:t>For instance,</w:t>
      </w:r>
      <w:r w:rsidR="00D021F6" w:rsidRPr="00583FAA">
        <w:rPr>
          <w:lang w:val="en-GB"/>
        </w:rPr>
        <w:t xml:space="preserve"> </w:t>
      </w:r>
      <w:r w:rsidR="00F61BA1" w:rsidRPr="00583FAA">
        <w:rPr>
          <w:lang w:val="en-GB"/>
        </w:rPr>
        <w:t>intake is dependent on feed quality and body</w:t>
      </w:r>
      <w:r w:rsidR="00AF30C7" w:rsidRPr="00583FAA">
        <w:rPr>
          <w:lang w:val="en-GB"/>
        </w:rPr>
        <w:t xml:space="preserve"> size</w:t>
      </w:r>
      <w:r w:rsidR="007828C2" w:rsidRPr="00583FAA">
        <w:rPr>
          <w:lang w:val="en-GB"/>
        </w:rPr>
        <w:t xml:space="preserve">, therefore, </w:t>
      </w:r>
      <w:r w:rsidR="00AF30C7" w:rsidRPr="00583FAA">
        <w:rPr>
          <w:lang w:val="en-GB"/>
        </w:rPr>
        <w:t>mature weight and milk ME</w:t>
      </w:r>
      <w:r w:rsidR="007828C2" w:rsidRPr="00583FAA">
        <w:rPr>
          <w:lang w:val="en-GB"/>
        </w:rPr>
        <w:t xml:space="preserve"> parameters</w:t>
      </w:r>
      <w:r w:rsidR="00AF30C7" w:rsidRPr="00583FAA">
        <w:rPr>
          <w:lang w:val="en-GB"/>
        </w:rPr>
        <w:t xml:space="preserve"> </w:t>
      </w:r>
      <w:r w:rsidR="004A2988" w:rsidRPr="00583FAA">
        <w:rPr>
          <w:lang w:val="en-GB"/>
        </w:rPr>
        <w:t>are inputs to</w:t>
      </w:r>
      <w:r w:rsidR="007828C2" w:rsidRPr="00583FAA">
        <w:rPr>
          <w:lang w:val="en-GB"/>
        </w:rPr>
        <w:t xml:space="preserve"> the model</w:t>
      </w:r>
      <w:r w:rsidR="00F61BA1" w:rsidRPr="00583FAA">
        <w:rPr>
          <w:lang w:val="en-GB"/>
        </w:rPr>
        <w:t xml:space="preserve">. </w:t>
      </w:r>
      <w:r w:rsidR="00AF30C7" w:rsidRPr="00583FAA">
        <w:rPr>
          <w:lang w:val="en-GB"/>
        </w:rPr>
        <w:t>O</w:t>
      </w:r>
      <w:r w:rsidR="002F6D2D" w:rsidRPr="00583FAA">
        <w:rPr>
          <w:lang w:val="en-GB"/>
        </w:rPr>
        <w:t>ther parameter</w:t>
      </w:r>
      <w:r w:rsidR="00AF30C7" w:rsidRPr="00583FAA">
        <w:rPr>
          <w:lang w:val="en-GB"/>
        </w:rPr>
        <w:t xml:space="preserve">s </w:t>
      </w:r>
      <w:r w:rsidR="004A2988" w:rsidRPr="00583FAA">
        <w:rPr>
          <w:lang w:val="en-GB"/>
        </w:rPr>
        <w:t>include</w:t>
      </w:r>
      <w:r w:rsidR="002F6D2D" w:rsidRPr="00583FAA">
        <w:rPr>
          <w:lang w:val="en-GB"/>
        </w:rPr>
        <w:t xml:space="preserve"> the calving rates</w:t>
      </w:r>
      <w:r w:rsidR="00D021F6" w:rsidRPr="00583FAA">
        <w:rPr>
          <w:lang w:val="en-GB"/>
        </w:rPr>
        <w:t xml:space="preserve"> and </w:t>
      </w:r>
      <w:r w:rsidR="00AF30C7" w:rsidRPr="00583FAA">
        <w:rPr>
          <w:lang w:val="en-GB"/>
        </w:rPr>
        <w:t>dry period</w:t>
      </w:r>
      <w:r w:rsidR="002F6D2D" w:rsidRPr="00583FAA">
        <w:rPr>
          <w:lang w:val="en-GB"/>
        </w:rPr>
        <w:t xml:space="preserve"> to </w:t>
      </w:r>
      <w:r w:rsidR="004A2988" w:rsidRPr="00583FAA">
        <w:rPr>
          <w:lang w:val="en-GB"/>
        </w:rPr>
        <w:t xml:space="preserve">calculate </w:t>
      </w:r>
      <w:r w:rsidR="002F6D2D" w:rsidRPr="00583FAA">
        <w:rPr>
          <w:lang w:val="en-GB"/>
        </w:rPr>
        <w:t>the r</w:t>
      </w:r>
      <w:r w:rsidR="00F61BA1" w:rsidRPr="00583FAA">
        <w:rPr>
          <w:lang w:val="en-GB"/>
        </w:rPr>
        <w:t>eproduction potential</w:t>
      </w:r>
      <w:r w:rsidR="002F6D2D" w:rsidRPr="00583FAA">
        <w:rPr>
          <w:lang w:val="en-GB"/>
        </w:rPr>
        <w:t xml:space="preserve"> of dairy cows.</w:t>
      </w:r>
      <w:r w:rsidR="00C1175E" w:rsidRPr="00583FAA">
        <w:rPr>
          <w:lang w:val="en-GB"/>
        </w:rPr>
        <w:t xml:space="preserve"> Productivity was assessed by lactation length, milk production, weight gain and manure production. </w:t>
      </w:r>
      <w:r w:rsidR="002F6D2D" w:rsidRPr="00583FAA">
        <w:rPr>
          <w:lang w:val="en-GB"/>
        </w:rPr>
        <w:t xml:space="preserve">Despite LivSim’s capability to </w:t>
      </w:r>
      <w:r w:rsidR="004A2988" w:rsidRPr="00583FAA">
        <w:rPr>
          <w:lang w:val="en-GB"/>
        </w:rPr>
        <w:t xml:space="preserve">calculate </w:t>
      </w:r>
      <w:r w:rsidR="002F6D2D" w:rsidRPr="00583FAA">
        <w:rPr>
          <w:lang w:val="en-GB"/>
        </w:rPr>
        <w:t xml:space="preserve">involuntary culling this functionality was not used under this framework because </w:t>
      </w:r>
      <w:r w:rsidR="007338A5" w:rsidRPr="00583FAA">
        <w:rPr>
          <w:lang w:val="en-GB"/>
        </w:rPr>
        <w:t>it is</w:t>
      </w:r>
      <w:r w:rsidR="002F6D2D" w:rsidRPr="00583FAA">
        <w:rPr>
          <w:lang w:val="en-GB"/>
        </w:rPr>
        <w:t xml:space="preserve"> assumed </w:t>
      </w:r>
      <w:r w:rsidR="007338A5" w:rsidRPr="00583FAA">
        <w:rPr>
          <w:lang w:val="en-GB"/>
        </w:rPr>
        <w:t xml:space="preserve">that </w:t>
      </w:r>
      <w:r w:rsidR="002F6D2D" w:rsidRPr="00583FAA">
        <w:rPr>
          <w:lang w:val="en-GB"/>
        </w:rPr>
        <w:t xml:space="preserve">improved feeds </w:t>
      </w:r>
      <w:r w:rsidR="004A2988" w:rsidRPr="00583FAA">
        <w:rPr>
          <w:lang w:val="en-GB"/>
        </w:rPr>
        <w:t xml:space="preserve">used in </w:t>
      </w:r>
      <w:r w:rsidR="00DC61EF" w:rsidRPr="00583FAA">
        <w:rPr>
          <w:lang w:val="en-GB"/>
        </w:rPr>
        <w:t xml:space="preserve">all </w:t>
      </w:r>
      <w:r w:rsidR="007338A5" w:rsidRPr="00583FAA">
        <w:rPr>
          <w:lang w:val="en-GB"/>
        </w:rPr>
        <w:t xml:space="preserve">scenarios </w:t>
      </w:r>
      <w:r w:rsidR="002F6D2D" w:rsidRPr="00583FAA">
        <w:rPr>
          <w:lang w:val="en-GB"/>
        </w:rPr>
        <w:t xml:space="preserve">will prevent death from malnutrition within one year. </w:t>
      </w:r>
      <w:r w:rsidR="00A334D9" w:rsidRPr="00583FAA">
        <w:rPr>
          <w:lang w:val="en-GB"/>
        </w:rPr>
        <w:t>The animal manure module HeapSim, which is integrated into LivSim simulates the dynamics of nutrients</w:t>
      </w:r>
      <w:r w:rsidR="005841F1" w:rsidRPr="00583FAA">
        <w:rPr>
          <w:lang w:val="en-GB"/>
        </w:rPr>
        <w:t>, including losses</w:t>
      </w:r>
      <w:r w:rsidR="00A334D9" w:rsidRPr="00583FAA">
        <w:rPr>
          <w:lang w:val="en-GB"/>
        </w:rPr>
        <w:t xml:space="preserve"> </w:t>
      </w:r>
      <w:r w:rsidR="00052936" w:rsidRPr="00583FAA">
        <w:rPr>
          <w:lang w:val="en-GB"/>
        </w:rPr>
        <w:t>d</w:t>
      </w:r>
      <w:r w:rsidR="00053F3D" w:rsidRPr="00583FAA">
        <w:rPr>
          <w:lang w:val="en-GB"/>
        </w:rPr>
        <w:t>epending</w:t>
      </w:r>
      <w:r w:rsidR="00052936" w:rsidRPr="00583FAA">
        <w:rPr>
          <w:lang w:val="en-GB"/>
        </w:rPr>
        <w:t xml:space="preserve"> on</w:t>
      </w:r>
      <w:r w:rsidR="00A334D9" w:rsidRPr="00583FAA">
        <w:rPr>
          <w:lang w:val="en-GB"/>
        </w:rPr>
        <w:t xml:space="preserve"> </w:t>
      </w:r>
      <w:r w:rsidR="00052936" w:rsidRPr="00583FAA">
        <w:rPr>
          <w:lang w:val="en-GB"/>
        </w:rPr>
        <w:t xml:space="preserve">the </w:t>
      </w:r>
      <w:r w:rsidR="00A334D9" w:rsidRPr="00583FAA">
        <w:rPr>
          <w:lang w:val="en-GB"/>
        </w:rPr>
        <w:t xml:space="preserve">collection, storage and use </w:t>
      </w:r>
      <w:r w:rsidR="00052936" w:rsidRPr="00583FAA">
        <w:rPr>
          <w:lang w:val="en-GB"/>
        </w:rPr>
        <w:t xml:space="preserve">of manure </w:t>
      </w:r>
      <w:r w:rsidR="00A334D9" w:rsidRPr="00583FAA">
        <w:rPr>
          <w:lang w:val="en-GB"/>
        </w:rPr>
        <w:t>(Rufino et al, 2007).</w:t>
      </w:r>
    </w:p>
    <w:p w14:paraId="3364F4A7" w14:textId="77777777" w:rsidR="004A2988" w:rsidRPr="00583FAA" w:rsidRDefault="004A2988" w:rsidP="004A2988">
      <w:pPr>
        <w:spacing w:after="0" w:line="276" w:lineRule="auto"/>
        <w:jc w:val="both"/>
        <w:rPr>
          <w:lang w:val="en-GB"/>
        </w:rPr>
      </w:pPr>
    </w:p>
    <w:p w14:paraId="490E7B37" w14:textId="5A33A59D" w:rsidR="004F48A6" w:rsidRPr="00583FAA" w:rsidRDefault="00880B36" w:rsidP="004A2988">
      <w:pPr>
        <w:spacing w:after="0" w:line="360" w:lineRule="auto"/>
        <w:jc w:val="both"/>
        <w:rPr>
          <w:lang w:val="en-GB"/>
        </w:rPr>
      </w:pPr>
      <w:r w:rsidRPr="00583FAA">
        <w:rPr>
          <w:lang w:val="en-GB"/>
        </w:rPr>
        <w:t>Table S1:</w:t>
      </w:r>
      <w:r w:rsidRPr="00583FAA">
        <w:rPr>
          <w:b/>
          <w:lang w:val="en-GB"/>
        </w:rPr>
        <w:t xml:space="preserve"> </w:t>
      </w:r>
      <w:r w:rsidR="00400233" w:rsidRPr="00583FAA">
        <w:rPr>
          <w:lang w:val="en-GB"/>
        </w:rPr>
        <w:t>LivSim Model input and parameters ad</w:t>
      </w:r>
      <w:r w:rsidR="00006922" w:rsidRPr="00583FAA">
        <w:rPr>
          <w:lang w:val="en-GB"/>
        </w:rPr>
        <w:t>a</w:t>
      </w:r>
      <w:r w:rsidR="00400233" w:rsidRPr="00583FAA">
        <w:rPr>
          <w:lang w:val="en-GB"/>
        </w:rPr>
        <w:t xml:space="preserve">pted from Rufino et al </w:t>
      </w:r>
      <w:r w:rsidR="00006922" w:rsidRPr="00583FAA">
        <w:rPr>
          <w:lang w:val="en-GB"/>
        </w:rPr>
        <w:t>(</w:t>
      </w:r>
      <w:r w:rsidR="00400233" w:rsidRPr="00583FAA">
        <w:rPr>
          <w:lang w:val="en-GB"/>
        </w:rPr>
        <w:t>2009</w:t>
      </w:r>
      <w:r w:rsidR="00006922" w:rsidRPr="00583FAA">
        <w:rPr>
          <w:lang w:val="en-GB"/>
        </w:rPr>
        <w:t>)</w:t>
      </w:r>
      <w:r w:rsidR="00336F16" w:rsidRPr="00583FAA">
        <w:rPr>
          <w:lang w:val="en-GB"/>
        </w:rPr>
        <w:t>.</w:t>
      </w:r>
    </w:p>
    <w:tbl>
      <w:tblPr>
        <w:tblStyle w:val="PlainTable2"/>
        <w:tblW w:w="9356" w:type="dxa"/>
        <w:tblCellMar>
          <w:left w:w="57" w:type="dxa"/>
          <w:right w:w="57" w:type="dxa"/>
        </w:tblCellMar>
        <w:tblLook w:val="04A0" w:firstRow="1" w:lastRow="0" w:firstColumn="1" w:lastColumn="0" w:noHBand="0" w:noVBand="1"/>
      </w:tblPr>
      <w:tblGrid>
        <w:gridCol w:w="4111"/>
        <w:gridCol w:w="2835"/>
        <w:gridCol w:w="2410"/>
      </w:tblGrid>
      <w:tr w:rsidR="00503F9A" w:rsidRPr="00D021F6" w14:paraId="463BD9F1" w14:textId="77777777" w:rsidTr="00B64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7F7F7F" w:themeColor="text1" w:themeTint="80"/>
              <w:bottom w:val="single" w:sz="4" w:space="0" w:color="auto"/>
            </w:tcBorders>
          </w:tcPr>
          <w:p w14:paraId="6DC1756E" w14:textId="699BE61C" w:rsidR="00503F9A" w:rsidRPr="00DF3317" w:rsidRDefault="00503F9A" w:rsidP="00DF3317">
            <w:pPr>
              <w:spacing w:line="276" w:lineRule="auto"/>
              <w:rPr>
                <w:b w:val="0"/>
              </w:rPr>
            </w:pPr>
            <w:r w:rsidRPr="00DF3317">
              <w:rPr>
                <w:b w:val="0"/>
              </w:rPr>
              <w:t>Parameters</w:t>
            </w:r>
          </w:p>
        </w:tc>
        <w:tc>
          <w:tcPr>
            <w:tcW w:w="2835" w:type="dxa"/>
            <w:tcBorders>
              <w:top w:val="single" w:sz="4" w:space="0" w:color="7F7F7F" w:themeColor="text1" w:themeTint="80"/>
              <w:bottom w:val="single" w:sz="4" w:space="0" w:color="auto"/>
            </w:tcBorders>
          </w:tcPr>
          <w:p w14:paraId="31C301CF" w14:textId="5FCA6407" w:rsidR="00503F9A" w:rsidRPr="00DF3317" w:rsidRDefault="00503F9A" w:rsidP="00DF3317">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DF3317">
              <w:rPr>
                <w:b w:val="0"/>
              </w:rPr>
              <w:t>Parameter value</w:t>
            </w:r>
            <w:r w:rsidR="00DF3317">
              <w:rPr>
                <w:b w:val="0"/>
              </w:rPr>
              <w:t>s</w:t>
            </w:r>
          </w:p>
        </w:tc>
        <w:tc>
          <w:tcPr>
            <w:tcW w:w="2410" w:type="dxa"/>
            <w:tcBorders>
              <w:top w:val="single" w:sz="4" w:space="0" w:color="7F7F7F" w:themeColor="text1" w:themeTint="80"/>
              <w:bottom w:val="single" w:sz="4" w:space="0" w:color="auto"/>
            </w:tcBorders>
          </w:tcPr>
          <w:p w14:paraId="21293DFD" w14:textId="19B74EAC" w:rsidR="00503F9A" w:rsidRPr="00DF3317" w:rsidRDefault="00503F9A" w:rsidP="00DF3317">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DF3317">
              <w:rPr>
                <w:b w:val="0"/>
              </w:rPr>
              <w:t>Units</w:t>
            </w:r>
          </w:p>
        </w:tc>
      </w:tr>
      <w:tr w:rsidR="00503F9A" w:rsidRPr="00D021F6" w14:paraId="0BCEB973"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nil"/>
            </w:tcBorders>
          </w:tcPr>
          <w:p w14:paraId="0124D3E3" w14:textId="2A9DF6D4" w:rsidR="00503F9A" w:rsidRPr="00D021F6" w:rsidRDefault="00503F9A" w:rsidP="009819E2">
            <w:pPr>
              <w:spacing w:line="276" w:lineRule="auto"/>
              <w:jc w:val="both"/>
              <w:rPr>
                <w:b w:val="0"/>
              </w:rPr>
            </w:pPr>
            <w:r w:rsidRPr="00D021F6">
              <w:rPr>
                <w:b w:val="0"/>
              </w:rPr>
              <w:t>Mature weight</w:t>
            </w:r>
          </w:p>
        </w:tc>
        <w:tc>
          <w:tcPr>
            <w:tcW w:w="2835" w:type="dxa"/>
            <w:tcBorders>
              <w:top w:val="single" w:sz="4" w:space="0" w:color="auto"/>
              <w:bottom w:val="nil"/>
            </w:tcBorders>
          </w:tcPr>
          <w:p w14:paraId="7CE15D10" w14:textId="0912F870"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500</w:t>
            </w:r>
          </w:p>
        </w:tc>
        <w:tc>
          <w:tcPr>
            <w:tcW w:w="2410" w:type="dxa"/>
            <w:tcBorders>
              <w:top w:val="single" w:sz="4" w:space="0" w:color="auto"/>
              <w:bottom w:val="nil"/>
            </w:tcBorders>
          </w:tcPr>
          <w:p w14:paraId="6CBC3874" w14:textId="37D196DD"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kg</w:t>
            </w:r>
          </w:p>
        </w:tc>
      </w:tr>
      <w:tr w:rsidR="00503F9A" w:rsidRPr="00D021F6" w14:paraId="5BD61051"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14AD1545" w14:textId="7E955C45" w:rsidR="00503F9A" w:rsidRPr="00D021F6" w:rsidRDefault="00503F9A" w:rsidP="009819E2">
            <w:pPr>
              <w:spacing w:line="276" w:lineRule="auto"/>
              <w:jc w:val="both"/>
              <w:rPr>
                <w:b w:val="0"/>
              </w:rPr>
            </w:pPr>
            <w:r w:rsidRPr="00D021F6">
              <w:rPr>
                <w:b w:val="0"/>
              </w:rPr>
              <w:t xml:space="preserve">Calf birth weight </w:t>
            </w:r>
          </w:p>
        </w:tc>
        <w:tc>
          <w:tcPr>
            <w:tcW w:w="2835" w:type="dxa"/>
            <w:tcBorders>
              <w:top w:val="nil"/>
              <w:bottom w:val="nil"/>
            </w:tcBorders>
          </w:tcPr>
          <w:p w14:paraId="4F15BD26" w14:textId="4301C7EA"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30</w:t>
            </w:r>
          </w:p>
        </w:tc>
        <w:tc>
          <w:tcPr>
            <w:tcW w:w="2410" w:type="dxa"/>
            <w:tcBorders>
              <w:top w:val="nil"/>
              <w:bottom w:val="nil"/>
            </w:tcBorders>
          </w:tcPr>
          <w:p w14:paraId="100646C8" w14:textId="365F37CC"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kg</w:t>
            </w:r>
          </w:p>
        </w:tc>
      </w:tr>
      <w:tr w:rsidR="00503F9A" w:rsidRPr="00D021F6" w14:paraId="5F951D1E"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3E3CCCF7" w14:textId="7DEC5423" w:rsidR="00503F9A" w:rsidRPr="00D021F6" w:rsidRDefault="00503F9A" w:rsidP="009819E2">
            <w:pPr>
              <w:spacing w:line="276" w:lineRule="auto"/>
              <w:jc w:val="both"/>
              <w:rPr>
                <w:b w:val="0"/>
              </w:rPr>
            </w:pPr>
            <w:r w:rsidRPr="00D021F6">
              <w:rPr>
                <w:b w:val="0"/>
              </w:rPr>
              <w:t xml:space="preserve">Weaning age </w:t>
            </w:r>
          </w:p>
        </w:tc>
        <w:tc>
          <w:tcPr>
            <w:tcW w:w="2835" w:type="dxa"/>
            <w:tcBorders>
              <w:top w:val="nil"/>
              <w:bottom w:val="nil"/>
            </w:tcBorders>
          </w:tcPr>
          <w:p w14:paraId="3D8FFBE5" w14:textId="6DF0E982" w:rsidR="00503F9A" w:rsidRPr="00D021F6" w:rsidRDefault="0023106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3</w:t>
            </w:r>
          </w:p>
        </w:tc>
        <w:tc>
          <w:tcPr>
            <w:tcW w:w="2410" w:type="dxa"/>
            <w:tcBorders>
              <w:top w:val="nil"/>
              <w:bottom w:val="nil"/>
            </w:tcBorders>
          </w:tcPr>
          <w:p w14:paraId="57BF43B3" w14:textId="50EE8A99"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mo</w:t>
            </w:r>
            <w:r w:rsidR="00006922">
              <w:t>nth</w:t>
            </w:r>
          </w:p>
        </w:tc>
      </w:tr>
      <w:tr w:rsidR="00503F9A" w:rsidRPr="00D021F6" w14:paraId="120C0C09"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768AE1BC" w14:textId="7EB25365" w:rsidR="00503F9A" w:rsidRPr="00583FAA" w:rsidRDefault="00503F9A" w:rsidP="009819E2">
            <w:pPr>
              <w:spacing w:line="276" w:lineRule="auto"/>
              <w:jc w:val="both"/>
              <w:rPr>
                <w:b w:val="0"/>
                <w:lang w:val="en-GB"/>
              </w:rPr>
            </w:pPr>
            <w:r w:rsidRPr="00583FAA">
              <w:rPr>
                <w:b w:val="0"/>
                <w:lang w:val="en-GB"/>
              </w:rPr>
              <w:t>Minimum calving rate (poor condition)</w:t>
            </w:r>
          </w:p>
        </w:tc>
        <w:tc>
          <w:tcPr>
            <w:tcW w:w="2835" w:type="dxa"/>
            <w:tcBorders>
              <w:top w:val="nil"/>
              <w:bottom w:val="nil"/>
            </w:tcBorders>
          </w:tcPr>
          <w:p w14:paraId="4902E155" w14:textId="1A36403B"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0.25</w:t>
            </w:r>
          </w:p>
        </w:tc>
        <w:tc>
          <w:tcPr>
            <w:tcW w:w="2410" w:type="dxa"/>
            <w:tcBorders>
              <w:top w:val="nil"/>
              <w:bottom w:val="nil"/>
            </w:tcBorders>
          </w:tcPr>
          <w:p w14:paraId="0E8B536C" w14:textId="2E4AD8B3"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y</w:t>
            </w:r>
            <w:r w:rsidRPr="00D021F6">
              <w:rPr>
                <w:vertAlign w:val="superscript"/>
              </w:rPr>
              <w:t>-1</w:t>
            </w:r>
          </w:p>
        </w:tc>
      </w:tr>
      <w:tr w:rsidR="00503F9A" w:rsidRPr="00D021F6" w14:paraId="71192933"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15657B20" w14:textId="77777777" w:rsidR="00503F9A" w:rsidRPr="00583FAA" w:rsidRDefault="00503F9A" w:rsidP="009819E2">
            <w:pPr>
              <w:spacing w:line="276" w:lineRule="auto"/>
              <w:rPr>
                <w:b w:val="0"/>
                <w:lang w:val="en-GB"/>
              </w:rPr>
            </w:pPr>
            <w:r w:rsidRPr="00583FAA">
              <w:rPr>
                <w:b w:val="0"/>
                <w:lang w:val="en-GB"/>
              </w:rPr>
              <w:t>Maximum calving rate (good condition)</w:t>
            </w:r>
          </w:p>
        </w:tc>
        <w:tc>
          <w:tcPr>
            <w:tcW w:w="2835" w:type="dxa"/>
            <w:tcBorders>
              <w:top w:val="nil"/>
              <w:bottom w:val="nil"/>
            </w:tcBorders>
          </w:tcPr>
          <w:p w14:paraId="713149AC"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0.90</w:t>
            </w:r>
          </w:p>
        </w:tc>
        <w:tc>
          <w:tcPr>
            <w:tcW w:w="2410" w:type="dxa"/>
            <w:tcBorders>
              <w:top w:val="nil"/>
              <w:bottom w:val="nil"/>
            </w:tcBorders>
          </w:tcPr>
          <w:p w14:paraId="0AE43D87"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y</w:t>
            </w:r>
            <w:r w:rsidRPr="00D021F6">
              <w:rPr>
                <w:vertAlign w:val="superscript"/>
              </w:rPr>
              <w:t>-1</w:t>
            </w:r>
          </w:p>
        </w:tc>
      </w:tr>
      <w:tr w:rsidR="00503F9A" w:rsidRPr="00D021F6" w14:paraId="672CDBED"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519E28A7" w14:textId="77777777" w:rsidR="00503F9A" w:rsidRPr="00D021F6" w:rsidRDefault="00503F9A" w:rsidP="009819E2">
            <w:pPr>
              <w:spacing w:line="276" w:lineRule="auto"/>
              <w:rPr>
                <w:b w:val="0"/>
              </w:rPr>
            </w:pPr>
            <w:r w:rsidRPr="00D021F6">
              <w:rPr>
                <w:b w:val="0"/>
              </w:rPr>
              <w:t xml:space="preserve">Pregnancy length </w:t>
            </w:r>
          </w:p>
        </w:tc>
        <w:tc>
          <w:tcPr>
            <w:tcW w:w="2835" w:type="dxa"/>
            <w:tcBorders>
              <w:top w:val="nil"/>
              <w:bottom w:val="nil"/>
            </w:tcBorders>
          </w:tcPr>
          <w:p w14:paraId="3B8A67D5" w14:textId="17CA7663"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2</w:t>
            </w:r>
            <w:r w:rsidR="00DD1949" w:rsidRPr="00D021F6">
              <w:t>98</w:t>
            </w:r>
          </w:p>
        </w:tc>
        <w:tc>
          <w:tcPr>
            <w:tcW w:w="2410" w:type="dxa"/>
            <w:tcBorders>
              <w:top w:val="nil"/>
              <w:bottom w:val="nil"/>
            </w:tcBorders>
          </w:tcPr>
          <w:p w14:paraId="47BE3610" w14:textId="38E14B0B"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d</w:t>
            </w:r>
          </w:p>
        </w:tc>
      </w:tr>
      <w:tr w:rsidR="00503F9A" w:rsidRPr="00D021F6" w14:paraId="01101B8E"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3EFE0451" w14:textId="77777777" w:rsidR="00503F9A" w:rsidRPr="00D021F6" w:rsidRDefault="00503F9A" w:rsidP="009819E2">
            <w:pPr>
              <w:spacing w:line="276" w:lineRule="auto"/>
              <w:rPr>
                <w:b w:val="0"/>
              </w:rPr>
            </w:pPr>
            <w:r w:rsidRPr="00D021F6">
              <w:rPr>
                <w:b w:val="0"/>
              </w:rPr>
              <w:t xml:space="preserve">Postpartum length </w:t>
            </w:r>
          </w:p>
        </w:tc>
        <w:tc>
          <w:tcPr>
            <w:tcW w:w="2835" w:type="dxa"/>
            <w:tcBorders>
              <w:top w:val="nil"/>
              <w:bottom w:val="nil"/>
            </w:tcBorders>
          </w:tcPr>
          <w:p w14:paraId="31F85C83"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2</w:t>
            </w:r>
          </w:p>
        </w:tc>
        <w:tc>
          <w:tcPr>
            <w:tcW w:w="2410" w:type="dxa"/>
            <w:tcBorders>
              <w:top w:val="nil"/>
              <w:bottom w:val="nil"/>
            </w:tcBorders>
          </w:tcPr>
          <w:p w14:paraId="2001D333" w14:textId="0A0DBBB9"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mo</w:t>
            </w:r>
            <w:r w:rsidR="00006922">
              <w:t>nth</w:t>
            </w:r>
          </w:p>
        </w:tc>
      </w:tr>
      <w:tr w:rsidR="00503F9A" w:rsidRPr="00D021F6" w14:paraId="45B53951"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61FDC9C3" w14:textId="77777777" w:rsidR="00503F9A" w:rsidRPr="00D021F6" w:rsidRDefault="00503F9A" w:rsidP="009819E2">
            <w:pPr>
              <w:spacing w:line="276" w:lineRule="auto"/>
              <w:rPr>
                <w:b w:val="0"/>
              </w:rPr>
            </w:pPr>
            <w:r w:rsidRPr="00D021F6">
              <w:rPr>
                <w:b w:val="0"/>
              </w:rPr>
              <w:t>Milk fat (average)</w:t>
            </w:r>
          </w:p>
        </w:tc>
        <w:tc>
          <w:tcPr>
            <w:tcW w:w="2835" w:type="dxa"/>
            <w:tcBorders>
              <w:top w:val="nil"/>
              <w:bottom w:val="nil"/>
            </w:tcBorders>
          </w:tcPr>
          <w:p w14:paraId="60321A00" w14:textId="17156744"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34</w:t>
            </w:r>
          </w:p>
        </w:tc>
        <w:tc>
          <w:tcPr>
            <w:tcW w:w="2410" w:type="dxa"/>
            <w:tcBorders>
              <w:top w:val="nil"/>
              <w:bottom w:val="nil"/>
            </w:tcBorders>
          </w:tcPr>
          <w:p w14:paraId="7D1C6756" w14:textId="77777777"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g kg</w:t>
            </w:r>
            <w:r w:rsidRPr="00D021F6">
              <w:rPr>
                <w:vertAlign w:val="superscript"/>
              </w:rPr>
              <w:t>-1</w:t>
            </w:r>
          </w:p>
        </w:tc>
      </w:tr>
      <w:tr w:rsidR="00503F9A" w:rsidRPr="00D021F6" w14:paraId="694849E9"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5464A1A1" w14:textId="77777777" w:rsidR="00503F9A" w:rsidRPr="00D021F6" w:rsidRDefault="00503F9A" w:rsidP="009819E2">
            <w:pPr>
              <w:spacing w:line="276" w:lineRule="auto"/>
              <w:rPr>
                <w:b w:val="0"/>
              </w:rPr>
            </w:pPr>
            <w:r w:rsidRPr="00D021F6">
              <w:rPr>
                <w:b w:val="0"/>
              </w:rPr>
              <w:t>Milk crude protein (average)</w:t>
            </w:r>
          </w:p>
        </w:tc>
        <w:tc>
          <w:tcPr>
            <w:tcW w:w="2835" w:type="dxa"/>
            <w:tcBorders>
              <w:top w:val="nil"/>
              <w:bottom w:val="nil"/>
            </w:tcBorders>
          </w:tcPr>
          <w:p w14:paraId="33998916"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32.0</w:t>
            </w:r>
          </w:p>
        </w:tc>
        <w:tc>
          <w:tcPr>
            <w:tcW w:w="2410" w:type="dxa"/>
            <w:tcBorders>
              <w:top w:val="nil"/>
              <w:bottom w:val="nil"/>
            </w:tcBorders>
          </w:tcPr>
          <w:p w14:paraId="242CE48A"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g kg</w:t>
            </w:r>
            <w:r w:rsidRPr="00D021F6">
              <w:rPr>
                <w:vertAlign w:val="superscript"/>
              </w:rPr>
              <w:t>-1</w:t>
            </w:r>
          </w:p>
        </w:tc>
      </w:tr>
      <w:tr w:rsidR="00503F9A" w:rsidRPr="00D021F6" w14:paraId="479DD40E"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1548704D" w14:textId="77777777" w:rsidR="00503F9A" w:rsidRPr="00D021F6" w:rsidRDefault="00503F9A" w:rsidP="009819E2">
            <w:pPr>
              <w:spacing w:line="276" w:lineRule="auto"/>
              <w:rPr>
                <w:b w:val="0"/>
              </w:rPr>
            </w:pPr>
            <w:r w:rsidRPr="00D021F6">
              <w:rPr>
                <w:b w:val="0"/>
              </w:rPr>
              <w:t>Milk metabolisable energy (average)</w:t>
            </w:r>
          </w:p>
        </w:tc>
        <w:tc>
          <w:tcPr>
            <w:tcW w:w="2835" w:type="dxa"/>
            <w:tcBorders>
              <w:top w:val="nil"/>
              <w:bottom w:val="nil"/>
            </w:tcBorders>
          </w:tcPr>
          <w:p w14:paraId="1708E8BB" w14:textId="77777777"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19.4</w:t>
            </w:r>
          </w:p>
        </w:tc>
        <w:tc>
          <w:tcPr>
            <w:tcW w:w="2410" w:type="dxa"/>
            <w:tcBorders>
              <w:top w:val="nil"/>
              <w:bottom w:val="nil"/>
            </w:tcBorders>
          </w:tcPr>
          <w:p w14:paraId="4BD50E99" w14:textId="77777777"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MJ (kg DM)</w:t>
            </w:r>
            <w:r w:rsidRPr="00D021F6">
              <w:rPr>
                <w:vertAlign w:val="superscript"/>
              </w:rPr>
              <w:t>-1</w:t>
            </w:r>
          </w:p>
        </w:tc>
      </w:tr>
      <w:tr w:rsidR="00503F9A" w:rsidRPr="00D021F6" w14:paraId="63435EBE"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0CDCFA13" w14:textId="77777777" w:rsidR="00503F9A" w:rsidRPr="00D021F6" w:rsidRDefault="00503F9A" w:rsidP="009819E2">
            <w:pPr>
              <w:spacing w:line="276" w:lineRule="auto"/>
              <w:rPr>
                <w:b w:val="0"/>
              </w:rPr>
            </w:pPr>
            <w:r w:rsidRPr="00D021F6">
              <w:rPr>
                <w:b w:val="0"/>
              </w:rPr>
              <w:t xml:space="preserve">Dry period </w:t>
            </w:r>
          </w:p>
        </w:tc>
        <w:tc>
          <w:tcPr>
            <w:tcW w:w="2835" w:type="dxa"/>
            <w:tcBorders>
              <w:top w:val="nil"/>
              <w:bottom w:val="nil"/>
            </w:tcBorders>
          </w:tcPr>
          <w:p w14:paraId="14726E57"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2</w:t>
            </w:r>
          </w:p>
        </w:tc>
        <w:tc>
          <w:tcPr>
            <w:tcW w:w="2410" w:type="dxa"/>
            <w:tcBorders>
              <w:top w:val="nil"/>
              <w:bottom w:val="nil"/>
            </w:tcBorders>
          </w:tcPr>
          <w:p w14:paraId="04FFC55E" w14:textId="2D3A9012"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mo</w:t>
            </w:r>
            <w:r w:rsidR="00006922">
              <w:t>nth</w:t>
            </w:r>
          </w:p>
        </w:tc>
      </w:tr>
      <w:tr w:rsidR="00503F9A" w:rsidRPr="00D021F6" w14:paraId="5455F0B1"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2A9696B0" w14:textId="77777777" w:rsidR="00503F9A" w:rsidRPr="00D021F6" w:rsidRDefault="00503F9A" w:rsidP="009819E2">
            <w:pPr>
              <w:spacing w:line="276" w:lineRule="auto"/>
              <w:rPr>
                <w:b w:val="0"/>
              </w:rPr>
            </w:pPr>
            <w:r w:rsidRPr="00D021F6">
              <w:rPr>
                <w:b w:val="0"/>
              </w:rPr>
              <w:t xml:space="preserve">Maximum milk yield </w:t>
            </w:r>
          </w:p>
        </w:tc>
        <w:tc>
          <w:tcPr>
            <w:tcW w:w="2835" w:type="dxa"/>
            <w:tcBorders>
              <w:top w:val="nil"/>
              <w:bottom w:val="nil"/>
            </w:tcBorders>
          </w:tcPr>
          <w:p w14:paraId="6E1F947C" w14:textId="603B04B8"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4</w:t>
            </w:r>
            <w:r w:rsidR="00006922">
              <w:t>,</w:t>
            </w:r>
            <w:r w:rsidRPr="00D021F6">
              <w:t>450</w:t>
            </w:r>
          </w:p>
        </w:tc>
        <w:tc>
          <w:tcPr>
            <w:tcW w:w="2410" w:type="dxa"/>
            <w:tcBorders>
              <w:top w:val="nil"/>
              <w:bottom w:val="nil"/>
            </w:tcBorders>
          </w:tcPr>
          <w:p w14:paraId="4C903BE0" w14:textId="77777777"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kg lactation</w:t>
            </w:r>
            <w:r w:rsidRPr="00D021F6">
              <w:rPr>
                <w:vertAlign w:val="superscript"/>
              </w:rPr>
              <w:t>-1</w:t>
            </w:r>
          </w:p>
        </w:tc>
      </w:tr>
      <w:tr w:rsidR="00503F9A" w:rsidRPr="00D021F6" w14:paraId="5416D92B" w14:textId="77777777" w:rsidTr="00B64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tcPr>
          <w:p w14:paraId="7FFF9ADA" w14:textId="77777777" w:rsidR="00503F9A" w:rsidRPr="00583FAA" w:rsidRDefault="00503F9A" w:rsidP="009819E2">
            <w:pPr>
              <w:spacing w:line="276" w:lineRule="auto"/>
              <w:rPr>
                <w:b w:val="0"/>
                <w:lang w:val="en-GB"/>
              </w:rPr>
            </w:pPr>
            <w:r w:rsidRPr="00583FAA">
              <w:rPr>
                <w:b w:val="0"/>
                <w:lang w:val="en-GB"/>
              </w:rPr>
              <w:t>Daily average of maximum milk yield</w:t>
            </w:r>
          </w:p>
        </w:tc>
        <w:tc>
          <w:tcPr>
            <w:tcW w:w="2835" w:type="dxa"/>
            <w:tcBorders>
              <w:top w:val="nil"/>
              <w:bottom w:val="nil"/>
            </w:tcBorders>
          </w:tcPr>
          <w:p w14:paraId="0BE49443"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14.6</w:t>
            </w:r>
          </w:p>
        </w:tc>
        <w:tc>
          <w:tcPr>
            <w:tcW w:w="2410" w:type="dxa"/>
            <w:tcBorders>
              <w:top w:val="nil"/>
              <w:bottom w:val="nil"/>
            </w:tcBorders>
          </w:tcPr>
          <w:p w14:paraId="5B187394" w14:textId="77777777" w:rsidR="00503F9A" w:rsidRPr="00D021F6" w:rsidRDefault="00503F9A" w:rsidP="009819E2">
            <w:pPr>
              <w:spacing w:line="276" w:lineRule="auto"/>
              <w:jc w:val="center"/>
              <w:cnfStyle w:val="000000100000" w:firstRow="0" w:lastRow="0" w:firstColumn="0" w:lastColumn="0" w:oddVBand="0" w:evenVBand="0" w:oddHBand="1" w:evenHBand="0" w:firstRowFirstColumn="0" w:firstRowLastColumn="0" w:lastRowFirstColumn="0" w:lastRowLastColumn="0"/>
            </w:pPr>
            <w:r w:rsidRPr="00D021F6">
              <w:t>kg d</w:t>
            </w:r>
            <w:r w:rsidRPr="00D021F6">
              <w:rPr>
                <w:vertAlign w:val="superscript"/>
              </w:rPr>
              <w:t>-1</w:t>
            </w:r>
          </w:p>
        </w:tc>
      </w:tr>
      <w:tr w:rsidR="00503F9A" w:rsidRPr="00D021F6" w14:paraId="4389F745" w14:textId="77777777" w:rsidTr="00B64518">
        <w:tc>
          <w:tcPr>
            <w:cnfStyle w:val="001000000000" w:firstRow="0" w:lastRow="0" w:firstColumn="1" w:lastColumn="0" w:oddVBand="0" w:evenVBand="0" w:oddHBand="0" w:evenHBand="0" w:firstRowFirstColumn="0" w:firstRowLastColumn="0" w:lastRowFirstColumn="0" w:lastRowLastColumn="0"/>
            <w:tcW w:w="4111" w:type="dxa"/>
            <w:tcBorders>
              <w:top w:val="nil"/>
            </w:tcBorders>
          </w:tcPr>
          <w:p w14:paraId="0B962FC0" w14:textId="77777777" w:rsidR="00503F9A" w:rsidRPr="00D021F6" w:rsidRDefault="00503F9A" w:rsidP="009819E2">
            <w:pPr>
              <w:spacing w:line="276" w:lineRule="auto"/>
              <w:rPr>
                <w:b w:val="0"/>
              </w:rPr>
            </w:pPr>
            <w:r w:rsidRPr="00D021F6">
              <w:rPr>
                <w:b w:val="0"/>
              </w:rPr>
              <w:t xml:space="preserve">Lactation length </w:t>
            </w:r>
          </w:p>
        </w:tc>
        <w:tc>
          <w:tcPr>
            <w:tcW w:w="2835" w:type="dxa"/>
            <w:tcBorders>
              <w:top w:val="nil"/>
            </w:tcBorders>
          </w:tcPr>
          <w:p w14:paraId="1BB28629" w14:textId="77777777"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10</w:t>
            </w:r>
          </w:p>
        </w:tc>
        <w:tc>
          <w:tcPr>
            <w:tcW w:w="2410" w:type="dxa"/>
            <w:tcBorders>
              <w:top w:val="nil"/>
            </w:tcBorders>
          </w:tcPr>
          <w:p w14:paraId="2AD18938" w14:textId="6D3A8954" w:rsidR="00503F9A" w:rsidRPr="00D021F6" w:rsidRDefault="00503F9A" w:rsidP="009819E2">
            <w:pPr>
              <w:spacing w:line="276" w:lineRule="auto"/>
              <w:jc w:val="center"/>
              <w:cnfStyle w:val="000000000000" w:firstRow="0" w:lastRow="0" w:firstColumn="0" w:lastColumn="0" w:oddVBand="0" w:evenVBand="0" w:oddHBand="0" w:evenHBand="0" w:firstRowFirstColumn="0" w:firstRowLastColumn="0" w:lastRowFirstColumn="0" w:lastRowLastColumn="0"/>
            </w:pPr>
            <w:r w:rsidRPr="00D021F6">
              <w:t>mo</w:t>
            </w:r>
            <w:r w:rsidR="00006922">
              <w:t>nth</w:t>
            </w:r>
          </w:p>
        </w:tc>
      </w:tr>
    </w:tbl>
    <w:p w14:paraId="7EF5E416" w14:textId="77777777" w:rsidR="00B64518" w:rsidRDefault="00B64518" w:rsidP="004A2988">
      <w:pPr>
        <w:spacing w:after="0" w:line="360" w:lineRule="auto"/>
        <w:rPr>
          <w:b/>
        </w:rPr>
      </w:pPr>
    </w:p>
    <w:p w14:paraId="57863ECD" w14:textId="21BD8722" w:rsidR="005841F1" w:rsidRPr="005841F1" w:rsidRDefault="005841F1" w:rsidP="004A2988">
      <w:pPr>
        <w:spacing w:after="0" w:line="360" w:lineRule="auto"/>
        <w:rPr>
          <w:b/>
        </w:rPr>
      </w:pPr>
      <w:r w:rsidRPr="005841F1">
        <w:rPr>
          <w:b/>
        </w:rPr>
        <w:lastRenderedPageBreak/>
        <w:t xml:space="preserve">1.2 </w:t>
      </w:r>
      <w:r w:rsidR="00E90912">
        <w:rPr>
          <w:b/>
        </w:rPr>
        <w:t>GHG emission sources</w:t>
      </w:r>
    </w:p>
    <w:p w14:paraId="54241670" w14:textId="02809F4B" w:rsidR="009425DD" w:rsidRPr="00583FAA" w:rsidRDefault="00B627CE" w:rsidP="00296641">
      <w:pPr>
        <w:spacing w:after="0" w:line="360" w:lineRule="auto"/>
        <w:jc w:val="both"/>
        <w:rPr>
          <w:lang w:val="en-GB"/>
        </w:rPr>
      </w:pPr>
      <w:r w:rsidRPr="00583FAA">
        <w:rPr>
          <w:lang w:val="en-GB"/>
        </w:rPr>
        <w:t xml:space="preserve">The </w:t>
      </w:r>
      <w:r w:rsidR="005841F1" w:rsidRPr="00583FAA">
        <w:rPr>
          <w:lang w:val="en-GB"/>
        </w:rPr>
        <w:t xml:space="preserve">GHG emission module of LivSim </w:t>
      </w:r>
      <w:r w:rsidR="00964A8D" w:rsidRPr="00583FAA">
        <w:rPr>
          <w:lang w:val="en-GB"/>
        </w:rPr>
        <w:t>computes</w:t>
      </w:r>
      <w:r w:rsidR="005841F1" w:rsidRPr="00583FAA">
        <w:rPr>
          <w:lang w:val="en-GB"/>
        </w:rPr>
        <w:t xml:space="preserve"> </w:t>
      </w:r>
      <w:r w:rsidR="007E2EAC" w:rsidRPr="00583FAA">
        <w:rPr>
          <w:lang w:val="en-GB"/>
        </w:rPr>
        <w:t xml:space="preserve">the </w:t>
      </w:r>
      <w:r w:rsidR="005841F1" w:rsidRPr="00583FAA">
        <w:rPr>
          <w:lang w:val="en-GB"/>
        </w:rPr>
        <w:t xml:space="preserve">emissions </w:t>
      </w:r>
      <w:r w:rsidR="007E2EAC" w:rsidRPr="00583FAA">
        <w:rPr>
          <w:lang w:val="en-GB"/>
        </w:rPr>
        <w:t>from</w:t>
      </w:r>
      <w:r w:rsidR="00964A8D" w:rsidRPr="00583FAA">
        <w:rPr>
          <w:lang w:val="en-GB"/>
        </w:rPr>
        <w:t xml:space="preserve"> </w:t>
      </w:r>
      <w:r w:rsidR="00E90912" w:rsidRPr="00583FAA">
        <w:rPr>
          <w:lang w:val="en-GB"/>
        </w:rPr>
        <w:t xml:space="preserve">smallholder </w:t>
      </w:r>
      <w:r w:rsidR="00964A8D" w:rsidRPr="00583FAA">
        <w:rPr>
          <w:lang w:val="en-GB"/>
        </w:rPr>
        <w:t xml:space="preserve">dairy production during </w:t>
      </w:r>
      <w:r w:rsidRPr="00583FAA">
        <w:rPr>
          <w:lang w:val="en-GB"/>
        </w:rPr>
        <w:t xml:space="preserve">the </w:t>
      </w:r>
      <w:r w:rsidR="00964A8D" w:rsidRPr="00583FAA">
        <w:rPr>
          <w:lang w:val="en-GB"/>
        </w:rPr>
        <w:t xml:space="preserve">simulations, including: </w:t>
      </w:r>
      <w:r w:rsidR="005841F1" w:rsidRPr="00583FAA">
        <w:rPr>
          <w:lang w:val="en-GB"/>
        </w:rPr>
        <w:t>CH</w:t>
      </w:r>
      <w:r w:rsidR="005841F1" w:rsidRPr="00583FAA">
        <w:rPr>
          <w:vertAlign w:val="subscript"/>
          <w:lang w:val="en-GB"/>
        </w:rPr>
        <w:t>4</w:t>
      </w:r>
      <w:r w:rsidR="005841F1" w:rsidRPr="00583FAA">
        <w:rPr>
          <w:lang w:val="en-GB"/>
        </w:rPr>
        <w:t xml:space="preserve"> emissions from enteric fermentation, CH</w:t>
      </w:r>
      <w:r w:rsidR="005841F1" w:rsidRPr="00583FAA">
        <w:rPr>
          <w:vertAlign w:val="subscript"/>
          <w:lang w:val="en-GB"/>
        </w:rPr>
        <w:t>4</w:t>
      </w:r>
      <w:r w:rsidR="005841F1" w:rsidRPr="00583FAA">
        <w:rPr>
          <w:lang w:val="en-GB"/>
        </w:rPr>
        <w:t xml:space="preserve"> emissions from manure management, direct and indirect N</w:t>
      </w:r>
      <w:r w:rsidR="005841F1" w:rsidRPr="00583FAA">
        <w:rPr>
          <w:vertAlign w:val="subscript"/>
          <w:lang w:val="en-GB"/>
        </w:rPr>
        <w:t>2</w:t>
      </w:r>
      <w:r w:rsidR="005841F1" w:rsidRPr="00583FAA">
        <w:rPr>
          <w:lang w:val="en-GB"/>
        </w:rPr>
        <w:t>O emissions from manure management, direct and indirect N</w:t>
      </w:r>
      <w:r w:rsidR="005841F1" w:rsidRPr="00583FAA">
        <w:rPr>
          <w:vertAlign w:val="subscript"/>
          <w:lang w:val="en-GB"/>
        </w:rPr>
        <w:t>2</w:t>
      </w:r>
      <w:r w:rsidR="005841F1" w:rsidRPr="00583FAA">
        <w:rPr>
          <w:lang w:val="en-GB"/>
        </w:rPr>
        <w:t>O emissions from managed soils, and N</w:t>
      </w:r>
      <w:r w:rsidR="005841F1" w:rsidRPr="00583FAA">
        <w:rPr>
          <w:vertAlign w:val="subscript"/>
          <w:lang w:val="en-GB"/>
        </w:rPr>
        <w:t>2</w:t>
      </w:r>
      <w:r w:rsidR="005841F1" w:rsidRPr="00583FAA">
        <w:rPr>
          <w:lang w:val="en-GB"/>
        </w:rPr>
        <w:t>O and carbon dioxide (CO</w:t>
      </w:r>
      <w:r w:rsidR="005841F1" w:rsidRPr="00583FAA">
        <w:rPr>
          <w:vertAlign w:val="subscript"/>
          <w:lang w:val="en-GB"/>
        </w:rPr>
        <w:t>2</w:t>
      </w:r>
      <w:r w:rsidR="005841F1" w:rsidRPr="00583FAA">
        <w:rPr>
          <w:lang w:val="en-GB"/>
        </w:rPr>
        <w:t xml:space="preserve">) emissions from LUC </w:t>
      </w:r>
      <w:r w:rsidR="00964A8D" w:rsidRPr="00583FAA">
        <w:rPr>
          <w:lang w:val="en-GB"/>
        </w:rPr>
        <w:t>resulting from the conversion of</w:t>
      </w:r>
      <w:r w:rsidR="005841F1" w:rsidRPr="00583FAA">
        <w:rPr>
          <w:lang w:val="en-GB"/>
        </w:rPr>
        <w:t xml:space="preserve"> grazing land to cropland</w:t>
      </w:r>
      <w:r w:rsidR="00964A8D" w:rsidRPr="00583FAA">
        <w:rPr>
          <w:lang w:val="en-GB"/>
        </w:rPr>
        <w:t xml:space="preserve"> used for </w:t>
      </w:r>
      <w:r w:rsidR="004A2988" w:rsidRPr="00583FAA">
        <w:rPr>
          <w:lang w:val="en-GB"/>
        </w:rPr>
        <w:t xml:space="preserve">the </w:t>
      </w:r>
      <w:r w:rsidR="00964A8D" w:rsidRPr="00583FAA">
        <w:rPr>
          <w:lang w:val="en-GB"/>
        </w:rPr>
        <w:t xml:space="preserve">cultivation </w:t>
      </w:r>
      <w:r w:rsidR="004A2988" w:rsidRPr="00583FAA">
        <w:rPr>
          <w:lang w:val="en-GB"/>
        </w:rPr>
        <w:t>of maize for silage and Napier grass (</w:t>
      </w:r>
      <w:r w:rsidR="004A2988" w:rsidRPr="00583FAA">
        <w:rPr>
          <w:i/>
          <w:lang w:val="en-GB"/>
        </w:rPr>
        <w:t>Pennisetum purpureum</w:t>
      </w:r>
      <w:r w:rsidR="004A2988" w:rsidRPr="00583FAA">
        <w:rPr>
          <w:lang w:val="en-GB"/>
        </w:rPr>
        <w:t xml:space="preserve">) </w:t>
      </w:r>
      <w:r w:rsidR="005841F1" w:rsidRPr="00583FAA">
        <w:rPr>
          <w:lang w:val="en-GB"/>
        </w:rPr>
        <w:t>(Brandt et al., 2018)</w:t>
      </w:r>
      <w:r w:rsidR="00FE37B7" w:rsidRPr="00583FAA">
        <w:rPr>
          <w:lang w:val="en-GB"/>
        </w:rPr>
        <w:t xml:space="preserve">. </w:t>
      </w:r>
      <w:r w:rsidRPr="00583FAA">
        <w:rPr>
          <w:lang w:val="en-GB"/>
        </w:rPr>
        <w:t xml:space="preserve">The approach to calculate GHG emissions and emission parameters </w:t>
      </w:r>
      <w:r w:rsidR="00FE37B7" w:rsidRPr="00583FAA">
        <w:rPr>
          <w:lang w:val="en-GB"/>
        </w:rPr>
        <w:t>follow</w:t>
      </w:r>
      <w:r w:rsidR="004A2988" w:rsidRPr="00583FAA">
        <w:rPr>
          <w:lang w:val="en-GB"/>
        </w:rPr>
        <w:t>s</w:t>
      </w:r>
      <w:r w:rsidR="00FE37B7" w:rsidRPr="00583FAA">
        <w:rPr>
          <w:lang w:val="en-GB"/>
        </w:rPr>
        <w:t xml:space="preserve"> </w:t>
      </w:r>
      <w:r w:rsidRPr="00583FAA">
        <w:rPr>
          <w:lang w:val="en-GB"/>
        </w:rPr>
        <w:t xml:space="preserve">the </w:t>
      </w:r>
      <w:r w:rsidR="00FE37B7" w:rsidRPr="00583FAA">
        <w:rPr>
          <w:lang w:val="en-GB"/>
        </w:rPr>
        <w:t>tier 2 methodology of IPCC (2006)</w:t>
      </w:r>
      <w:r w:rsidR="00467DAA" w:rsidRPr="00583FAA">
        <w:rPr>
          <w:lang w:val="en-GB"/>
        </w:rPr>
        <w:t>, including additional data</w:t>
      </w:r>
      <w:r w:rsidR="00BB1300" w:rsidRPr="00583FAA">
        <w:rPr>
          <w:lang w:val="en-GB"/>
        </w:rPr>
        <w:t xml:space="preserve"> </w:t>
      </w:r>
      <w:r w:rsidR="004A2988" w:rsidRPr="00583FAA">
        <w:rPr>
          <w:lang w:val="en-GB"/>
        </w:rPr>
        <w:t>appropriate for the</w:t>
      </w:r>
      <w:r w:rsidR="00467DAA" w:rsidRPr="00583FAA">
        <w:rPr>
          <w:lang w:val="en-GB"/>
        </w:rPr>
        <w:t xml:space="preserve"> regional context of the analysis</w:t>
      </w:r>
      <w:r w:rsidR="00825CA5" w:rsidRPr="00583FAA">
        <w:rPr>
          <w:lang w:val="en-GB"/>
        </w:rPr>
        <w:t xml:space="preserve"> (T</w:t>
      </w:r>
      <w:r w:rsidR="00467DAA" w:rsidRPr="00583FAA">
        <w:rPr>
          <w:lang w:val="en-GB"/>
        </w:rPr>
        <w:t>able S</w:t>
      </w:r>
      <w:r w:rsidR="00336F16" w:rsidRPr="00583FAA">
        <w:rPr>
          <w:lang w:val="en-GB"/>
        </w:rPr>
        <w:t>2</w:t>
      </w:r>
      <w:r w:rsidR="00467DAA" w:rsidRPr="00583FAA">
        <w:rPr>
          <w:lang w:val="en-GB"/>
        </w:rPr>
        <w:t>).</w:t>
      </w:r>
      <w:r w:rsidR="00E90912" w:rsidRPr="00583FAA">
        <w:rPr>
          <w:lang w:val="en-GB"/>
        </w:rPr>
        <w:t xml:space="preserve"> </w:t>
      </w:r>
      <w:r w:rsidR="005853A8" w:rsidRPr="00583FAA">
        <w:rPr>
          <w:lang w:val="en-GB"/>
        </w:rPr>
        <w:t xml:space="preserve">A classification of livestock production systems (LPS, </w:t>
      </w:r>
      <w:r w:rsidR="00746548" w:rsidRPr="00583FAA">
        <w:rPr>
          <w:lang w:val="en-GB"/>
        </w:rPr>
        <w:t>Robinson et al., 2011</w:t>
      </w:r>
      <w:r w:rsidR="005853A8" w:rsidRPr="00583FAA">
        <w:rPr>
          <w:lang w:val="en-GB"/>
        </w:rPr>
        <w:t xml:space="preserve">) was used to capture differences in agro-climatic conditions </w:t>
      </w:r>
      <w:r w:rsidR="00B72538" w:rsidRPr="00583FAA">
        <w:rPr>
          <w:lang w:val="en-GB"/>
        </w:rPr>
        <w:t xml:space="preserve">prevalent </w:t>
      </w:r>
      <w:r w:rsidR="005853A8" w:rsidRPr="00583FAA">
        <w:rPr>
          <w:lang w:val="en-GB"/>
        </w:rPr>
        <w:t>across the dairy region in Kenya</w:t>
      </w:r>
      <w:r w:rsidR="00B72538" w:rsidRPr="00583FAA">
        <w:rPr>
          <w:lang w:val="en-GB"/>
        </w:rPr>
        <w:t>, which translate</w:t>
      </w:r>
      <w:r w:rsidR="005853A8" w:rsidRPr="00583FAA">
        <w:rPr>
          <w:lang w:val="en-GB"/>
        </w:rPr>
        <w:t xml:space="preserve"> into </w:t>
      </w:r>
      <w:r w:rsidR="001D6FDC" w:rsidRPr="00583FAA">
        <w:rPr>
          <w:lang w:val="en-GB"/>
        </w:rPr>
        <w:t>variations of</w:t>
      </w:r>
      <w:r w:rsidR="00B72538" w:rsidRPr="00583FAA">
        <w:rPr>
          <w:lang w:val="en-GB"/>
        </w:rPr>
        <w:t xml:space="preserve"> feed quality and productivity, and lead</w:t>
      </w:r>
      <w:r w:rsidR="005853A8" w:rsidRPr="00583FAA">
        <w:rPr>
          <w:lang w:val="en-GB"/>
        </w:rPr>
        <w:t xml:space="preserve"> to differences in milk yields and GHG emissions.</w:t>
      </w:r>
      <w:r w:rsidR="00AC1BB1" w:rsidRPr="00583FAA">
        <w:rPr>
          <w:lang w:val="en-GB"/>
        </w:rPr>
        <w:t xml:space="preserve"> Computed CH</w:t>
      </w:r>
      <w:r w:rsidR="00AC1BB1" w:rsidRPr="00583FAA">
        <w:rPr>
          <w:vertAlign w:val="subscript"/>
          <w:lang w:val="en-GB"/>
        </w:rPr>
        <w:t>4</w:t>
      </w:r>
      <w:r w:rsidR="00AC1BB1" w:rsidRPr="00583FAA">
        <w:rPr>
          <w:lang w:val="en-GB"/>
        </w:rPr>
        <w:t xml:space="preserve"> and N</w:t>
      </w:r>
      <w:r w:rsidR="00AC1BB1" w:rsidRPr="00583FAA">
        <w:rPr>
          <w:vertAlign w:val="subscript"/>
          <w:lang w:val="en-GB"/>
        </w:rPr>
        <w:t>2</w:t>
      </w:r>
      <w:r w:rsidR="00AC1BB1" w:rsidRPr="00583FAA">
        <w:rPr>
          <w:lang w:val="en-GB"/>
        </w:rPr>
        <w:t xml:space="preserve">O </w:t>
      </w:r>
      <w:r w:rsidR="005D0886" w:rsidRPr="00583FAA">
        <w:rPr>
          <w:lang w:val="en-GB"/>
        </w:rPr>
        <w:t xml:space="preserve">emissions </w:t>
      </w:r>
      <w:r w:rsidR="00AC1BB1" w:rsidRPr="00583FAA">
        <w:rPr>
          <w:lang w:val="en-GB"/>
        </w:rPr>
        <w:t>were converted into CO</w:t>
      </w:r>
      <w:r w:rsidR="00AC1BB1" w:rsidRPr="00583FAA">
        <w:rPr>
          <w:vertAlign w:val="subscript"/>
          <w:lang w:val="en-GB"/>
        </w:rPr>
        <w:t>2</w:t>
      </w:r>
      <w:r w:rsidR="00AC1BB1" w:rsidRPr="00583FAA">
        <w:rPr>
          <w:lang w:val="en-GB"/>
        </w:rPr>
        <w:t>eq</w:t>
      </w:r>
      <w:r w:rsidR="00150A7D" w:rsidRPr="00583FAA">
        <w:rPr>
          <w:lang w:val="en-GB"/>
        </w:rPr>
        <w:t>,</w:t>
      </w:r>
      <w:r w:rsidR="00AC1BB1" w:rsidRPr="00583FAA">
        <w:rPr>
          <w:lang w:val="en-GB"/>
        </w:rPr>
        <w:t xml:space="preserve"> based on global warming potentials from the 5</w:t>
      </w:r>
      <w:r w:rsidR="00AC1BB1" w:rsidRPr="00583FAA">
        <w:rPr>
          <w:vertAlign w:val="superscript"/>
          <w:lang w:val="en-GB"/>
        </w:rPr>
        <w:t>th</w:t>
      </w:r>
      <w:r w:rsidR="00AC1BB1" w:rsidRPr="00583FAA">
        <w:rPr>
          <w:lang w:val="en-GB"/>
        </w:rPr>
        <w:t xml:space="preserve"> assessment report of the ‘</w:t>
      </w:r>
      <w:r w:rsidR="00150A7D" w:rsidRPr="00583FAA">
        <w:rPr>
          <w:lang w:val="en-GB"/>
        </w:rPr>
        <w:t>Intergovernmental Panel on C</w:t>
      </w:r>
      <w:r w:rsidR="00AC1BB1" w:rsidRPr="00583FAA">
        <w:rPr>
          <w:lang w:val="en-GB"/>
        </w:rPr>
        <w:t xml:space="preserve">limate </w:t>
      </w:r>
      <w:r w:rsidR="00150A7D" w:rsidRPr="00583FAA">
        <w:rPr>
          <w:lang w:val="en-GB"/>
        </w:rPr>
        <w:t>C</w:t>
      </w:r>
      <w:r w:rsidR="00AC1BB1" w:rsidRPr="00583FAA">
        <w:rPr>
          <w:lang w:val="en-GB"/>
        </w:rPr>
        <w:t xml:space="preserve">hange’ (IPCC, 2014). GHG emissions were calculated as total GHG emissions and emission intensities. Intensities are reported on product </w:t>
      </w:r>
      <w:r w:rsidR="00F36607" w:rsidRPr="00583FAA">
        <w:rPr>
          <w:lang w:val="en-GB"/>
        </w:rPr>
        <w:t xml:space="preserve">(fresh milk) </w:t>
      </w:r>
      <w:r w:rsidR="00AC1BB1" w:rsidRPr="00583FAA">
        <w:rPr>
          <w:lang w:val="en-GB"/>
        </w:rPr>
        <w:t>basis and converted into kg CO</w:t>
      </w:r>
      <w:r w:rsidR="00AC1BB1" w:rsidRPr="00583FAA">
        <w:rPr>
          <w:vertAlign w:val="subscript"/>
          <w:lang w:val="en-GB"/>
        </w:rPr>
        <w:t>2</w:t>
      </w:r>
      <w:r w:rsidR="00AC1BB1" w:rsidRPr="00583FAA">
        <w:rPr>
          <w:lang w:val="en-GB"/>
        </w:rPr>
        <w:t>eq per kg fat and protein corrected milk (FPCM).</w:t>
      </w:r>
    </w:p>
    <w:p w14:paraId="4E7A5DA2" w14:textId="77777777" w:rsidR="004A2988" w:rsidRPr="00583FAA" w:rsidRDefault="004A2988" w:rsidP="004A2988">
      <w:pPr>
        <w:spacing w:after="0" w:line="276" w:lineRule="auto"/>
        <w:jc w:val="both"/>
        <w:rPr>
          <w:lang w:val="en-GB"/>
        </w:rPr>
      </w:pPr>
    </w:p>
    <w:p w14:paraId="077DA9F9" w14:textId="1B6BB500" w:rsidR="009425DD" w:rsidRDefault="009425DD" w:rsidP="004D41F1">
      <w:pPr>
        <w:pStyle w:val="Caption"/>
        <w:keepNext/>
        <w:spacing w:after="100" w:afterAutospacing="1" w:line="276" w:lineRule="auto"/>
        <w:jc w:val="both"/>
      </w:pPr>
      <w:r w:rsidRPr="00583FAA">
        <w:rPr>
          <w:lang w:val="en-GB"/>
        </w:rPr>
        <w:t>Table S</w:t>
      </w:r>
      <w:r w:rsidR="00336F16" w:rsidRPr="00583FAA">
        <w:rPr>
          <w:lang w:val="en-GB"/>
        </w:rPr>
        <w:t>2</w:t>
      </w:r>
      <w:r w:rsidRPr="00583FAA">
        <w:rPr>
          <w:lang w:val="en-GB"/>
        </w:rPr>
        <w:t>: De</w:t>
      </w:r>
      <w:r w:rsidR="005D0886" w:rsidRPr="00583FAA">
        <w:rPr>
          <w:lang w:val="en-GB"/>
        </w:rPr>
        <w:t xml:space="preserve">scriptions of parameters, </w:t>
      </w:r>
      <w:r w:rsidRPr="00583FAA">
        <w:rPr>
          <w:lang w:val="en-GB"/>
        </w:rPr>
        <w:t>value</w:t>
      </w:r>
      <w:r w:rsidR="000E709F" w:rsidRPr="00583FAA">
        <w:rPr>
          <w:lang w:val="en-GB"/>
        </w:rPr>
        <w:t xml:space="preserve">s and uncertainty ranges (min, </w:t>
      </w:r>
      <w:r w:rsidRPr="00583FAA">
        <w:rPr>
          <w:lang w:val="en-GB"/>
        </w:rPr>
        <w:t>max), used to compute CH</w:t>
      </w:r>
      <w:r w:rsidRPr="00583FAA">
        <w:rPr>
          <w:vertAlign w:val="subscript"/>
          <w:lang w:val="en-GB"/>
        </w:rPr>
        <w:t>4</w:t>
      </w:r>
      <w:r w:rsidRPr="00583FAA">
        <w:rPr>
          <w:lang w:val="en-GB"/>
        </w:rPr>
        <w:t>, N</w:t>
      </w:r>
      <w:r w:rsidRPr="00583FAA">
        <w:rPr>
          <w:vertAlign w:val="subscript"/>
          <w:lang w:val="en-GB"/>
        </w:rPr>
        <w:t>2</w:t>
      </w:r>
      <w:r w:rsidRPr="00583FAA">
        <w:rPr>
          <w:lang w:val="en-GB"/>
        </w:rPr>
        <w:t>O and CO</w:t>
      </w:r>
      <w:r w:rsidRPr="00583FAA">
        <w:rPr>
          <w:vertAlign w:val="subscript"/>
          <w:lang w:val="en-GB"/>
        </w:rPr>
        <w:t>2</w:t>
      </w:r>
      <w:r w:rsidRPr="00583FAA">
        <w:rPr>
          <w:lang w:val="en-GB"/>
        </w:rPr>
        <w:t xml:space="preserve"> emissions from enteric fermentation (EF), manure management (MM), managed soils (MS), including land use changes, and dairy concentrate supplementation. </w:t>
      </w:r>
      <w:r w:rsidR="00845BCD" w:rsidRPr="00583FAA">
        <w:rPr>
          <w:lang w:val="en-GB"/>
        </w:rPr>
        <w:t xml:space="preserve">Abbreviations of livestock production systems (LPS) are: mixed rainfed system in arid areas (MRA), mixed rainfed system in humid areas (MRH), mixed rainfed system in tropical highlands (MRT), mixed irrigated system in arid areas (MIA), mixed irrigated system in humid areas (MIH) and the mixed irrigated system in tropical highlands (MIT). </w:t>
      </w:r>
      <w:r w:rsidR="00AB714C" w:rsidRPr="00583FAA">
        <w:rPr>
          <w:lang w:val="en-GB"/>
        </w:rPr>
        <w:t xml:space="preserve">This table </w:t>
      </w:r>
      <w:r w:rsidR="00F36607" w:rsidRPr="00583FAA">
        <w:rPr>
          <w:lang w:val="en-GB"/>
        </w:rPr>
        <w:t xml:space="preserve">was </w:t>
      </w:r>
      <w:r w:rsidR="00AB714C" w:rsidRPr="00583FAA">
        <w:rPr>
          <w:lang w:val="en-GB"/>
        </w:rPr>
        <w:t>adapted from SI T</w:t>
      </w:r>
      <w:r w:rsidR="00845BCD" w:rsidRPr="00583FAA">
        <w:rPr>
          <w:lang w:val="en-GB"/>
        </w:rPr>
        <w:t xml:space="preserve">able S1 in </w:t>
      </w:r>
      <w:r w:rsidR="00F81421" w:rsidRPr="00583FAA">
        <w:rPr>
          <w:lang w:val="en-GB"/>
        </w:rPr>
        <w:t xml:space="preserve">Brandt et al. </w:t>
      </w:r>
      <w:r w:rsidR="00F81421">
        <w:t>(2018</w:t>
      </w:r>
      <w:r w:rsidR="00AB714C">
        <w:t>).</w:t>
      </w:r>
    </w:p>
    <w:tbl>
      <w:tblPr>
        <w:tblW w:w="9337" w:type="dxa"/>
        <w:tblBorders>
          <w:top w:val="single" w:sz="4" w:space="0" w:color="auto"/>
          <w:bottom w:val="single" w:sz="4" w:space="0" w:color="auto"/>
          <w:insideH w:val="single" w:sz="4" w:space="0" w:color="auto"/>
        </w:tblBorders>
        <w:tblCellMar>
          <w:top w:w="28" w:type="dxa"/>
          <w:left w:w="70" w:type="dxa"/>
          <w:bottom w:w="28" w:type="dxa"/>
          <w:right w:w="70" w:type="dxa"/>
        </w:tblCellMar>
        <w:tblLook w:val="04A0" w:firstRow="1" w:lastRow="0" w:firstColumn="1" w:lastColumn="0" w:noHBand="0" w:noVBand="1"/>
      </w:tblPr>
      <w:tblGrid>
        <w:gridCol w:w="2835"/>
        <w:gridCol w:w="1134"/>
        <w:gridCol w:w="3402"/>
        <w:gridCol w:w="1966"/>
      </w:tblGrid>
      <w:tr w:rsidR="009425DD" w:rsidRPr="005355A7" w14:paraId="01EA0E17" w14:textId="77777777" w:rsidTr="00B64518">
        <w:trPr>
          <w:trHeight w:val="300"/>
        </w:trPr>
        <w:tc>
          <w:tcPr>
            <w:tcW w:w="2835" w:type="dxa"/>
            <w:shd w:val="clear" w:color="auto" w:fill="auto"/>
            <w:noWrap/>
          </w:tcPr>
          <w:p w14:paraId="7AEE5C6B" w14:textId="754F1B99" w:rsidR="009425DD" w:rsidRPr="00DF3317" w:rsidRDefault="009425DD" w:rsidP="00DF3317">
            <w:pPr>
              <w:tabs>
                <w:tab w:val="left" w:pos="401"/>
                <w:tab w:val="center" w:pos="1487"/>
              </w:tabs>
              <w:spacing w:after="0" w:line="240" w:lineRule="auto"/>
              <w:jc w:val="both"/>
              <w:rPr>
                <w:rFonts w:eastAsia="Times New Roman"/>
                <w:color w:val="000000"/>
                <w:sz w:val="20"/>
                <w:szCs w:val="20"/>
                <w:lang w:eastAsia="de-DE"/>
              </w:rPr>
            </w:pPr>
            <w:bookmarkStart w:id="1" w:name="OLE_LINK20"/>
            <w:r w:rsidRPr="00DF3317">
              <w:rPr>
                <w:rFonts w:eastAsia="Times New Roman"/>
                <w:color w:val="000000"/>
                <w:sz w:val="20"/>
                <w:szCs w:val="20"/>
                <w:lang w:eastAsia="de-DE"/>
              </w:rPr>
              <w:t>Parameter</w:t>
            </w:r>
            <w:bookmarkEnd w:id="1"/>
          </w:p>
        </w:tc>
        <w:tc>
          <w:tcPr>
            <w:tcW w:w="1134" w:type="dxa"/>
            <w:shd w:val="clear" w:color="auto" w:fill="auto"/>
            <w:noWrap/>
          </w:tcPr>
          <w:p w14:paraId="255C6018" w14:textId="3868B2B1" w:rsidR="009425DD" w:rsidRPr="00DF3317" w:rsidRDefault="004D41F1" w:rsidP="00DF3317">
            <w:pPr>
              <w:spacing w:after="0" w:line="240" w:lineRule="auto"/>
              <w:jc w:val="both"/>
              <w:rPr>
                <w:rFonts w:eastAsia="Times New Roman"/>
                <w:color w:val="000000"/>
                <w:sz w:val="20"/>
                <w:szCs w:val="20"/>
                <w:lang w:eastAsia="de-DE"/>
              </w:rPr>
            </w:pPr>
            <w:bookmarkStart w:id="2" w:name="OLE_LINK21"/>
            <w:r w:rsidRPr="00DF3317">
              <w:rPr>
                <w:rFonts w:eastAsia="Times New Roman"/>
                <w:color w:val="000000"/>
                <w:sz w:val="20"/>
                <w:szCs w:val="20"/>
                <w:lang w:eastAsia="de-DE"/>
              </w:rPr>
              <w:t>E</w:t>
            </w:r>
            <w:r w:rsidR="009425DD" w:rsidRPr="00DF3317">
              <w:rPr>
                <w:rFonts w:eastAsia="Times New Roman"/>
                <w:color w:val="000000"/>
                <w:sz w:val="20"/>
                <w:szCs w:val="20"/>
                <w:lang w:eastAsia="de-DE"/>
              </w:rPr>
              <w:t>quation</w:t>
            </w:r>
            <w:bookmarkEnd w:id="2"/>
          </w:p>
        </w:tc>
        <w:tc>
          <w:tcPr>
            <w:tcW w:w="3402" w:type="dxa"/>
          </w:tcPr>
          <w:p w14:paraId="63DF4FDC" w14:textId="77777777" w:rsidR="009425DD" w:rsidRPr="00DF3317" w:rsidRDefault="009425DD" w:rsidP="00DF3317">
            <w:pPr>
              <w:spacing w:after="0" w:line="240" w:lineRule="auto"/>
              <w:jc w:val="both"/>
              <w:rPr>
                <w:rFonts w:eastAsia="Times New Roman"/>
                <w:color w:val="000000"/>
                <w:sz w:val="20"/>
                <w:szCs w:val="20"/>
                <w:lang w:eastAsia="de-DE"/>
              </w:rPr>
            </w:pPr>
            <w:bookmarkStart w:id="3" w:name="OLE_LINK22"/>
            <w:r w:rsidRPr="00DF3317">
              <w:rPr>
                <w:rFonts w:eastAsia="Times New Roman"/>
                <w:color w:val="000000"/>
                <w:sz w:val="20"/>
                <w:szCs w:val="20"/>
                <w:lang w:eastAsia="de-DE"/>
              </w:rPr>
              <w:t>Value / range</w:t>
            </w:r>
            <w:bookmarkEnd w:id="3"/>
          </w:p>
        </w:tc>
        <w:tc>
          <w:tcPr>
            <w:tcW w:w="1966" w:type="dxa"/>
          </w:tcPr>
          <w:p w14:paraId="09078E48" w14:textId="77777777" w:rsidR="009425DD" w:rsidRPr="00DF3317" w:rsidRDefault="009425DD" w:rsidP="00DF3317">
            <w:pPr>
              <w:spacing w:after="0" w:line="240" w:lineRule="auto"/>
              <w:jc w:val="both"/>
              <w:rPr>
                <w:rFonts w:eastAsia="Times New Roman"/>
                <w:color w:val="000000"/>
                <w:sz w:val="20"/>
                <w:szCs w:val="20"/>
                <w:lang w:eastAsia="de-DE"/>
              </w:rPr>
            </w:pPr>
            <w:bookmarkStart w:id="4" w:name="OLE_LINK23"/>
            <w:bookmarkStart w:id="5" w:name="OLE_LINK24"/>
            <w:r w:rsidRPr="00DF3317">
              <w:rPr>
                <w:rFonts w:eastAsia="Times New Roman"/>
                <w:color w:val="000000"/>
                <w:sz w:val="20"/>
                <w:szCs w:val="20"/>
                <w:lang w:eastAsia="de-DE"/>
              </w:rPr>
              <w:t>Reference</w:t>
            </w:r>
            <w:bookmarkEnd w:id="4"/>
            <w:bookmarkEnd w:id="5"/>
          </w:p>
        </w:tc>
      </w:tr>
      <w:tr w:rsidR="009425DD" w:rsidRPr="005355A7" w14:paraId="3123F0B5" w14:textId="77777777" w:rsidTr="00B64518">
        <w:trPr>
          <w:trHeight w:val="300"/>
        </w:trPr>
        <w:tc>
          <w:tcPr>
            <w:tcW w:w="2835" w:type="dxa"/>
            <w:shd w:val="clear" w:color="auto" w:fill="auto"/>
            <w:noWrap/>
          </w:tcPr>
          <w:p w14:paraId="0B2B4919" w14:textId="747D788E" w:rsidR="009425DD" w:rsidRPr="005355A7" w:rsidRDefault="009425DD" w:rsidP="009819E2">
            <w:pPr>
              <w:spacing w:after="0" w:line="240" w:lineRule="auto"/>
              <w:rPr>
                <w:rFonts w:eastAsia="Times New Roman"/>
                <w:color w:val="000000"/>
                <w:sz w:val="20"/>
                <w:szCs w:val="20"/>
                <w:lang w:eastAsia="de-DE"/>
              </w:rPr>
            </w:pPr>
            <w:bookmarkStart w:id="6" w:name="OLE_LINK25"/>
            <w:r w:rsidRPr="005355A7">
              <w:rPr>
                <w:rFonts w:eastAsia="Times New Roman"/>
                <w:color w:val="000000"/>
                <w:sz w:val="20"/>
                <w:szCs w:val="20"/>
                <w:lang w:eastAsia="de-DE"/>
              </w:rPr>
              <w:t>Net energy maintenance (EF)</w:t>
            </w:r>
            <w:bookmarkEnd w:id="6"/>
          </w:p>
        </w:tc>
        <w:tc>
          <w:tcPr>
            <w:tcW w:w="1134" w:type="dxa"/>
            <w:shd w:val="clear" w:color="auto" w:fill="auto"/>
            <w:noWrap/>
          </w:tcPr>
          <w:p w14:paraId="169FF52A" w14:textId="77777777" w:rsidR="009425DD" w:rsidRPr="005355A7" w:rsidRDefault="009425DD" w:rsidP="009819E2">
            <w:pPr>
              <w:spacing w:after="0" w:line="240" w:lineRule="auto"/>
              <w:rPr>
                <w:rFonts w:eastAsia="Times New Roman"/>
                <w:color w:val="000000"/>
                <w:sz w:val="20"/>
                <w:szCs w:val="20"/>
                <w:lang w:eastAsia="de-DE"/>
              </w:rPr>
            </w:pPr>
            <w:bookmarkStart w:id="7" w:name="OLE_LINK26"/>
            <w:bookmarkStart w:id="8" w:name="OLE_LINK27"/>
            <w:r w:rsidRPr="005355A7">
              <w:rPr>
                <w:rFonts w:eastAsia="Times New Roman"/>
                <w:color w:val="000000"/>
                <w:sz w:val="20"/>
                <w:szCs w:val="20"/>
                <w:lang w:eastAsia="de-DE"/>
              </w:rPr>
              <w:t>Eq. 10.3</w:t>
            </w:r>
            <w:bookmarkEnd w:id="7"/>
            <w:bookmarkEnd w:id="8"/>
          </w:p>
        </w:tc>
        <w:tc>
          <w:tcPr>
            <w:tcW w:w="3402" w:type="dxa"/>
          </w:tcPr>
          <w:p w14:paraId="118D15C2" w14:textId="77777777" w:rsidR="009425DD" w:rsidRPr="00583FAA" w:rsidRDefault="009425DD" w:rsidP="009819E2">
            <w:pPr>
              <w:spacing w:after="0" w:line="240" w:lineRule="auto"/>
              <w:rPr>
                <w:rFonts w:eastAsia="Times New Roman"/>
                <w:color w:val="000000"/>
                <w:sz w:val="20"/>
                <w:szCs w:val="20"/>
                <w:lang w:val="en-GB" w:eastAsia="de-DE"/>
              </w:rPr>
            </w:pPr>
            <w:bookmarkStart w:id="9" w:name="OLE_LINK28"/>
            <w:bookmarkStart w:id="10" w:name="OLE_LINK29"/>
            <w:r w:rsidRPr="00583FAA">
              <w:rPr>
                <w:rFonts w:eastAsia="Times New Roman"/>
                <w:color w:val="000000"/>
                <w:sz w:val="20"/>
                <w:szCs w:val="20"/>
                <w:lang w:val="en-GB" w:eastAsia="de-DE"/>
              </w:rPr>
              <w:t>Cf = 0.386 for lactating cow</w:t>
            </w:r>
          </w:p>
          <w:p w14:paraId="46B04E16" w14:textId="38038173"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Cf = 0.322 for non- lactating cow</w:t>
            </w:r>
            <w:bookmarkEnd w:id="9"/>
            <w:bookmarkEnd w:id="10"/>
          </w:p>
        </w:tc>
        <w:tc>
          <w:tcPr>
            <w:tcW w:w="1966" w:type="dxa"/>
          </w:tcPr>
          <w:p w14:paraId="74B07922" w14:textId="77777777" w:rsidR="009425DD" w:rsidRPr="005355A7" w:rsidRDefault="009425DD" w:rsidP="009819E2">
            <w:pPr>
              <w:spacing w:after="0" w:line="240" w:lineRule="auto"/>
              <w:rPr>
                <w:rFonts w:eastAsia="Times New Roman"/>
                <w:color w:val="000000"/>
                <w:sz w:val="20"/>
                <w:szCs w:val="20"/>
                <w:lang w:eastAsia="de-DE"/>
              </w:rPr>
            </w:pPr>
            <w:bookmarkStart w:id="11" w:name="OLE_LINK30"/>
            <w:r w:rsidRPr="005355A7">
              <w:rPr>
                <w:rFonts w:eastAsia="Times New Roman"/>
                <w:color w:val="000000"/>
                <w:sz w:val="20"/>
                <w:szCs w:val="20"/>
                <w:lang w:eastAsia="de-DE"/>
              </w:rPr>
              <w:t xml:space="preserve">IPCC (2006, table 10.4) </w:t>
            </w:r>
            <w:bookmarkEnd w:id="11"/>
          </w:p>
        </w:tc>
      </w:tr>
      <w:tr w:rsidR="009425DD" w:rsidRPr="005355A7" w14:paraId="6CB94575" w14:textId="77777777" w:rsidTr="00B64518">
        <w:trPr>
          <w:trHeight w:val="300"/>
        </w:trPr>
        <w:tc>
          <w:tcPr>
            <w:tcW w:w="2835" w:type="dxa"/>
            <w:shd w:val="clear" w:color="auto" w:fill="auto"/>
            <w:noWrap/>
          </w:tcPr>
          <w:p w14:paraId="4AD62433" w14:textId="5AF5F14B" w:rsidR="009425DD" w:rsidRPr="005355A7" w:rsidRDefault="009425DD" w:rsidP="009819E2">
            <w:pPr>
              <w:spacing w:after="0" w:line="240" w:lineRule="auto"/>
              <w:rPr>
                <w:rFonts w:eastAsia="Times New Roman"/>
                <w:color w:val="000000"/>
                <w:sz w:val="20"/>
                <w:szCs w:val="20"/>
                <w:lang w:eastAsia="de-DE"/>
              </w:rPr>
            </w:pPr>
            <w:bookmarkStart w:id="12" w:name="OLE_LINK31"/>
            <w:r w:rsidRPr="005355A7">
              <w:rPr>
                <w:rFonts w:eastAsia="Times New Roman"/>
                <w:color w:val="000000"/>
                <w:sz w:val="20"/>
                <w:szCs w:val="20"/>
                <w:lang w:eastAsia="de-DE"/>
              </w:rPr>
              <w:t>Net energy activity (EF)</w:t>
            </w:r>
            <w:bookmarkEnd w:id="12"/>
          </w:p>
        </w:tc>
        <w:tc>
          <w:tcPr>
            <w:tcW w:w="1134" w:type="dxa"/>
            <w:shd w:val="clear" w:color="auto" w:fill="auto"/>
            <w:noWrap/>
          </w:tcPr>
          <w:p w14:paraId="14378734"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10.4</w:t>
            </w:r>
          </w:p>
        </w:tc>
        <w:tc>
          <w:tcPr>
            <w:tcW w:w="3402" w:type="dxa"/>
          </w:tcPr>
          <w:p w14:paraId="314AA517"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Ca = 0.17 for grazing</w:t>
            </w:r>
          </w:p>
          <w:p w14:paraId="17AC3CF9"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Ca = 0 for non-grazing</w:t>
            </w:r>
          </w:p>
        </w:tc>
        <w:tc>
          <w:tcPr>
            <w:tcW w:w="1966" w:type="dxa"/>
          </w:tcPr>
          <w:p w14:paraId="45ABD939"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 table 10.5)</w:t>
            </w:r>
          </w:p>
        </w:tc>
      </w:tr>
      <w:tr w:rsidR="009425DD" w:rsidRPr="005355A7" w14:paraId="0706C393" w14:textId="77777777" w:rsidTr="00B64518">
        <w:trPr>
          <w:trHeight w:val="300"/>
        </w:trPr>
        <w:tc>
          <w:tcPr>
            <w:tcW w:w="2835" w:type="dxa"/>
            <w:shd w:val="clear" w:color="auto" w:fill="auto"/>
            <w:noWrap/>
          </w:tcPr>
          <w:p w14:paraId="1AAA8CF9"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Net energy growth (EF)</w:t>
            </w:r>
          </w:p>
        </w:tc>
        <w:tc>
          <w:tcPr>
            <w:tcW w:w="1134" w:type="dxa"/>
            <w:shd w:val="clear" w:color="auto" w:fill="auto"/>
            <w:noWrap/>
          </w:tcPr>
          <w:p w14:paraId="1BEEDC7D"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10.6</w:t>
            </w:r>
          </w:p>
        </w:tc>
        <w:tc>
          <w:tcPr>
            <w:tcW w:w="3402" w:type="dxa"/>
          </w:tcPr>
          <w:p w14:paraId="358D6B72"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BW = calculated by LivSim</w:t>
            </w:r>
          </w:p>
          <w:p w14:paraId="0D5FCB8F"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C = 1</w:t>
            </w:r>
          </w:p>
          <w:p w14:paraId="2F10E9F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WG = calculated by LivSim</w:t>
            </w:r>
          </w:p>
        </w:tc>
        <w:tc>
          <w:tcPr>
            <w:tcW w:w="1966" w:type="dxa"/>
          </w:tcPr>
          <w:p w14:paraId="36EB96D9" w14:textId="77777777" w:rsidR="009425DD" w:rsidRPr="005355A7" w:rsidRDefault="009425DD" w:rsidP="009819E2">
            <w:pPr>
              <w:spacing w:after="0" w:line="240" w:lineRule="auto"/>
              <w:rPr>
                <w:rFonts w:eastAsia="Times New Roman"/>
                <w:color w:val="000000"/>
                <w:sz w:val="20"/>
                <w:szCs w:val="20"/>
                <w:lang w:eastAsia="de-DE"/>
              </w:rPr>
            </w:pPr>
            <w:r w:rsidRPr="006C68FE">
              <w:rPr>
                <w:rFonts w:eastAsia="Times New Roman"/>
                <w:color w:val="000000"/>
                <w:sz w:val="20"/>
                <w:szCs w:val="20"/>
                <w:lang w:val="fr-FR" w:eastAsia="de-DE"/>
              </w:rPr>
              <w:t xml:space="preserve">IPCC (2006, equation 10.6), Rufino et al. </w:t>
            </w:r>
            <w:r w:rsidRPr="005355A7">
              <w:rPr>
                <w:rFonts w:eastAsia="Times New Roman"/>
                <w:color w:val="000000"/>
                <w:sz w:val="20"/>
                <w:szCs w:val="20"/>
                <w:lang w:eastAsia="de-DE"/>
              </w:rPr>
              <w:t>(2009)</w:t>
            </w:r>
          </w:p>
        </w:tc>
      </w:tr>
      <w:tr w:rsidR="009425DD" w:rsidRPr="005355A7" w14:paraId="3418F226" w14:textId="77777777" w:rsidTr="00B64518">
        <w:trPr>
          <w:trHeight w:val="300"/>
        </w:trPr>
        <w:tc>
          <w:tcPr>
            <w:tcW w:w="2835" w:type="dxa"/>
            <w:shd w:val="clear" w:color="auto" w:fill="auto"/>
            <w:noWrap/>
          </w:tcPr>
          <w:p w14:paraId="29898F7B"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Net energy lactation (EF)</w:t>
            </w:r>
          </w:p>
        </w:tc>
        <w:tc>
          <w:tcPr>
            <w:tcW w:w="1134" w:type="dxa"/>
            <w:shd w:val="clear" w:color="auto" w:fill="auto"/>
            <w:noWrap/>
          </w:tcPr>
          <w:p w14:paraId="1D523A8D"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10.8</w:t>
            </w:r>
          </w:p>
        </w:tc>
        <w:tc>
          <w:tcPr>
            <w:tcW w:w="3402" w:type="dxa"/>
          </w:tcPr>
          <w:p w14:paraId="769CF708"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Milk yield = calculated by LivSim</w:t>
            </w:r>
          </w:p>
          <w:p w14:paraId="7EBDD681"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Fat</w:t>
            </w:r>
            <w:r w:rsidR="00024CB1" w:rsidRPr="00583FAA">
              <w:rPr>
                <w:rFonts w:eastAsia="Times New Roman"/>
                <w:color w:val="000000"/>
                <w:sz w:val="20"/>
                <w:szCs w:val="20"/>
                <w:lang w:val="en-GB" w:eastAsia="de-DE"/>
              </w:rPr>
              <w:t xml:space="preserve"> (%)</w:t>
            </w:r>
            <w:r w:rsidRPr="00583FAA">
              <w:rPr>
                <w:rFonts w:eastAsia="Times New Roman"/>
                <w:color w:val="000000"/>
                <w:sz w:val="20"/>
                <w:szCs w:val="20"/>
                <w:lang w:val="en-GB" w:eastAsia="de-DE"/>
              </w:rPr>
              <w:t xml:space="preserve"> = calculated by LivSim</w:t>
            </w:r>
            <w:r w:rsidR="00024CB1" w:rsidRPr="00583FAA">
              <w:rPr>
                <w:rFonts w:eastAsia="Times New Roman"/>
                <w:color w:val="000000"/>
                <w:sz w:val="20"/>
                <w:szCs w:val="20"/>
                <w:lang w:val="en-GB" w:eastAsia="de-DE"/>
              </w:rPr>
              <w:t xml:space="preserve"> (2.7 – 4.2</w:t>
            </w:r>
            <w:r w:rsidRPr="00583FAA">
              <w:rPr>
                <w:rFonts w:eastAsia="Times New Roman"/>
                <w:color w:val="000000"/>
                <w:sz w:val="20"/>
                <w:szCs w:val="20"/>
                <w:lang w:val="en-GB" w:eastAsia="de-DE"/>
              </w:rPr>
              <w:t>)</w:t>
            </w:r>
          </w:p>
          <w:p w14:paraId="53DB0295"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Lactation state = calculated by LivSim</w:t>
            </w:r>
          </w:p>
        </w:tc>
        <w:tc>
          <w:tcPr>
            <w:tcW w:w="1966" w:type="dxa"/>
          </w:tcPr>
          <w:p w14:paraId="13FEE16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Rufino </w:t>
            </w:r>
            <w:r>
              <w:rPr>
                <w:rFonts w:eastAsia="Times New Roman"/>
                <w:color w:val="000000"/>
                <w:sz w:val="20"/>
                <w:szCs w:val="20"/>
                <w:lang w:eastAsia="de-DE"/>
              </w:rPr>
              <w:t>et al.</w:t>
            </w:r>
            <w:r w:rsidRPr="005355A7">
              <w:rPr>
                <w:rFonts w:eastAsia="Times New Roman"/>
                <w:color w:val="000000"/>
                <w:sz w:val="20"/>
                <w:szCs w:val="20"/>
                <w:lang w:eastAsia="de-DE"/>
              </w:rPr>
              <w:t xml:space="preserve"> (2009)</w:t>
            </w:r>
          </w:p>
        </w:tc>
      </w:tr>
      <w:tr w:rsidR="009425DD" w:rsidRPr="005355A7" w14:paraId="0E110B43" w14:textId="77777777" w:rsidTr="00B64518">
        <w:trPr>
          <w:trHeight w:val="300"/>
        </w:trPr>
        <w:tc>
          <w:tcPr>
            <w:tcW w:w="2835" w:type="dxa"/>
            <w:shd w:val="clear" w:color="auto" w:fill="auto"/>
            <w:noWrap/>
          </w:tcPr>
          <w:p w14:paraId="3C0E6037"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Net energy pregnancy (EF)</w:t>
            </w:r>
          </w:p>
        </w:tc>
        <w:tc>
          <w:tcPr>
            <w:tcW w:w="1134" w:type="dxa"/>
            <w:shd w:val="clear" w:color="auto" w:fill="auto"/>
            <w:noWrap/>
          </w:tcPr>
          <w:p w14:paraId="0E8DF19B"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10.13</w:t>
            </w:r>
          </w:p>
        </w:tc>
        <w:tc>
          <w:tcPr>
            <w:tcW w:w="3402" w:type="dxa"/>
          </w:tcPr>
          <w:p w14:paraId="767A6FB1"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Cpregnancy = 0.1</w:t>
            </w:r>
          </w:p>
          <w:p w14:paraId="521BD5D5"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Pregnancy state = calculated by LivSim</w:t>
            </w:r>
          </w:p>
        </w:tc>
        <w:tc>
          <w:tcPr>
            <w:tcW w:w="1966" w:type="dxa"/>
          </w:tcPr>
          <w:p w14:paraId="10E72206" w14:textId="77777777" w:rsidR="009425DD" w:rsidRPr="005355A7" w:rsidRDefault="009425DD" w:rsidP="009819E2">
            <w:pPr>
              <w:spacing w:after="0" w:line="240" w:lineRule="auto"/>
              <w:rPr>
                <w:rFonts w:eastAsia="Times New Roman"/>
                <w:color w:val="000000"/>
                <w:sz w:val="20"/>
                <w:szCs w:val="20"/>
                <w:lang w:eastAsia="de-DE"/>
              </w:rPr>
            </w:pPr>
            <w:r w:rsidRPr="006C68FE">
              <w:rPr>
                <w:rFonts w:eastAsia="Times New Roman"/>
                <w:color w:val="000000"/>
                <w:sz w:val="20"/>
                <w:szCs w:val="20"/>
                <w:lang w:val="fr-FR" w:eastAsia="de-DE"/>
              </w:rPr>
              <w:t xml:space="preserve">IPCC (2006, table 10.7), Rufino et al. </w:t>
            </w:r>
            <w:r w:rsidRPr="005355A7">
              <w:rPr>
                <w:rFonts w:eastAsia="Times New Roman"/>
                <w:color w:val="000000"/>
                <w:sz w:val="20"/>
                <w:szCs w:val="20"/>
                <w:lang w:eastAsia="de-DE"/>
              </w:rPr>
              <w:t>(2009)</w:t>
            </w:r>
          </w:p>
        </w:tc>
      </w:tr>
      <w:tr w:rsidR="009425DD" w:rsidRPr="005355A7" w14:paraId="38CE37AE" w14:textId="77777777" w:rsidTr="00B64518">
        <w:trPr>
          <w:trHeight w:val="300"/>
        </w:trPr>
        <w:tc>
          <w:tcPr>
            <w:tcW w:w="2835" w:type="dxa"/>
            <w:shd w:val="clear" w:color="auto" w:fill="auto"/>
            <w:noWrap/>
          </w:tcPr>
          <w:p w14:paraId="3EE9BCF7"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lastRenderedPageBreak/>
              <w:t>Ratio net energy available for maintenance to digestible energy consumed (EF, MM)</w:t>
            </w:r>
          </w:p>
        </w:tc>
        <w:tc>
          <w:tcPr>
            <w:tcW w:w="1134" w:type="dxa"/>
            <w:shd w:val="clear" w:color="auto" w:fill="auto"/>
            <w:noWrap/>
          </w:tcPr>
          <w:p w14:paraId="28032F57"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10.14</w:t>
            </w:r>
          </w:p>
        </w:tc>
        <w:tc>
          <w:tcPr>
            <w:tcW w:w="3402" w:type="dxa"/>
          </w:tcPr>
          <w:p w14:paraId="1D3BEDC1" w14:textId="77777777" w:rsidR="009425DD" w:rsidRDefault="009425DD" w:rsidP="004A2988">
            <w:pPr>
              <w:spacing w:after="0" w:line="240" w:lineRule="auto"/>
              <w:rPr>
                <w:sz w:val="20"/>
                <w:szCs w:val="20"/>
              </w:rPr>
            </w:pPr>
            <w:r w:rsidRPr="005355A7">
              <w:rPr>
                <w:sz w:val="20"/>
                <w:szCs w:val="20"/>
              </w:rPr>
              <w:t>DE = feed type specific (%):</w:t>
            </w:r>
          </w:p>
          <w:p w14:paraId="1F1CD417" w14:textId="77777777" w:rsidR="00E53750" w:rsidRDefault="009425DD" w:rsidP="004A2988">
            <w:pPr>
              <w:pStyle w:val="ListParagraph"/>
              <w:numPr>
                <w:ilvl w:val="0"/>
                <w:numId w:val="2"/>
              </w:numPr>
              <w:spacing w:after="0" w:line="240" w:lineRule="auto"/>
              <w:rPr>
                <w:sz w:val="20"/>
                <w:szCs w:val="20"/>
              </w:rPr>
            </w:pPr>
            <w:r w:rsidRPr="00E53750">
              <w:rPr>
                <w:sz w:val="20"/>
                <w:szCs w:val="20"/>
              </w:rPr>
              <w:t>Grazing land: 45 – 55</w:t>
            </w:r>
          </w:p>
          <w:p w14:paraId="30013B11" w14:textId="77777777" w:rsidR="00E53750" w:rsidRDefault="009425DD" w:rsidP="004A2988">
            <w:pPr>
              <w:pStyle w:val="ListParagraph"/>
              <w:numPr>
                <w:ilvl w:val="0"/>
                <w:numId w:val="2"/>
              </w:numPr>
              <w:spacing w:after="0" w:line="240" w:lineRule="auto"/>
              <w:rPr>
                <w:sz w:val="20"/>
                <w:szCs w:val="20"/>
              </w:rPr>
            </w:pPr>
            <w:r w:rsidRPr="00E53750">
              <w:rPr>
                <w:sz w:val="20"/>
                <w:szCs w:val="20"/>
              </w:rPr>
              <w:t xml:space="preserve">Napier grass: 50 </w:t>
            </w:r>
            <w:r w:rsidR="00E53750" w:rsidRPr="00E53750">
              <w:rPr>
                <w:sz w:val="20"/>
                <w:szCs w:val="20"/>
              </w:rPr>
              <w:t>–</w:t>
            </w:r>
            <w:r w:rsidRPr="00E53750">
              <w:rPr>
                <w:sz w:val="20"/>
                <w:szCs w:val="20"/>
              </w:rPr>
              <w:t xml:space="preserve"> 60</w:t>
            </w:r>
          </w:p>
          <w:p w14:paraId="3A43C44E" w14:textId="77777777" w:rsidR="00E53750" w:rsidRDefault="009425DD" w:rsidP="004A2988">
            <w:pPr>
              <w:pStyle w:val="ListParagraph"/>
              <w:numPr>
                <w:ilvl w:val="0"/>
                <w:numId w:val="2"/>
              </w:numPr>
              <w:spacing w:after="0" w:line="240" w:lineRule="auto"/>
              <w:rPr>
                <w:sz w:val="20"/>
                <w:szCs w:val="20"/>
              </w:rPr>
            </w:pPr>
            <w:r w:rsidRPr="00E53750">
              <w:rPr>
                <w:sz w:val="20"/>
                <w:szCs w:val="20"/>
              </w:rPr>
              <w:t xml:space="preserve">Maize stover: 45 </w:t>
            </w:r>
            <w:r w:rsidR="00E53750" w:rsidRPr="00E53750">
              <w:rPr>
                <w:sz w:val="20"/>
                <w:szCs w:val="20"/>
              </w:rPr>
              <w:t>–</w:t>
            </w:r>
            <w:r w:rsidRPr="00E53750">
              <w:rPr>
                <w:sz w:val="20"/>
                <w:szCs w:val="20"/>
              </w:rPr>
              <w:t xml:space="preserve"> 55</w:t>
            </w:r>
          </w:p>
          <w:p w14:paraId="54CEC8F7" w14:textId="77777777" w:rsidR="00E53750" w:rsidRDefault="009425DD" w:rsidP="004A2988">
            <w:pPr>
              <w:pStyle w:val="ListParagraph"/>
              <w:numPr>
                <w:ilvl w:val="0"/>
                <w:numId w:val="2"/>
              </w:numPr>
              <w:spacing w:after="0" w:line="240" w:lineRule="auto"/>
              <w:rPr>
                <w:sz w:val="20"/>
                <w:szCs w:val="20"/>
              </w:rPr>
            </w:pPr>
            <w:r w:rsidRPr="00E53750">
              <w:rPr>
                <w:sz w:val="20"/>
                <w:szCs w:val="20"/>
              </w:rPr>
              <w:t>Maize silage: 50 – 60</w:t>
            </w:r>
          </w:p>
          <w:p w14:paraId="1C008366" w14:textId="77777777" w:rsidR="009425DD" w:rsidRPr="00E53750" w:rsidRDefault="009425DD" w:rsidP="004A2988">
            <w:pPr>
              <w:pStyle w:val="ListParagraph"/>
              <w:numPr>
                <w:ilvl w:val="0"/>
                <w:numId w:val="2"/>
              </w:numPr>
              <w:spacing w:after="0" w:line="240" w:lineRule="auto"/>
              <w:rPr>
                <w:sz w:val="20"/>
                <w:szCs w:val="20"/>
              </w:rPr>
            </w:pPr>
            <w:r w:rsidRPr="00E53750">
              <w:rPr>
                <w:sz w:val="20"/>
                <w:szCs w:val="20"/>
              </w:rPr>
              <w:t>Dairy concentrate: 75 – 85</w:t>
            </w:r>
          </w:p>
        </w:tc>
        <w:tc>
          <w:tcPr>
            <w:tcW w:w="1966" w:type="dxa"/>
          </w:tcPr>
          <w:p w14:paraId="5ABDA776"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w:t>
            </w:r>
            <w:r w:rsidRPr="005355A7">
              <w:rPr>
                <w:sz w:val="20"/>
                <w:szCs w:val="20"/>
              </w:rPr>
              <w:t xml:space="preserve">Anindo </w:t>
            </w:r>
            <w:r>
              <w:rPr>
                <w:sz w:val="20"/>
                <w:szCs w:val="20"/>
              </w:rPr>
              <w:t>et al.</w:t>
            </w:r>
            <w:r w:rsidRPr="005355A7">
              <w:rPr>
                <w:sz w:val="20"/>
                <w:szCs w:val="20"/>
              </w:rPr>
              <w:t xml:space="preserve"> (1994), </w:t>
            </w:r>
            <w:r w:rsidRPr="005355A7">
              <w:rPr>
                <w:rFonts w:eastAsia="Times New Roman"/>
                <w:color w:val="000000"/>
                <w:sz w:val="20"/>
                <w:szCs w:val="20"/>
                <w:lang w:eastAsia="de-DE"/>
              </w:rPr>
              <w:t xml:space="preserve">Rufino </w:t>
            </w:r>
            <w:r>
              <w:rPr>
                <w:rFonts w:eastAsia="Times New Roman"/>
                <w:color w:val="000000"/>
                <w:sz w:val="20"/>
                <w:szCs w:val="20"/>
                <w:lang w:eastAsia="de-DE"/>
              </w:rPr>
              <w:t>et al.</w:t>
            </w:r>
            <w:r w:rsidRPr="005355A7">
              <w:rPr>
                <w:rFonts w:eastAsia="Times New Roman"/>
                <w:color w:val="000000"/>
                <w:sz w:val="20"/>
                <w:szCs w:val="20"/>
                <w:lang w:eastAsia="de-DE"/>
              </w:rPr>
              <w:t xml:space="preserve"> (2009)</w:t>
            </w:r>
          </w:p>
        </w:tc>
      </w:tr>
      <w:tr w:rsidR="009425DD" w:rsidRPr="005355A7" w14:paraId="796C999C" w14:textId="77777777" w:rsidTr="00B64518">
        <w:trPr>
          <w:trHeight w:val="300"/>
        </w:trPr>
        <w:tc>
          <w:tcPr>
            <w:tcW w:w="2835" w:type="dxa"/>
            <w:shd w:val="clear" w:color="auto" w:fill="auto"/>
            <w:noWrap/>
          </w:tcPr>
          <w:p w14:paraId="5A3AD192"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Ratio net energy available for growth to digestible energy consumed (EF, MM)</w:t>
            </w:r>
          </w:p>
        </w:tc>
        <w:tc>
          <w:tcPr>
            <w:tcW w:w="1134" w:type="dxa"/>
            <w:shd w:val="clear" w:color="auto" w:fill="auto"/>
            <w:noWrap/>
          </w:tcPr>
          <w:p w14:paraId="1D86B332"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10.15</w:t>
            </w:r>
          </w:p>
        </w:tc>
        <w:tc>
          <w:tcPr>
            <w:tcW w:w="3402" w:type="dxa"/>
          </w:tcPr>
          <w:p w14:paraId="539540E2"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DE = see above</w:t>
            </w:r>
          </w:p>
        </w:tc>
        <w:tc>
          <w:tcPr>
            <w:tcW w:w="1966" w:type="dxa"/>
          </w:tcPr>
          <w:p w14:paraId="1FE6EF07"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w:t>
            </w:r>
          </w:p>
        </w:tc>
      </w:tr>
      <w:tr w:rsidR="009425DD" w:rsidRPr="005355A7" w14:paraId="1EFD5CCF" w14:textId="77777777" w:rsidTr="00B64518">
        <w:trPr>
          <w:trHeight w:val="300"/>
        </w:trPr>
        <w:tc>
          <w:tcPr>
            <w:tcW w:w="2835" w:type="dxa"/>
            <w:shd w:val="clear" w:color="auto" w:fill="auto"/>
            <w:noWrap/>
          </w:tcPr>
          <w:p w14:paraId="564DED1B"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Gross Energy (EF, MM)</w:t>
            </w:r>
          </w:p>
        </w:tc>
        <w:tc>
          <w:tcPr>
            <w:tcW w:w="1134" w:type="dxa"/>
            <w:shd w:val="clear" w:color="auto" w:fill="auto"/>
            <w:noWrap/>
          </w:tcPr>
          <w:p w14:paraId="068E1355"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10.16</w:t>
            </w:r>
          </w:p>
        </w:tc>
        <w:tc>
          <w:tcPr>
            <w:tcW w:w="3402" w:type="dxa"/>
          </w:tcPr>
          <w:p w14:paraId="13885449"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DE = see above</w:t>
            </w:r>
          </w:p>
        </w:tc>
        <w:tc>
          <w:tcPr>
            <w:tcW w:w="1966" w:type="dxa"/>
          </w:tcPr>
          <w:p w14:paraId="70163508"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w:t>
            </w:r>
          </w:p>
        </w:tc>
      </w:tr>
      <w:tr w:rsidR="009425DD" w:rsidRPr="005355A7" w14:paraId="1EA16EC1" w14:textId="77777777" w:rsidTr="00B64518">
        <w:trPr>
          <w:trHeight w:val="300"/>
        </w:trPr>
        <w:tc>
          <w:tcPr>
            <w:tcW w:w="2835" w:type="dxa"/>
            <w:shd w:val="clear" w:color="auto" w:fill="auto"/>
            <w:noWrap/>
          </w:tcPr>
          <w:p w14:paraId="78DE3010"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CH</w:t>
            </w:r>
            <w:r w:rsidRPr="005355A7">
              <w:rPr>
                <w:rFonts w:eastAsia="Times New Roman"/>
                <w:color w:val="000000"/>
                <w:sz w:val="20"/>
                <w:szCs w:val="20"/>
                <w:vertAlign w:val="subscript"/>
                <w:lang w:eastAsia="de-DE"/>
              </w:rPr>
              <w:t>4</w:t>
            </w:r>
            <w:r w:rsidRPr="005355A7">
              <w:rPr>
                <w:rFonts w:eastAsia="Times New Roman"/>
                <w:color w:val="000000"/>
                <w:sz w:val="20"/>
                <w:szCs w:val="20"/>
                <w:lang w:eastAsia="de-DE"/>
              </w:rPr>
              <w:t xml:space="preserve"> emissions (EF)</w:t>
            </w:r>
          </w:p>
        </w:tc>
        <w:tc>
          <w:tcPr>
            <w:tcW w:w="1134" w:type="dxa"/>
            <w:shd w:val="clear" w:color="auto" w:fill="auto"/>
            <w:noWrap/>
          </w:tcPr>
          <w:p w14:paraId="7EE6BEDC"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10.21</w:t>
            </w:r>
          </w:p>
        </w:tc>
        <w:tc>
          <w:tcPr>
            <w:tcW w:w="3402" w:type="dxa"/>
          </w:tcPr>
          <w:p w14:paraId="7534F13C" w14:textId="77777777" w:rsidR="009425DD" w:rsidRPr="005355A7" w:rsidRDefault="000E709F" w:rsidP="009819E2">
            <w:pPr>
              <w:spacing w:after="0" w:line="240" w:lineRule="auto"/>
              <w:rPr>
                <w:rFonts w:eastAsia="Times New Roman"/>
                <w:color w:val="000000"/>
                <w:sz w:val="20"/>
                <w:szCs w:val="20"/>
                <w:lang w:eastAsia="de-DE"/>
              </w:rPr>
            </w:pPr>
            <w:r>
              <w:rPr>
                <w:rFonts w:eastAsia="Times New Roman"/>
                <w:color w:val="000000"/>
                <w:sz w:val="20"/>
                <w:szCs w:val="20"/>
                <w:lang w:eastAsia="de-DE"/>
              </w:rPr>
              <w:t>Ym (%) = 5.5 – 7.5</w:t>
            </w:r>
          </w:p>
        </w:tc>
        <w:tc>
          <w:tcPr>
            <w:tcW w:w="1966" w:type="dxa"/>
          </w:tcPr>
          <w:p w14:paraId="0B17799F"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 table 10.12)</w:t>
            </w:r>
          </w:p>
        </w:tc>
      </w:tr>
      <w:tr w:rsidR="009425DD" w:rsidRPr="005355A7" w14:paraId="4F009B40" w14:textId="77777777" w:rsidTr="00B64518">
        <w:trPr>
          <w:trHeight w:val="300"/>
        </w:trPr>
        <w:tc>
          <w:tcPr>
            <w:tcW w:w="2835" w:type="dxa"/>
            <w:shd w:val="clear" w:color="auto" w:fill="auto"/>
            <w:noWrap/>
            <w:hideMark/>
          </w:tcPr>
          <w:p w14:paraId="3222991D"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Volatile solid excretion (MM)</w:t>
            </w:r>
          </w:p>
        </w:tc>
        <w:tc>
          <w:tcPr>
            <w:tcW w:w="1134" w:type="dxa"/>
            <w:shd w:val="clear" w:color="auto" w:fill="auto"/>
            <w:noWrap/>
            <w:hideMark/>
          </w:tcPr>
          <w:p w14:paraId="7458AD72"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10.24</w:t>
            </w:r>
          </w:p>
        </w:tc>
        <w:tc>
          <w:tcPr>
            <w:tcW w:w="3402" w:type="dxa"/>
          </w:tcPr>
          <w:p w14:paraId="0902EC4C"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DE = see above</w:t>
            </w:r>
          </w:p>
          <w:p w14:paraId="502FD914"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UE*GE = 0.04</w:t>
            </w:r>
          </w:p>
          <w:p w14:paraId="56A7BA5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ASH = 0.08</w:t>
            </w:r>
          </w:p>
        </w:tc>
        <w:tc>
          <w:tcPr>
            <w:tcW w:w="1966" w:type="dxa"/>
          </w:tcPr>
          <w:p w14:paraId="7BA39E66"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 equation 10.24)</w:t>
            </w:r>
          </w:p>
        </w:tc>
      </w:tr>
      <w:tr w:rsidR="009425DD" w:rsidRPr="005355A7" w14:paraId="6E9AD4F7" w14:textId="77777777" w:rsidTr="00B64518">
        <w:trPr>
          <w:trHeight w:val="300"/>
        </w:trPr>
        <w:tc>
          <w:tcPr>
            <w:tcW w:w="2835" w:type="dxa"/>
            <w:shd w:val="clear" w:color="auto" w:fill="auto"/>
            <w:noWrap/>
          </w:tcPr>
          <w:p w14:paraId="6550CB2D"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CH</w:t>
            </w:r>
            <w:r w:rsidRPr="005355A7">
              <w:rPr>
                <w:rFonts w:eastAsia="Times New Roman"/>
                <w:color w:val="000000"/>
                <w:sz w:val="20"/>
                <w:szCs w:val="20"/>
                <w:vertAlign w:val="subscript"/>
                <w:lang w:eastAsia="de-DE"/>
              </w:rPr>
              <w:t>4</w:t>
            </w:r>
            <w:r w:rsidRPr="005355A7">
              <w:rPr>
                <w:rFonts w:eastAsia="Times New Roman"/>
                <w:color w:val="000000"/>
                <w:sz w:val="20"/>
                <w:szCs w:val="20"/>
                <w:lang w:eastAsia="de-DE"/>
              </w:rPr>
              <w:t xml:space="preserve"> emissions (MM)</w:t>
            </w:r>
          </w:p>
        </w:tc>
        <w:tc>
          <w:tcPr>
            <w:tcW w:w="1134" w:type="dxa"/>
            <w:shd w:val="clear" w:color="auto" w:fill="auto"/>
            <w:noWrap/>
          </w:tcPr>
          <w:p w14:paraId="678F70E3"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10.23</w:t>
            </w:r>
          </w:p>
        </w:tc>
        <w:tc>
          <w:tcPr>
            <w:tcW w:w="3402" w:type="dxa"/>
          </w:tcPr>
          <w:p w14:paraId="04EA91C1"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Bo(T) = 0.11 – 0.15</w:t>
            </w:r>
          </w:p>
          <w:p w14:paraId="35E6520F"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MCF storage (%) = 1.5 – 2 (dry lot) and 4 -5 (solid storage)</w:t>
            </w:r>
          </w:p>
          <w:p w14:paraId="5FE6E516"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MCF grazing (%) = 1.5 - 2</w:t>
            </w:r>
          </w:p>
          <w:p w14:paraId="37EF5C74"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MCF application (%) = 0.5 - 1</w:t>
            </w:r>
          </w:p>
          <w:p w14:paraId="74BA9159"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 xml:space="preserve">MS = proportion of manure stored based on ratio between grazing land (not managed) and cropland </w:t>
            </w:r>
            <w:r w:rsidR="00E53750" w:rsidRPr="00583FAA">
              <w:rPr>
                <w:rFonts w:eastAsia="Times New Roman"/>
                <w:color w:val="000000"/>
                <w:sz w:val="20"/>
                <w:szCs w:val="20"/>
                <w:lang w:val="en-GB" w:eastAsia="de-DE"/>
              </w:rPr>
              <w:t xml:space="preserve">used for </w:t>
            </w:r>
            <w:r w:rsidRPr="00583FAA">
              <w:rPr>
                <w:rFonts w:eastAsia="Times New Roman"/>
                <w:color w:val="000000"/>
                <w:sz w:val="20"/>
                <w:szCs w:val="20"/>
                <w:lang w:val="en-GB" w:eastAsia="de-DE"/>
              </w:rPr>
              <w:t>feed production (managed)</w:t>
            </w:r>
          </w:p>
        </w:tc>
        <w:tc>
          <w:tcPr>
            <w:tcW w:w="1966" w:type="dxa"/>
          </w:tcPr>
          <w:p w14:paraId="346700EA"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 table 10.17 and 10A-4)</w:t>
            </w:r>
          </w:p>
        </w:tc>
      </w:tr>
      <w:tr w:rsidR="009425DD" w:rsidRPr="005355A7" w14:paraId="31B10BA0" w14:textId="77777777" w:rsidTr="00B64518">
        <w:trPr>
          <w:trHeight w:val="300"/>
        </w:trPr>
        <w:tc>
          <w:tcPr>
            <w:tcW w:w="2835" w:type="dxa"/>
            <w:shd w:val="clear" w:color="auto" w:fill="auto"/>
            <w:noWrap/>
          </w:tcPr>
          <w:p w14:paraId="44E8FE44"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N excretion (MM)</w:t>
            </w:r>
          </w:p>
        </w:tc>
        <w:tc>
          <w:tcPr>
            <w:tcW w:w="1134" w:type="dxa"/>
            <w:shd w:val="clear" w:color="auto" w:fill="auto"/>
            <w:noWrap/>
          </w:tcPr>
          <w:p w14:paraId="396F5E54" w14:textId="77777777" w:rsidR="009425DD" w:rsidRPr="005355A7" w:rsidRDefault="009425DD" w:rsidP="009819E2">
            <w:pPr>
              <w:spacing w:after="0" w:line="240" w:lineRule="auto"/>
              <w:rPr>
                <w:rFonts w:eastAsia="Times New Roman"/>
                <w:color w:val="000000"/>
                <w:sz w:val="20"/>
                <w:szCs w:val="20"/>
                <w:lang w:eastAsia="de-DE"/>
              </w:rPr>
            </w:pPr>
          </w:p>
        </w:tc>
        <w:tc>
          <w:tcPr>
            <w:tcW w:w="3402" w:type="dxa"/>
          </w:tcPr>
          <w:p w14:paraId="00829E60"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 content of urine and faeces = calculated by LivSim</w:t>
            </w:r>
          </w:p>
        </w:tc>
        <w:tc>
          <w:tcPr>
            <w:tcW w:w="1966" w:type="dxa"/>
          </w:tcPr>
          <w:p w14:paraId="2E0284E5"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Rufino </w:t>
            </w:r>
            <w:r>
              <w:rPr>
                <w:rFonts w:eastAsia="Times New Roman"/>
                <w:color w:val="000000"/>
                <w:sz w:val="20"/>
                <w:szCs w:val="20"/>
                <w:lang w:eastAsia="de-DE"/>
              </w:rPr>
              <w:t>et al.</w:t>
            </w:r>
            <w:r w:rsidRPr="005355A7">
              <w:rPr>
                <w:rFonts w:eastAsia="Times New Roman"/>
                <w:color w:val="000000"/>
                <w:sz w:val="20"/>
                <w:szCs w:val="20"/>
                <w:lang w:eastAsia="de-DE"/>
              </w:rPr>
              <w:t xml:space="preserve"> (2009)</w:t>
            </w:r>
          </w:p>
        </w:tc>
      </w:tr>
      <w:tr w:rsidR="009425DD" w:rsidRPr="005355A7" w14:paraId="01AE36E2" w14:textId="77777777" w:rsidTr="00B64518">
        <w:trPr>
          <w:trHeight w:val="300"/>
        </w:trPr>
        <w:tc>
          <w:tcPr>
            <w:tcW w:w="2835" w:type="dxa"/>
            <w:shd w:val="clear" w:color="auto" w:fill="auto"/>
            <w:noWrap/>
            <w:hideMark/>
          </w:tcPr>
          <w:p w14:paraId="7017D493"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Direct 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 xml:space="preserve">O emissions (MM) </w:t>
            </w:r>
          </w:p>
        </w:tc>
        <w:tc>
          <w:tcPr>
            <w:tcW w:w="1134" w:type="dxa"/>
            <w:shd w:val="clear" w:color="auto" w:fill="auto"/>
            <w:noWrap/>
            <w:hideMark/>
          </w:tcPr>
          <w:p w14:paraId="5D42EC9F"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10.25</w:t>
            </w:r>
          </w:p>
        </w:tc>
        <w:tc>
          <w:tcPr>
            <w:tcW w:w="3402" w:type="dxa"/>
          </w:tcPr>
          <w:p w14:paraId="6B7C707E"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EF3</w:t>
            </w:r>
            <w:r w:rsidR="00EC0BDC" w:rsidRPr="00583FAA">
              <w:rPr>
                <w:rFonts w:eastAsia="Times New Roman"/>
                <w:color w:val="000000"/>
                <w:sz w:val="20"/>
                <w:szCs w:val="20"/>
                <w:lang w:val="en-GB" w:eastAsia="de-DE"/>
              </w:rPr>
              <w:t xml:space="preserve"> (kg N</w:t>
            </w:r>
            <w:r w:rsidR="00EC0BDC" w:rsidRPr="00583FAA">
              <w:rPr>
                <w:rFonts w:eastAsia="Times New Roman"/>
                <w:color w:val="000000"/>
                <w:sz w:val="20"/>
                <w:szCs w:val="20"/>
                <w:vertAlign w:val="subscript"/>
                <w:lang w:val="en-GB" w:eastAsia="de-DE"/>
              </w:rPr>
              <w:t>2</w:t>
            </w:r>
            <w:r w:rsidR="00EC0BDC" w:rsidRPr="00583FAA">
              <w:rPr>
                <w:rFonts w:eastAsia="Times New Roman"/>
                <w:color w:val="000000"/>
                <w:sz w:val="20"/>
                <w:szCs w:val="20"/>
                <w:lang w:val="en-GB" w:eastAsia="de-DE"/>
              </w:rPr>
              <w:t>O–N)</w:t>
            </w:r>
            <w:r w:rsidRPr="00583FAA">
              <w:rPr>
                <w:rFonts w:eastAsia="Times New Roman"/>
                <w:color w:val="000000"/>
                <w:sz w:val="20"/>
                <w:szCs w:val="20"/>
                <w:lang w:val="en-GB" w:eastAsia="de-DE"/>
              </w:rPr>
              <w:t xml:space="preserve"> = 0.01 – 0.02 (dry lot) and 0.0025 – 0.0075 (solid storage)</w:t>
            </w:r>
          </w:p>
        </w:tc>
        <w:tc>
          <w:tcPr>
            <w:tcW w:w="1966" w:type="dxa"/>
          </w:tcPr>
          <w:p w14:paraId="1FF47EB9"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10.21),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08FD623D" w14:textId="77777777" w:rsidTr="00B64518">
        <w:trPr>
          <w:trHeight w:val="300"/>
        </w:trPr>
        <w:tc>
          <w:tcPr>
            <w:tcW w:w="2835" w:type="dxa"/>
            <w:shd w:val="clear" w:color="auto" w:fill="auto"/>
            <w:noWrap/>
          </w:tcPr>
          <w:p w14:paraId="137C2E02"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 volatilization as NH</w:t>
            </w:r>
            <w:r w:rsidRPr="00583FAA">
              <w:rPr>
                <w:rFonts w:eastAsia="Times New Roman"/>
                <w:color w:val="000000"/>
                <w:sz w:val="20"/>
                <w:szCs w:val="20"/>
                <w:vertAlign w:val="subscript"/>
                <w:lang w:val="en-GB" w:eastAsia="de-DE"/>
              </w:rPr>
              <w:t>3</w:t>
            </w:r>
            <w:r w:rsidRPr="00583FAA">
              <w:rPr>
                <w:rFonts w:eastAsia="Times New Roman"/>
                <w:color w:val="000000"/>
                <w:sz w:val="20"/>
                <w:szCs w:val="20"/>
                <w:lang w:val="en-GB" w:eastAsia="de-DE"/>
              </w:rPr>
              <w:t xml:space="preserve"> and NO</w:t>
            </w:r>
            <w:r w:rsidRPr="00583FAA">
              <w:rPr>
                <w:rFonts w:eastAsia="Times New Roman"/>
                <w:color w:val="000000"/>
                <w:sz w:val="20"/>
                <w:szCs w:val="20"/>
                <w:vertAlign w:val="subscript"/>
                <w:lang w:val="en-GB" w:eastAsia="de-DE"/>
              </w:rPr>
              <w:t>x</w:t>
            </w:r>
            <w:r w:rsidRPr="00583FAA">
              <w:rPr>
                <w:rFonts w:eastAsia="Times New Roman"/>
                <w:color w:val="000000"/>
                <w:sz w:val="20"/>
                <w:szCs w:val="20"/>
                <w:lang w:val="en-GB" w:eastAsia="de-DE"/>
              </w:rPr>
              <w:t xml:space="preserve"> (MM)</w:t>
            </w:r>
          </w:p>
        </w:tc>
        <w:tc>
          <w:tcPr>
            <w:tcW w:w="1134" w:type="dxa"/>
            <w:shd w:val="clear" w:color="auto" w:fill="auto"/>
            <w:noWrap/>
          </w:tcPr>
          <w:p w14:paraId="1DFDB528"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10.26</w:t>
            </w:r>
          </w:p>
        </w:tc>
        <w:tc>
          <w:tcPr>
            <w:tcW w:w="3402" w:type="dxa"/>
          </w:tcPr>
          <w:p w14:paraId="291B9361"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MS = see above</w:t>
            </w:r>
          </w:p>
          <w:p w14:paraId="21F1AD88"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FracGasMS (%) = 30 – 50 (dry lot), 30 – 40 (solid storage)</w:t>
            </w:r>
          </w:p>
        </w:tc>
        <w:tc>
          <w:tcPr>
            <w:tcW w:w="1966" w:type="dxa"/>
          </w:tcPr>
          <w:p w14:paraId="4F9B0436"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10.22),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292CC454" w14:textId="77777777" w:rsidTr="00B64518">
        <w:trPr>
          <w:trHeight w:val="300"/>
        </w:trPr>
        <w:tc>
          <w:tcPr>
            <w:tcW w:w="2835" w:type="dxa"/>
            <w:shd w:val="clear" w:color="auto" w:fill="auto"/>
            <w:noWrap/>
          </w:tcPr>
          <w:p w14:paraId="7BAE70BC"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 losses due to leaching (MM)</w:t>
            </w:r>
          </w:p>
        </w:tc>
        <w:tc>
          <w:tcPr>
            <w:tcW w:w="1134" w:type="dxa"/>
            <w:shd w:val="clear" w:color="auto" w:fill="auto"/>
            <w:noWrap/>
          </w:tcPr>
          <w:p w14:paraId="6E27CD70"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10.28</w:t>
            </w:r>
          </w:p>
        </w:tc>
        <w:tc>
          <w:tcPr>
            <w:tcW w:w="3402" w:type="dxa"/>
          </w:tcPr>
          <w:p w14:paraId="08012652"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MS = see above</w:t>
            </w:r>
          </w:p>
          <w:p w14:paraId="2F27C92B"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FracleachMS (%) = 0 – 20 (dry lot) and 5 – 15 (solid storage)</w:t>
            </w:r>
          </w:p>
        </w:tc>
        <w:tc>
          <w:tcPr>
            <w:tcW w:w="1966" w:type="dxa"/>
          </w:tcPr>
          <w:p w14:paraId="245D4500"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10.23),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3C1E9791" w14:textId="77777777" w:rsidTr="00B64518">
        <w:trPr>
          <w:trHeight w:val="300"/>
        </w:trPr>
        <w:tc>
          <w:tcPr>
            <w:tcW w:w="2835" w:type="dxa"/>
            <w:shd w:val="clear" w:color="auto" w:fill="auto"/>
            <w:noWrap/>
            <w:hideMark/>
          </w:tcPr>
          <w:p w14:paraId="35748E40"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Indirect 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O emissions (MM)</w:t>
            </w:r>
          </w:p>
        </w:tc>
        <w:tc>
          <w:tcPr>
            <w:tcW w:w="1134" w:type="dxa"/>
            <w:shd w:val="clear" w:color="auto" w:fill="auto"/>
            <w:noWrap/>
            <w:hideMark/>
          </w:tcPr>
          <w:p w14:paraId="53820EE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10.27 and 10.29</w:t>
            </w:r>
          </w:p>
        </w:tc>
        <w:tc>
          <w:tcPr>
            <w:tcW w:w="3402" w:type="dxa"/>
          </w:tcPr>
          <w:p w14:paraId="3F81C194"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EF4</w:t>
            </w:r>
            <w:r w:rsidR="00EC0BDC">
              <w:rPr>
                <w:rFonts w:eastAsia="Times New Roman"/>
                <w:color w:val="000000"/>
                <w:sz w:val="20"/>
                <w:szCs w:val="20"/>
                <w:lang w:eastAsia="de-DE"/>
              </w:rPr>
              <w:t xml:space="preserve"> (</w:t>
            </w:r>
            <w:r w:rsidR="00EC0BDC" w:rsidRPr="00197E34">
              <w:rPr>
                <w:rFonts w:eastAsia="Times New Roman"/>
                <w:color w:val="000000"/>
                <w:sz w:val="20"/>
                <w:szCs w:val="20"/>
                <w:lang w:eastAsia="de-DE"/>
              </w:rPr>
              <w:t>kg N</w:t>
            </w:r>
            <w:r w:rsidR="00EC0BDC" w:rsidRPr="00197E34">
              <w:rPr>
                <w:rFonts w:eastAsia="Times New Roman"/>
                <w:color w:val="000000"/>
                <w:sz w:val="20"/>
                <w:szCs w:val="20"/>
                <w:vertAlign w:val="subscript"/>
                <w:lang w:eastAsia="de-DE"/>
              </w:rPr>
              <w:t>2</w:t>
            </w:r>
            <w:r w:rsidR="00EC0BDC" w:rsidRPr="00197E34">
              <w:rPr>
                <w:rFonts w:eastAsia="Times New Roman"/>
                <w:color w:val="000000"/>
                <w:sz w:val="20"/>
                <w:szCs w:val="20"/>
                <w:lang w:eastAsia="de-DE"/>
              </w:rPr>
              <w:t>O–N</w:t>
            </w:r>
            <w:r w:rsidR="00EC0BDC">
              <w:rPr>
                <w:rFonts w:eastAsia="Times New Roman"/>
                <w:color w:val="000000"/>
                <w:sz w:val="20"/>
                <w:szCs w:val="20"/>
                <w:lang w:eastAsia="de-DE"/>
              </w:rPr>
              <w:t>)</w:t>
            </w:r>
            <w:r w:rsidRPr="005355A7">
              <w:rPr>
                <w:rFonts w:eastAsia="Times New Roman"/>
                <w:color w:val="000000"/>
                <w:sz w:val="20"/>
                <w:szCs w:val="20"/>
                <w:lang w:eastAsia="de-DE"/>
              </w:rPr>
              <w:t xml:space="preserve"> = 0.02 – 0.01</w:t>
            </w:r>
          </w:p>
          <w:p w14:paraId="6FEC1D8F"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EF5</w:t>
            </w:r>
            <w:r w:rsidR="00EC0BDC">
              <w:rPr>
                <w:rFonts w:eastAsia="Times New Roman"/>
                <w:color w:val="000000"/>
                <w:sz w:val="20"/>
                <w:szCs w:val="20"/>
                <w:lang w:eastAsia="de-DE"/>
              </w:rPr>
              <w:t xml:space="preserve"> (</w:t>
            </w:r>
            <w:r w:rsidR="00EC0BDC" w:rsidRPr="00197E34">
              <w:rPr>
                <w:rFonts w:eastAsia="Times New Roman"/>
                <w:color w:val="000000"/>
                <w:sz w:val="20"/>
                <w:szCs w:val="20"/>
                <w:lang w:eastAsia="de-DE"/>
              </w:rPr>
              <w:t>kg N</w:t>
            </w:r>
            <w:r w:rsidR="00EC0BDC" w:rsidRPr="00197E34">
              <w:rPr>
                <w:rFonts w:eastAsia="Times New Roman"/>
                <w:color w:val="000000"/>
                <w:sz w:val="20"/>
                <w:szCs w:val="20"/>
                <w:vertAlign w:val="subscript"/>
                <w:lang w:eastAsia="de-DE"/>
              </w:rPr>
              <w:t>2</w:t>
            </w:r>
            <w:r w:rsidR="00EC0BDC" w:rsidRPr="00197E34">
              <w:rPr>
                <w:rFonts w:eastAsia="Times New Roman"/>
                <w:color w:val="000000"/>
                <w:sz w:val="20"/>
                <w:szCs w:val="20"/>
                <w:lang w:eastAsia="de-DE"/>
              </w:rPr>
              <w:t>O–N</w:t>
            </w:r>
            <w:r w:rsidR="00EC0BDC">
              <w:rPr>
                <w:rFonts w:eastAsia="Times New Roman"/>
                <w:color w:val="000000"/>
                <w:sz w:val="20"/>
                <w:szCs w:val="20"/>
                <w:lang w:eastAsia="de-DE"/>
              </w:rPr>
              <w:t>)</w:t>
            </w:r>
            <w:r w:rsidRPr="005355A7">
              <w:rPr>
                <w:rFonts w:eastAsia="Times New Roman"/>
                <w:color w:val="000000"/>
                <w:sz w:val="20"/>
                <w:szCs w:val="20"/>
                <w:lang w:eastAsia="de-DE"/>
              </w:rPr>
              <w:t xml:space="preserve"> = 0.0005 - 0.0075</w:t>
            </w:r>
          </w:p>
          <w:p w14:paraId="5036EC23"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O = N * 44 / 28</w:t>
            </w:r>
          </w:p>
        </w:tc>
        <w:tc>
          <w:tcPr>
            <w:tcW w:w="1966" w:type="dxa"/>
          </w:tcPr>
          <w:p w14:paraId="660DD7D9"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11.3),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1D3730E9" w14:textId="77777777" w:rsidTr="00B64518">
        <w:trPr>
          <w:trHeight w:val="300"/>
        </w:trPr>
        <w:tc>
          <w:tcPr>
            <w:tcW w:w="2835" w:type="dxa"/>
            <w:shd w:val="clear" w:color="auto" w:fill="auto"/>
            <w:noWrap/>
          </w:tcPr>
          <w:p w14:paraId="7CA9798D"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 from animal manure applied to soils used for feed production (MS)</w:t>
            </w:r>
          </w:p>
        </w:tc>
        <w:tc>
          <w:tcPr>
            <w:tcW w:w="1134" w:type="dxa"/>
            <w:shd w:val="clear" w:color="auto" w:fill="auto"/>
            <w:noWrap/>
          </w:tcPr>
          <w:p w14:paraId="0CA91B4C"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11.4</w:t>
            </w:r>
          </w:p>
        </w:tc>
        <w:tc>
          <w:tcPr>
            <w:tcW w:w="3402" w:type="dxa"/>
          </w:tcPr>
          <w:p w14:paraId="4E88FCDD"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FracFEED = 1 - MSO (%) (fraction of manure for other uses) 0.1 - 0.2</w:t>
            </w:r>
          </w:p>
        </w:tc>
        <w:tc>
          <w:tcPr>
            <w:tcW w:w="1966" w:type="dxa"/>
          </w:tcPr>
          <w:p w14:paraId="78598459"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446A075A" w14:textId="77777777" w:rsidTr="00B64518">
        <w:trPr>
          <w:trHeight w:val="300"/>
        </w:trPr>
        <w:tc>
          <w:tcPr>
            <w:tcW w:w="2835" w:type="dxa"/>
            <w:shd w:val="clear" w:color="auto" w:fill="auto"/>
            <w:noWrap/>
          </w:tcPr>
          <w:p w14:paraId="695C27BE"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 in urine and dung deposited on pasture (MS)</w:t>
            </w:r>
          </w:p>
        </w:tc>
        <w:tc>
          <w:tcPr>
            <w:tcW w:w="1134" w:type="dxa"/>
            <w:shd w:val="clear" w:color="auto" w:fill="auto"/>
            <w:noWrap/>
          </w:tcPr>
          <w:p w14:paraId="0F6DA0B5"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11.5</w:t>
            </w:r>
          </w:p>
        </w:tc>
        <w:tc>
          <w:tcPr>
            <w:tcW w:w="3402" w:type="dxa"/>
          </w:tcPr>
          <w:p w14:paraId="7BBAFCD1"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1 – MS = fraction of manure dropped on grazing land</w:t>
            </w:r>
          </w:p>
        </w:tc>
        <w:tc>
          <w:tcPr>
            <w:tcW w:w="1966" w:type="dxa"/>
          </w:tcPr>
          <w:p w14:paraId="4F81DF8D"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IPCC (2006)</w:t>
            </w:r>
          </w:p>
        </w:tc>
      </w:tr>
      <w:tr w:rsidR="009425DD" w:rsidRPr="005355A7" w14:paraId="5A785237" w14:textId="77777777" w:rsidTr="00B64518">
        <w:trPr>
          <w:trHeight w:val="300"/>
        </w:trPr>
        <w:tc>
          <w:tcPr>
            <w:tcW w:w="2835" w:type="dxa"/>
            <w:shd w:val="clear" w:color="auto" w:fill="auto"/>
            <w:noWrap/>
            <w:hideMark/>
          </w:tcPr>
          <w:p w14:paraId="32A8ED73"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Direct N</w:t>
            </w:r>
            <w:r w:rsidRPr="00583FAA">
              <w:rPr>
                <w:rFonts w:eastAsia="Times New Roman"/>
                <w:color w:val="000000"/>
                <w:sz w:val="20"/>
                <w:szCs w:val="20"/>
                <w:vertAlign w:val="subscript"/>
                <w:lang w:val="en-GB" w:eastAsia="de-DE"/>
              </w:rPr>
              <w:t>2</w:t>
            </w:r>
            <w:r w:rsidRPr="00583FAA">
              <w:rPr>
                <w:rFonts w:eastAsia="Times New Roman"/>
                <w:color w:val="000000"/>
                <w:sz w:val="20"/>
                <w:szCs w:val="20"/>
                <w:lang w:val="en-GB" w:eastAsia="de-DE"/>
              </w:rPr>
              <w:t>O emissions from manure deposited on pastures (MS)</w:t>
            </w:r>
          </w:p>
        </w:tc>
        <w:tc>
          <w:tcPr>
            <w:tcW w:w="1134" w:type="dxa"/>
            <w:shd w:val="clear" w:color="auto" w:fill="auto"/>
            <w:noWrap/>
            <w:hideMark/>
          </w:tcPr>
          <w:p w14:paraId="15AA21E2"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11.1</w:t>
            </w:r>
          </w:p>
        </w:tc>
        <w:tc>
          <w:tcPr>
            <w:tcW w:w="3402" w:type="dxa"/>
          </w:tcPr>
          <w:p w14:paraId="3AE28B0E"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EF3PRP</w:t>
            </w:r>
            <w:r w:rsidR="00EC0BDC">
              <w:rPr>
                <w:rFonts w:eastAsia="Times New Roman"/>
                <w:color w:val="000000"/>
                <w:sz w:val="20"/>
                <w:szCs w:val="20"/>
                <w:lang w:eastAsia="de-DE"/>
              </w:rPr>
              <w:t xml:space="preserve"> (</w:t>
            </w:r>
            <w:r w:rsidR="00EC0BDC" w:rsidRPr="00197E34">
              <w:rPr>
                <w:rFonts w:eastAsia="Times New Roman"/>
                <w:color w:val="000000"/>
                <w:sz w:val="20"/>
                <w:szCs w:val="20"/>
                <w:lang w:eastAsia="de-DE"/>
              </w:rPr>
              <w:t>kg N</w:t>
            </w:r>
            <w:r w:rsidR="00EC0BDC" w:rsidRPr="00197E34">
              <w:rPr>
                <w:rFonts w:eastAsia="Times New Roman"/>
                <w:color w:val="000000"/>
                <w:sz w:val="20"/>
                <w:szCs w:val="20"/>
                <w:vertAlign w:val="subscript"/>
                <w:lang w:eastAsia="de-DE"/>
              </w:rPr>
              <w:t>2</w:t>
            </w:r>
            <w:r w:rsidR="00EC0BDC" w:rsidRPr="00197E34">
              <w:rPr>
                <w:rFonts w:eastAsia="Times New Roman"/>
                <w:color w:val="000000"/>
                <w:sz w:val="20"/>
                <w:szCs w:val="20"/>
                <w:lang w:eastAsia="de-DE"/>
              </w:rPr>
              <w:t>O–N</w:t>
            </w:r>
            <w:r w:rsidR="00EC0BDC">
              <w:rPr>
                <w:rFonts w:eastAsia="Times New Roman"/>
                <w:color w:val="000000"/>
                <w:sz w:val="20"/>
                <w:szCs w:val="20"/>
                <w:lang w:eastAsia="de-DE"/>
              </w:rPr>
              <w:t>)</w:t>
            </w:r>
            <w:r w:rsidRPr="005355A7">
              <w:rPr>
                <w:rFonts w:eastAsia="Times New Roman"/>
                <w:color w:val="000000"/>
                <w:sz w:val="20"/>
                <w:szCs w:val="20"/>
                <w:lang w:eastAsia="de-DE"/>
              </w:rPr>
              <w:t xml:space="preserve"> = 0.007 – 0.06</w:t>
            </w:r>
          </w:p>
        </w:tc>
        <w:tc>
          <w:tcPr>
            <w:tcW w:w="1966" w:type="dxa"/>
          </w:tcPr>
          <w:p w14:paraId="1FFD7B85"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11.3),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 Rosenstock </w:t>
            </w:r>
            <w:r>
              <w:rPr>
                <w:rFonts w:eastAsia="Times New Roman"/>
                <w:color w:val="000000"/>
                <w:sz w:val="20"/>
                <w:szCs w:val="20"/>
                <w:lang w:eastAsia="de-DE"/>
              </w:rPr>
              <w:t>et al.</w:t>
            </w:r>
            <w:r w:rsidRPr="005355A7">
              <w:rPr>
                <w:rFonts w:eastAsia="Times New Roman"/>
                <w:color w:val="000000"/>
                <w:sz w:val="20"/>
                <w:szCs w:val="20"/>
                <w:lang w:eastAsia="de-DE"/>
              </w:rPr>
              <w:t xml:space="preserve"> (2016)</w:t>
            </w:r>
          </w:p>
        </w:tc>
      </w:tr>
      <w:tr w:rsidR="009425DD" w:rsidRPr="005355A7" w14:paraId="4EA4CC4F" w14:textId="77777777" w:rsidTr="00B64518">
        <w:trPr>
          <w:trHeight w:val="300"/>
        </w:trPr>
        <w:tc>
          <w:tcPr>
            <w:tcW w:w="2835" w:type="dxa"/>
            <w:shd w:val="clear" w:color="auto" w:fill="auto"/>
            <w:noWrap/>
          </w:tcPr>
          <w:p w14:paraId="54F6EAF6" w14:textId="77777777" w:rsidR="009425DD" w:rsidRPr="006C68FE" w:rsidRDefault="009425DD" w:rsidP="009819E2">
            <w:pPr>
              <w:spacing w:after="0" w:line="240" w:lineRule="auto"/>
              <w:rPr>
                <w:rFonts w:eastAsia="Times New Roman"/>
                <w:color w:val="000000"/>
                <w:sz w:val="20"/>
                <w:szCs w:val="20"/>
                <w:lang w:eastAsia="de-DE"/>
              </w:rPr>
            </w:pPr>
            <w:r w:rsidRPr="006C68FE">
              <w:rPr>
                <w:rFonts w:eastAsia="Times New Roman"/>
                <w:color w:val="000000"/>
                <w:sz w:val="20"/>
                <w:szCs w:val="20"/>
                <w:lang w:eastAsia="de-DE"/>
              </w:rPr>
              <w:t>N in synthetic fertilizer (MS)</w:t>
            </w:r>
          </w:p>
        </w:tc>
        <w:tc>
          <w:tcPr>
            <w:tcW w:w="1134" w:type="dxa"/>
            <w:shd w:val="clear" w:color="auto" w:fill="auto"/>
            <w:noWrap/>
          </w:tcPr>
          <w:p w14:paraId="1FA0B72F"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11.1</w:t>
            </w:r>
          </w:p>
        </w:tc>
        <w:tc>
          <w:tcPr>
            <w:tcW w:w="3402" w:type="dxa"/>
          </w:tcPr>
          <w:p w14:paraId="73A05B6A"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FSN (kg ha</w:t>
            </w:r>
            <w:r w:rsidRPr="005355A7">
              <w:rPr>
                <w:rFonts w:eastAsia="Times New Roman"/>
                <w:color w:val="000000"/>
                <w:sz w:val="20"/>
                <w:szCs w:val="20"/>
                <w:vertAlign w:val="superscript"/>
                <w:lang w:eastAsia="de-DE"/>
              </w:rPr>
              <w:t>-1</w:t>
            </w:r>
            <w:r w:rsidRPr="005355A7">
              <w:rPr>
                <w:rFonts w:eastAsia="Times New Roman"/>
                <w:color w:val="000000"/>
                <w:sz w:val="20"/>
                <w:szCs w:val="20"/>
                <w:lang w:eastAsia="de-DE"/>
              </w:rPr>
              <w:t>) = spatially explicit dataset</w:t>
            </w:r>
          </w:p>
        </w:tc>
        <w:tc>
          <w:tcPr>
            <w:tcW w:w="1966" w:type="dxa"/>
          </w:tcPr>
          <w:p w14:paraId="69DFED70"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Potter </w:t>
            </w:r>
            <w:r>
              <w:rPr>
                <w:rFonts w:eastAsia="Times New Roman"/>
                <w:color w:val="000000"/>
                <w:sz w:val="20"/>
                <w:szCs w:val="20"/>
                <w:lang w:eastAsia="de-DE"/>
              </w:rPr>
              <w:t>et al.</w:t>
            </w:r>
            <w:r w:rsidRPr="005355A7">
              <w:rPr>
                <w:rFonts w:eastAsia="Times New Roman"/>
                <w:color w:val="000000"/>
                <w:sz w:val="20"/>
                <w:szCs w:val="20"/>
                <w:lang w:eastAsia="de-DE"/>
              </w:rPr>
              <w:t xml:space="preserve"> (2010)</w:t>
            </w:r>
          </w:p>
        </w:tc>
      </w:tr>
      <w:tr w:rsidR="009425DD" w:rsidRPr="005355A7" w14:paraId="2E38F165" w14:textId="77777777" w:rsidTr="00B64518">
        <w:trPr>
          <w:trHeight w:val="300"/>
        </w:trPr>
        <w:tc>
          <w:tcPr>
            <w:tcW w:w="2835" w:type="dxa"/>
            <w:shd w:val="clear" w:color="auto" w:fill="auto"/>
            <w:noWrap/>
          </w:tcPr>
          <w:p w14:paraId="233EDEBF"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 in crop residues (above and below ground) (MS)</w:t>
            </w:r>
          </w:p>
        </w:tc>
        <w:tc>
          <w:tcPr>
            <w:tcW w:w="1134" w:type="dxa"/>
            <w:shd w:val="clear" w:color="auto" w:fill="auto"/>
            <w:noWrap/>
          </w:tcPr>
          <w:p w14:paraId="3DF41C6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11.7 and 11.7A</w:t>
            </w:r>
          </w:p>
        </w:tc>
        <w:tc>
          <w:tcPr>
            <w:tcW w:w="3402" w:type="dxa"/>
          </w:tcPr>
          <w:p w14:paraId="58F18AA8"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Fcr = calculated per crop (Napier grass and maize)</w:t>
            </w:r>
          </w:p>
          <w:p w14:paraId="45612B91" w14:textId="77777777" w:rsidR="009425DD" w:rsidRPr="006C68FE" w:rsidRDefault="009425DD" w:rsidP="009819E2">
            <w:pPr>
              <w:spacing w:after="0" w:line="240" w:lineRule="auto"/>
              <w:rPr>
                <w:rFonts w:eastAsia="Times New Roman"/>
                <w:color w:val="000000"/>
                <w:sz w:val="20"/>
                <w:szCs w:val="20"/>
                <w:lang w:val="it-IT" w:eastAsia="de-DE"/>
              </w:rPr>
            </w:pPr>
            <w:r w:rsidRPr="006C68FE">
              <w:rPr>
                <w:rFonts w:eastAsia="Times New Roman"/>
                <w:color w:val="000000"/>
                <w:sz w:val="20"/>
                <w:szCs w:val="20"/>
                <w:lang w:val="it-IT" w:eastAsia="de-DE"/>
              </w:rPr>
              <w:t>Yields (kg ha</w:t>
            </w:r>
            <w:r w:rsidRPr="006C68FE">
              <w:rPr>
                <w:rFonts w:eastAsia="Times New Roman"/>
                <w:color w:val="000000"/>
                <w:sz w:val="20"/>
                <w:szCs w:val="20"/>
                <w:vertAlign w:val="superscript"/>
                <w:lang w:val="it-IT" w:eastAsia="de-DE"/>
              </w:rPr>
              <w:t>-1</w:t>
            </w:r>
            <w:r w:rsidRPr="006C68FE">
              <w:rPr>
                <w:rFonts w:eastAsia="Times New Roman"/>
                <w:color w:val="000000"/>
                <w:sz w:val="20"/>
                <w:szCs w:val="20"/>
                <w:lang w:val="it-IT" w:eastAsia="de-DE"/>
              </w:rPr>
              <w:t>):</w:t>
            </w:r>
          </w:p>
          <w:p w14:paraId="3BD14007" w14:textId="6300B230" w:rsidR="009425DD" w:rsidRPr="006C68FE" w:rsidRDefault="009425DD" w:rsidP="009819E2">
            <w:pPr>
              <w:spacing w:after="0" w:line="240" w:lineRule="auto"/>
              <w:rPr>
                <w:rFonts w:eastAsia="Times New Roman"/>
                <w:color w:val="000000"/>
                <w:sz w:val="20"/>
                <w:szCs w:val="20"/>
                <w:lang w:val="it-IT" w:eastAsia="de-DE"/>
              </w:rPr>
            </w:pPr>
            <w:r w:rsidRPr="006C68FE">
              <w:rPr>
                <w:rFonts w:eastAsia="Times New Roman"/>
                <w:color w:val="000000"/>
                <w:sz w:val="20"/>
                <w:szCs w:val="20"/>
                <w:lang w:val="it-IT" w:eastAsia="de-DE"/>
              </w:rPr>
              <w:t>Napier grass = 12</w:t>
            </w:r>
            <w:r w:rsidR="002330BD">
              <w:rPr>
                <w:rFonts w:eastAsia="Times New Roman"/>
                <w:color w:val="000000"/>
                <w:sz w:val="20"/>
                <w:szCs w:val="20"/>
                <w:lang w:val="it-IT" w:eastAsia="de-DE"/>
              </w:rPr>
              <w:t>,</w:t>
            </w:r>
            <w:r w:rsidRPr="006C68FE">
              <w:rPr>
                <w:rFonts w:eastAsia="Times New Roman"/>
                <w:color w:val="000000"/>
                <w:sz w:val="20"/>
                <w:szCs w:val="20"/>
                <w:lang w:val="it-IT" w:eastAsia="de-DE"/>
              </w:rPr>
              <w:t>000 (MRA, MIA) – 16</w:t>
            </w:r>
            <w:r w:rsidR="002330BD">
              <w:rPr>
                <w:rFonts w:eastAsia="Times New Roman"/>
                <w:color w:val="000000"/>
                <w:sz w:val="20"/>
                <w:szCs w:val="20"/>
                <w:lang w:val="it-IT" w:eastAsia="de-DE"/>
              </w:rPr>
              <w:t>,</w:t>
            </w:r>
            <w:r w:rsidRPr="006C68FE">
              <w:rPr>
                <w:rFonts w:eastAsia="Times New Roman"/>
                <w:color w:val="000000"/>
                <w:sz w:val="20"/>
                <w:szCs w:val="20"/>
                <w:lang w:val="it-IT" w:eastAsia="de-DE"/>
              </w:rPr>
              <w:t>000 (MRH, MIH)</w:t>
            </w:r>
          </w:p>
          <w:p w14:paraId="65922B07" w14:textId="24291C88" w:rsidR="009425DD" w:rsidRPr="006C68FE" w:rsidRDefault="009425DD" w:rsidP="009819E2">
            <w:pPr>
              <w:spacing w:after="0" w:line="240" w:lineRule="auto"/>
              <w:rPr>
                <w:rFonts w:eastAsia="Times New Roman"/>
                <w:color w:val="000000"/>
                <w:sz w:val="20"/>
                <w:szCs w:val="20"/>
                <w:lang w:val="it-IT" w:eastAsia="de-DE"/>
              </w:rPr>
            </w:pPr>
            <w:r w:rsidRPr="006C68FE">
              <w:rPr>
                <w:rFonts w:eastAsia="Times New Roman"/>
                <w:color w:val="000000"/>
                <w:sz w:val="20"/>
                <w:szCs w:val="20"/>
                <w:lang w:val="it-IT" w:eastAsia="de-DE"/>
              </w:rPr>
              <w:t>Maize = 2</w:t>
            </w:r>
            <w:r w:rsidR="002330BD">
              <w:rPr>
                <w:rFonts w:eastAsia="Times New Roman"/>
                <w:color w:val="000000"/>
                <w:sz w:val="20"/>
                <w:szCs w:val="20"/>
                <w:lang w:val="it-IT" w:eastAsia="de-DE"/>
              </w:rPr>
              <w:t>,</w:t>
            </w:r>
            <w:r w:rsidRPr="006C68FE">
              <w:rPr>
                <w:rFonts w:eastAsia="Times New Roman"/>
                <w:color w:val="000000"/>
                <w:sz w:val="20"/>
                <w:szCs w:val="20"/>
                <w:lang w:val="it-IT" w:eastAsia="de-DE"/>
              </w:rPr>
              <w:t>335 (MRA, MIA) – 4</w:t>
            </w:r>
            <w:r w:rsidR="002330BD">
              <w:rPr>
                <w:rFonts w:eastAsia="Times New Roman"/>
                <w:color w:val="000000"/>
                <w:sz w:val="20"/>
                <w:szCs w:val="20"/>
                <w:lang w:val="it-IT" w:eastAsia="de-DE"/>
              </w:rPr>
              <w:t>,</w:t>
            </w:r>
            <w:r w:rsidRPr="006C68FE">
              <w:rPr>
                <w:rFonts w:eastAsia="Times New Roman"/>
                <w:color w:val="000000"/>
                <w:sz w:val="20"/>
                <w:szCs w:val="20"/>
                <w:lang w:val="it-IT" w:eastAsia="de-DE"/>
              </w:rPr>
              <w:t>747 (MRH, MIH)</w:t>
            </w:r>
          </w:p>
          <w:p w14:paraId="33898742"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lastRenderedPageBreak/>
              <w:t>FracRemove = 0.75</w:t>
            </w:r>
          </w:p>
          <w:p w14:paraId="3E16AF0A"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Area burnt = 0</w:t>
            </w:r>
          </w:p>
          <w:p w14:paraId="0745F817"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Other values taken from table 11.2, for Napier grass = perennial grasses</w:t>
            </w:r>
          </w:p>
        </w:tc>
        <w:tc>
          <w:tcPr>
            <w:tcW w:w="1966" w:type="dxa"/>
          </w:tcPr>
          <w:p w14:paraId="224B3B96" w14:textId="77777777" w:rsidR="009425DD" w:rsidRPr="006C68FE" w:rsidRDefault="009425DD" w:rsidP="009819E2">
            <w:pPr>
              <w:spacing w:after="0" w:line="240" w:lineRule="auto"/>
              <w:rPr>
                <w:rFonts w:eastAsia="Times New Roman"/>
                <w:color w:val="000000"/>
                <w:sz w:val="20"/>
                <w:szCs w:val="20"/>
                <w:lang w:val="fr-FR" w:eastAsia="de-DE"/>
              </w:rPr>
            </w:pPr>
            <w:r w:rsidRPr="006C68FE">
              <w:rPr>
                <w:rFonts w:eastAsia="Times New Roman"/>
                <w:color w:val="000000"/>
                <w:sz w:val="20"/>
                <w:szCs w:val="20"/>
                <w:lang w:val="fr-FR" w:eastAsia="de-DE"/>
              </w:rPr>
              <w:lastRenderedPageBreak/>
              <w:t>IPCC (2006, table 11.2),</w:t>
            </w:r>
          </w:p>
          <w:p w14:paraId="3B39A9EE" w14:textId="77777777" w:rsidR="009425DD" w:rsidRPr="005355A7" w:rsidRDefault="009425DD" w:rsidP="009819E2">
            <w:pPr>
              <w:spacing w:after="0" w:line="240" w:lineRule="auto"/>
              <w:rPr>
                <w:rFonts w:eastAsia="Times New Roman"/>
                <w:color w:val="000000"/>
                <w:sz w:val="20"/>
                <w:szCs w:val="20"/>
                <w:lang w:eastAsia="de-DE"/>
              </w:rPr>
            </w:pPr>
            <w:r w:rsidRPr="006C68FE">
              <w:rPr>
                <w:sz w:val="20"/>
                <w:szCs w:val="20"/>
                <w:lang w:val="fr-FR"/>
              </w:rPr>
              <w:t>Monfreda et al. (2008), Katiku et al. (2011), Weiler et al. (2014), Castellanos-</w:t>
            </w:r>
            <w:r w:rsidRPr="006C68FE">
              <w:rPr>
                <w:sz w:val="20"/>
                <w:szCs w:val="20"/>
                <w:lang w:val="fr-FR"/>
              </w:rPr>
              <w:lastRenderedPageBreak/>
              <w:t xml:space="preserve">Navarrete et al. </w:t>
            </w:r>
            <w:r w:rsidRPr="005355A7">
              <w:rPr>
                <w:sz w:val="20"/>
                <w:szCs w:val="20"/>
              </w:rPr>
              <w:t>(2015)</w:t>
            </w:r>
          </w:p>
        </w:tc>
      </w:tr>
      <w:tr w:rsidR="009425DD" w:rsidRPr="007B628E" w14:paraId="48FD714F" w14:textId="77777777" w:rsidTr="00B64518">
        <w:trPr>
          <w:trHeight w:val="300"/>
        </w:trPr>
        <w:tc>
          <w:tcPr>
            <w:tcW w:w="2835" w:type="dxa"/>
            <w:shd w:val="clear" w:color="auto" w:fill="auto"/>
            <w:noWrap/>
          </w:tcPr>
          <w:p w14:paraId="599172AD"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lastRenderedPageBreak/>
              <w:t>Mineralised N in mineral soils due to loss of soil carbon through land use change</w:t>
            </w:r>
          </w:p>
        </w:tc>
        <w:tc>
          <w:tcPr>
            <w:tcW w:w="1134" w:type="dxa"/>
            <w:shd w:val="clear" w:color="auto" w:fill="auto"/>
            <w:noWrap/>
          </w:tcPr>
          <w:p w14:paraId="3BE93F86"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11.8</w:t>
            </w:r>
          </w:p>
        </w:tc>
        <w:tc>
          <w:tcPr>
            <w:tcW w:w="3402" w:type="dxa"/>
          </w:tcPr>
          <w:p w14:paraId="7E36C800"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R (C:N ratio) = spatially explicit dataset</w:t>
            </w:r>
          </w:p>
          <w:p w14:paraId="16A39D6A"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Area = </w:t>
            </w:r>
            <w:r w:rsidR="00F81421">
              <w:rPr>
                <w:rFonts w:eastAsia="Times New Roman"/>
                <w:color w:val="000000"/>
                <w:sz w:val="20"/>
                <w:szCs w:val="20"/>
                <w:lang w:eastAsia="de-DE"/>
              </w:rPr>
              <w:t>calculated, see reference</w:t>
            </w:r>
          </w:p>
        </w:tc>
        <w:tc>
          <w:tcPr>
            <w:tcW w:w="1966" w:type="dxa"/>
          </w:tcPr>
          <w:p w14:paraId="1DDAB743" w14:textId="77777777" w:rsidR="009425DD" w:rsidRPr="006C68FE" w:rsidRDefault="009425DD" w:rsidP="009819E2">
            <w:pPr>
              <w:spacing w:after="0" w:line="240" w:lineRule="auto"/>
              <w:rPr>
                <w:rFonts w:eastAsia="Times New Roman"/>
                <w:color w:val="000000"/>
                <w:sz w:val="20"/>
                <w:szCs w:val="20"/>
                <w:lang w:val="fr-FR" w:eastAsia="de-DE"/>
              </w:rPr>
            </w:pPr>
            <w:r w:rsidRPr="006C68FE">
              <w:rPr>
                <w:rFonts w:eastAsia="Times New Roman"/>
                <w:color w:val="000000"/>
                <w:sz w:val="20"/>
                <w:szCs w:val="20"/>
                <w:lang w:val="fr-FR" w:eastAsia="de-DE"/>
              </w:rPr>
              <w:t>Hengl et al. (2015)</w:t>
            </w:r>
            <w:r w:rsidR="00F81421" w:rsidRPr="006C68FE">
              <w:rPr>
                <w:rFonts w:eastAsia="Times New Roman"/>
                <w:color w:val="000000"/>
                <w:sz w:val="20"/>
                <w:szCs w:val="20"/>
                <w:lang w:val="fr-FR" w:eastAsia="de-DE"/>
              </w:rPr>
              <w:t>,</w:t>
            </w:r>
          </w:p>
          <w:p w14:paraId="6AB55151" w14:textId="77777777" w:rsidR="00F81421" w:rsidRPr="00B26206" w:rsidRDefault="00F81421" w:rsidP="009819E2">
            <w:pPr>
              <w:spacing w:after="0" w:line="240" w:lineRule="auto"/>
              <w:rPr>
                <w:rFonts w:eastAsia="Times New Roman"/>
                <w:color w:val="000000"/>
                <w:sz w:val="20"/>
                <w:szCs w:val="20"/>
                <w:lang w:eastAsia="de-DE"/>
              </w:rPr>
            </w:pPr>
            <w:r w:rsidRPr="006C68FE">
              <w:rPr>
                <w:rFonts w:eastAsia="Times New Roman"/>
                <w:color w:val="000000"/>
                <w:sz w:val="20"/>
                <w:szCs w:val="20"/>
                <w:lang w:val="fr-FR" w:eastAsia="de-DE"/>
              </w:rPr>
              <w:t xml:space="preserve">Brandt et al. </w:t>
            </w:r>
            <w:r w:rsidRPr="00B26206">
              <w:rPr>
                <w:rFonts w:eastAsia="Times New Roman"/>
                <w:color w:val="000000"/>
                <w:sz w:val="20"/>
                <w:szCs w:val="20"/>
                <w:lang w:eastAsia="de-DE"/>
              </w:rPr>
              <w:t>(2018)</w:t>
            </w:r>
          </w:p>
        </w:tc>
      </w:tr>
      <w:tr w:rsidR="009425DD" w:rsidRPr="005355A7" w14:paraId="1DC5D72A" w14:textId="77777777" w:rsidTr="00B64518">
        <w:trPr>
          <w:trHeight w:val="300"/>
        </w:trPr>
        <w:tc>
          <w:tcPr>
            <w:tcW w:w="2835" w:type="dxa"/>
            <w:shd w:val="clear" w:color="auto" w:fill="auto"/>
            <w:noWrap/>
            <w:hideMark/>
          </w:tcPr>
          <w:p w14:paraId="3DF0B838"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Direct 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O emissions (MS)</w:t>
            </w:r>
          </w:p>
        </w:tc>
        <w:tc>
          <w:tcPr>
            <w:tcW w:w="1134" w:type="dxa"/>
            <w:shd w:val="clear" w:color="auto" w:fill="auto"/>
            <w:noWrap/>
            <w:hideMark/>
          </w:tcPr>
          <w:p w14:paraId="56D811FC"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11.1</w:t>
            </w:r>
          </w:p>
        </w:tc>
        <w:tc>
          <w:tcPr>
            <w:tcW w:w="3402" w:type="dxa"/>
          </w:tcPr>
          <w:p w14:paraId="3A36E1FD"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EF1</w:t>
            </w:r>
            <w:r w:rsidR="00EC0BDC" w:rsidRPr="00583FAA">
              <w:rPr>
                <w:rFonts w:eastAsia="Times New Roman"/>
                <w:color w:val="000000"/>
                <w:sz w:val="20"/>
                <w:szCs w:val="20"/>
                <w:lang w:val="en-GB" w:eastAsia="de-DE"/>
              </w:rPr>
              <w:t xml:space="preserve"> (kg N</w:t>
            </w:r>
            <w:r w:rsidR="00EC0BDC" w:rsidRPr="00583FAA">
              <w:rPr>
                <w:rFonts w:eastAsia="Times New Roman"/>
                <w:color w:val="000000"/>
                <w:sz w:val="20"/>
                <w:szCs w:val="20"/>
                <w:vertAlign w:val="subscript"/>
                <w:lang w:val="en-GB" w:eastAsia="de-DE"/>
              </w:rPr>
              <w:t>2</w:t>
            </w:r>
            <w:r w:rsidR="00EC0BDC" w:rsidRPr="00583FAA">
              <w:rPr>
                <w:rFonts w:eastAsia="Times New Roman"/>
                <w:color w:val="000000"/>
                <w:sz w:val="20"/>
                <w:szCs w:val="20"/>
                <w:lang w:val="en-GB" w:eastAsia="de-DE"/>
              </w:rPr>
              <w:t>O–N)</w:t>
            </w:r>
            <w:r w:rsidRPr="00583FAA">
              <w:rPr>
                <w:rFonts w:eastAsia="Times New Roman"/>
                <w:color w:val="000000"/>
                <w:sz w:val="20"/>
                <w:szCs w:val="20"/>
                <w:lang w:val="en-GB" w:eastAsia="de-DE"/>
              </w:rPr>
              <w:t xml:space="preserve"> = 0.003 – 0.005 (MRA, MIA) and 0.003 – 0.02 (MRH, MIH) and 0.003 – 0.01 (MRT) and 0.0004 – 0.036 (MIT)</w:t>
            </w:r>
          </w:p>
        </w:tc>
        <w:tc>
          <w:tcPr>
            <w:tcW w:w="1966" w:type="dxa"/>
          </w:tcPr>
          <w:p w14:paraId="668880E6" w14:textId="77777777" w:rsidR="009425DD" w:rsidRPr="005355A7" w:rsidRDefault="009425DD" w:rsidP="009819E2">
            <w:pPr>
              <w:spacing w:after="0" w:line="240" w:lineRule="auto"/>
              <w:rPr>
                <w:rFonts w:eastAsia="Times New Roman"/>
                <w:color w:val="000000"/>
                <w:sz w:val="20"/>
                <w:szCs w:val="20"/>
                <w:lang w:eastAsia="de-DE"/>
              </w:rPr>
            </w:pPr>
            <w:r w:rsidRPr="00583FAA">
              <w:rPr>
                <w:rFonts w:eastAsia="Times New Roman"/>
                <w:color w:val="000000"/>
                <w:sz w:val="20"/>
                <w:szCs w:val="20"/>
                <w:lang w:val="en-GB" w:eastAsia="de-DE"/>
              </w:rPr>
              <w:t xml:space="preserve">IPCC (2006, table 11.1 and 11.2), Herrero et al. </w:t>
            </w:r>
            <w:r w:rsidRPr="005355A7">
              <w:rPr>
                <w:rFonts w:eastAsia="Times New Roman"/>
                <w:color w:val="000000"/>
                <w:sz w:val="20"/>
                <w:szCs w:val="20"/>
                <w:lang w:eastAsia="de-DE"/>
              </w:rPr>
              <w:t xml:space="preserve">(2013), Hickmann </w:t>
            </w:r>
            <w:r>
              <w:rPr>
                <w:rFonts w:eastAsia="Times New Roman"/>
                <w:color w:val="000000"/>
                <w:sz w:val="20"/>
                <w:szCs w:val="20"/>
                <w:lang w:eastAsia="de-DE"/>
              </w:rPr>
              <w:t>et al.</w:t>
            </w:r>
            <w:r w:rsidRPr="005355A7">
              <w:rPr>
                <w:rFonts w:eastAsia="Times New Roman"/>
                <w:color w:val="000000"/>
                <w:sz w:val="20"/>
                <w:szCs w:val="20"/>
                <w:lang w:eastAsia="de-DE"/>
              </w:rPr>
              <w:t xml:space="preserve"> (2017)</w:t>
            </w:r>
          </w:p>
        </w:tc>
      </w:tr>
      <w:tr w:rsidR="009425DD" w:rsidRPr="005355A7" w14:paraId="49FF88EB" w14:textId="77777777" w:rsidTr="00B64518">
        <w:trPr>
          <w:trHeight w:val="300"/>
        </w:trPr>
        <w:tc>
          <w:tcPr>
            <w:tcW w:w="2835" w:type="dxa"/>
            <w:shd w:val="clear" w:color="auto" w:fill="auto"/>
            <w:noWrap/>
          </w:tcPr>
          <w:p w14:paraId="49DC3768"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w:t>
            </w:r>
            <w:r w:rsidRPr="00583FAA">
              <w:rPr>
                <w:rFonts w:eastAsia="Times New Roman"/>
                <w:color w:val="000000"/>
                <w:sz w:val="20"/>
                <w:szCs w:val="20"/>
                <w:vertAlign w:val="subscript"/>
                <w:lang w:val="en-GB" w:eastAsia="de-DE"/>
              </w:rPr>
              <w:t>2</w:t>
            </w:r>
            <w:r w:rsidRPr="00583FAA">
              <w:rPr>
                <w:rFonts w:eastAsia="Times New Roman"/>
                <w:color w:val="000000"/>
                <w:sz w:val="20"/>
                <w:szCs w:val="20"/>
                <w:lang w:val="en-GB" w:eastAsia="de-DE"/>
              </w:rPr>
              <w:t>O-N from atmospheric deposition (MS)</w:t>
            </w:r>
          </w:p>
        </w:tc>
        <w:tc>
          <w:tcPr>
            <w:tcW w:w="1134" w:type="dxa"/>
            <w:shd w:val="clear" w:color="auto" w:fill="auto"/>
            <w:noWrap/>
          </w:tcPr>
          <w:p w14:paraId="20465FC2"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11.9</w:t>
            </w:r>
          </w:p>
        </w:tc>
        <w:tc>
          <w:tcPr>
            <w:tcW w:w="3402" w:type="dxa"/>
          </w:tcPr>
          <w:p w14:paraId="46D45A30"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FracGASM</w:t>
            </w:r>
            <w:r w:rsidR="00EC0BDC" w:rsidRPr="00583FAA">
              <w:rPr>
                <w:rFonts w:eastAsia="Times New Roman"/>
                <w:color w:val="000000"/>
                <w:sz w:val="20"/>
                <w:szCs w:val="20"/>
                <w:lang w:val="en-GB" w:eastAsia="de-DE"/>
              </w:rPr>
              <w:t xml:space="preserve"> (kg N)</w:t>
            </w:r>
            <w:r w:rsidRPr="00583FAA">
              <w:rPr>
                <w:rFonts w:eastAsia="Times New Roman"/>
                <w:color w:val="000000"/>
                <w:sz w:val="20"/>
                <w:szCs w:val="20"/>
                <w:lang w:val="en-GB" w:eastAsia="de-DE"/>
              </w:rPr>
              <w:t xml:space="preserve"> = 0.05 – 0.3 (dry lot) and 0.05 – 0.2 (solid storage)</w:t>
            </w:r>
          </w:p>
          <w:p w14:paraId="5B94AC91"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FacGASF</w:t>
            </w:r>
            <w:r w:rsidR="00EC0BDC" w:rsidRPr="00583FAA">
              <w:rPr>
                <w:rFonts w:eastAsia="Times New Roman"/>
                <w:color w:val="000000"/>
                <w:sz w:val="20"/>
                <w:szCs w:val="20"/>
                <w:lang w:val="en-GB" w:eastAsia="de-DE"/>
              </w:rPr>
              <w:t xml:space="preserve"> (kg N)</w:t>
            </w:r>
            <w:r w:rsidRPr="00583FAA">
              <w:rPr>
                <w:rFonts w:eastAsia="Times New Roman"/>
                <w:color w:val="000000"/>
                <w:sz w:val="20"/>
                <w:szCs w:val="20"/>
                <w:lang w:val="en-GB" w:eastAsia="de-DE"/>
              </w:rPr>
              <w:t xml:space="preserve"> = 0.03 – 0.3</w:t>
            </w:r>
          </w:p>
          <w:p w14:paraId="71AD1B4D"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EF4</w:t>
            </w:r>
            <w:r w:rsidR="00197E34" w:rsidRPr="00583FAA">
              <w:rPr>
                <w:rFonts w:eastAsia="Times New Roman"/>
                <w:color w:val="000000"/>
                <w:sz w:val="20"/>
                <w:szCs w:val="20"/>
                <w:lang w:val="en-GB" w:eastAsia="de-DE"/>
              </w:rPr>
              <w:t xml:space="preserve"> (kg N</w:t>
            </w:r>
            <w:r w:rsidR="00197E34" w:rsidRPr="00583FAA">
              <w:rPr>
                <w:rFonts w:eastAsia="Times New Roman"/>
                <w:color w:val="000000"/>
                <w:sz w:val="20"/>
                <w:szCs w:val="20"/>
                <w:vertAlign w:val="subscript"/>
                <w:lang w:val="en-GB" w:eastAsia="de-DE"/>
              </w:rPr>
              <w:t>2</w:t>
            </w:r>
            <w:r w:rsidR="00197E34" w:rsidRPr="00583FAA">
              <w:rPr>
                <w:rFonts w:eastAsia="Times New Roman"/>
                <w:color w:val="000000"/>
                <w:sz w:val="20"/>
                <w:szCs w:val="20"/>
                <w:lang w:val="en-GB" w:eastAsia="de-DE"/>
              </w:rPr>
              <w:t>O–N)</w:t>
            </w:r>
            <w:r w:rsidRPr="00583FAA">
              <w:rPr>
                <w:rFonts w:eastAsia="Times New Roman"/>
                <w:color w:val="000000"/>
                <w:sz w:val="20"/>
                <w:szCs w:val="20"/>
                <w:lang w:val="en-GB" w:eastAsia="de-DE"/>
              </w:rPr>
              <w:t xml:space="preserve"> = 0.002 – 0.01</w:t>
            </w:r>
          </w:p>
        </w:tc>
        <w:tc>
          <w:tcPr>
            <w:tcW w:w="1966" w:type="dxa"/>
          </w:tcPr>
          <w:p w14:paraId="18FD570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11.3),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596C9AEA" w14:textId="77777777" w:rsidTr="00B64518">
        <w:trPr>
          <w:trHeight w:val="300"/>
        </w:trPr>
        <w:tc>
          <w:tcPr>
            <w:tcW w:w="2835" w:type="dxa"/>
            <w:shd w:val="clear" w:color="auto" w:fill="auto"/>
            <w:noWrap/>
          </w:tcPr>
          <w:p w14:paraId="6B348B1E"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N</w:t>
            </w:r>
            <w:r w:rsidRPr="00583FAA">
              <w:rPr>
                <w:rFonts w:eastAsia="Times New Roman"/>
                <w:color w:val="000000"/>
                <w:sz w:val="20"/>
                <w:szCs w:val="20"/>
                <w:vertAlign w:val="subscript"/>
                <w:lang w:val="en-GB" w:eastAsia="de-DE"/>
              </w:rPr>
              <w:t>2</w:t>
            </w:r>
            <w:r w:rsidRPr="00583FAA">
              <w:rPr>
                <w:rFonts w:eastAsia="Times New Roman"/>
                <w:color w:val="000000"/>
                <w:sz w:val="20"/>
                <w:szCs w:val="20"/>
                <w:lang w:val="en-GB" w:eastAsia="de-DE"/>
              </w:rPr>
              <w:t>O-N from leaching/runoff (MS)</w:t>
            </w:r>
          </w:p>
        </w:tc>
        <w:tc>
          <w:tcPr>
            <w:tcW w:w="1134" w:type="dxa"/>
            <w:shd w:val="clear" w:color="auto" w:fill="auto"/>
            <w:noWrap/>
          </w:tcPr>
          <w:p w14:paraId="59C9DF6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11.10</w:t>
            </w:r>
          </w:p>
        </w:tc>
        <w:tc>
          <w:tcPr>
            <w:tcW w:w="3402" w:type="dxa"/>
          </w:tcPr>
          <w:p w14:paraId="308B7238"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FracLEACH-H</w:t>
            </w:r>
            <w:r w:rsidR="00197E34" w:rsidRPr="00583FAA">
              <w:rPr>
                <w:rFonts w:eastAsia="Times New Roman"/>
                <w:color w:val="000000"/>
                <w:sz w:val="20"/>
                <w:szCs w:val="20"/>
                <w:lang w:val="en-GB" w:eastAsia="de-DE"/>
              </w:rPr>
              <w:t xml:space="preserve"> (kg N)</w:t>
            </w:r>
            <w:r w:rsidRPr="00583FAA">
              <w:rPr>
                <w:rFonts w:eastAsia="Times New Roman"/>
                <w:color w:val="000000"/>
                <w:sz w:val="20"/>
                <w:szCs w:val="20"/>
                <w:lang w:val="en-GB" w:eastAsia="de-DE"/>
              </w:rPr>
              <w:t xml:space="preserve"> = 0.1 – 0.3</w:t>
            </w:r>
          </w:p>
          <w:p w14:paraId="70A989FC"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 xml:space="preserve">EF5 </w:t>
            </w:r>
            <w:r w:rsidR="00197E34" w:rsidRPr="00583FAA">
              <w:rPr>
                <w:rFonts w:eastAsia="Times New Roman"/>
                <w:color w:val="000000"/>
                <w:sz w:val="20"/>
                <w:szCs w:val="20"/>
                <w:lang w:val="en-GB" w:eastAsia="de-DE"/>
              </w:rPr>
              <w:t>(kg N</w:t>
            </w:r>
            <w:r w:rsidR="00197E34" w:rsidRPr="00583FAA">
              <w:rPr>
                <w:rFonts w:eastAsia="Times New Roman"/>
                <w:color w:val="000000"/>
                <w:sz w:val="20"/>
                <w:szCs w:val="20"/>
                <w:vertAlign w:val="subscript"/>
                <w:lang w:val="en-GB" w:eastAsia="de-DE"/>
              </w:rPr>
              <w:t>2</w:t>
            </w:r>
            <w:r w:rsidR="00197E34" w:rsidRPr="00583FAA">
              <w:rPr>
                <w:rFonts w:eastAsia="Times New Roman"/>
                <w:color w:val="000000"/>
                <w:sz w:val="20"/>
                <w:szCs w:val="20"/>
                <w:lang w:val="en-GB" w:eastAsia="de-DE"/>
              </w:rPr>
              <w:t xml:space="preserve">O–N) </w:t>
            </w:r>
            <w:r w:rsidRPr="00583FAA">
              <w:rPr>
                <w:rFonts w:eastAsia="Times New Roman"/>
                <w:color w:val="000000"/>
                <w:sz w:val="20"/>
                <w:szCs w:val="20"/>
                <w:lang w:val="en-GB" w:eastAsia="de-DE"/>
              </w:rPr>
              <w:t>= 0.005 - 0.0075</w:t>
            </w:r>
          </w:p>
        </w:tc>
        <w:tc>
          <w:tcPr>
            <w:tcW w:w="1966" w:type="dxa"/>
          </w:tcPr>
          <w:p w14:paraId="331F78DE"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IPCC (2006, table 11.3), Herrero </w:t>
            </w:r>
            <w:r>
              <w:rPr>
                <w:rFonts w:eastAsia="Times New Roman"/>
                <w:color w:val="000000"/>
                <w:sz w:val="20"/>
                <w:szCs w:val="20"/>
                <w:lang w:eastAsia="de-DE"/>
              </w:rPr>
              <w:t>et al.</w:t>
            </w:r>
            <w:r w:rsidRPr="005355A7">
              <w:rPr>
                <w:rFonts w:eastAsia="Times New Roman"/>
                <w:color w:val="000000"/>
                <w:sz w:val="20"/>
                <w:szCs w:val="20"/>
                <w:lang w:eastAsia="de-DE"/>
              </w:rPr>
              <w:t xml:space="preserve"> (2013)</w:t>
            </w:r>
          </w:p>
        </w:tc>
      </w:tr>
      <w:tr w:rsidR="009425DD" w:rsidRPr="005355A7" w14:paraId="38D3319D" w14:textId="77777777" w:rsidTr="00B64518">
        <w:trPr>
          <w:trHeight w:val="300"/>
        </w:trPr>
        <w:tc>
          <w:tcPr>
            <w:tcW w:w="2835" w:type="dxa"/>
            <w:shd w:val="clear" w:color="auto" w:fill="auto"/>
            <w:noWrap/>
            <w:hideMark/>
          </w:tcPr>
          <w:p w14:paraId="367FDAAD"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Indirect 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O emissions (MS)</w:t>
            </w:r>
          </w:p>
        </w:tc>
        <w:tc>
          <w:tcPr>
            <w:tcW w:w="1134" w:type="dxa"/>
            <w:shd w:val="clear" w:color="auto" w:fill="auto"/>
            <w:noWrap/>
            <w:hideMark/>
          </w:tcPr>
          <w:p w14:paraId="61F4E64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Eq. 11.9 and 11.10</w:t>
            </w:r>
          </w:p>
        </w:tc>
        <w:tc>
          <w:tcPr>
            <w:tcW w:w="3402" w:type="dxa"/>
          </w:tcPr>
          <w:p w14:paraId="0B32296D"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 xml:space="preserve">Fcr = calculated per crop (Napier grass and </w:t>
            </w:r>
            <w:r w:rsidR="004D6F27" w:rsidRPr="00583FAA">
              <w:rPr>
                <w:rFonts w:eastAsia="Times New Roman"/>
                <w:color w:val="000000"/>
                <w:sz w:val="20"/>
                <w:szCs w:val="20"/>
                <w:lang w:val="en-GB" w:eastAsia="de-DE"/>
              </w:rPr>
              <w:t xml:space="preserve">fodder </w:t>
            </w:r>
            <w:r w:rsidRPr="00583FAA">
              <w:rPr>
                <w:rFonts w:eastAsia="Times New Roman"/>
                <w:color w:val="000000"/>
                <w:sz w:val="20"/>
                <w:szCs w:val="20"/>
                <w:lang w:val="en-GB" w:eastAsia="de-DE"/>
              </w:rPr>
              <w:t>maize)</w:t>
            </w:r>
          </w:p>
          <w:p w14:paraId="1E6BFDF6"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O = N</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O –N * 44 / 28</w:t>
            </w:r>
          </w:p>
        </w:tc>
        <w:tc>
          <w:tcPr>
            <w:tcW w:w="1966" w:type="dxa"/>
          </w:tcPr>
          <w:p w14:paraId="2FFA8529" w14:textId="77777777" w:rsidR="009425DD" w:rsidRPr="005355A7" w:rsidRDefault="009425DD" w:rsidP="009819E2">
            <w:pPr>
              <w:spacing w:after="0" w:line="240" w:lineRule="auto"/>
              <w:rPr>
                <w:rFonts w:eastAsia="Times New Roman"/>
                <w:color w:val="000000"/>
                <w:sz w:val="20"/>
                <w:szCs w:val="20"/>
                <w:lang w:eastAsia="de-DE"/>
              </w:rPr>
            </w:pPr>
            <w:r w:rsidRPr="00583FAA">
              <w:rPr>
                <w:rFonts w:eastAsia="Times New Roman"/>
                <w:color w:val="000000"/>
                <w:sz w:val="20"/>
                <w:szCs w:val="20"/>
                <w:lang w:val="en-GB" w:eastAsia="de-DE"/>
              </w:rPr>
              <w:t xml:space="preserve">IPCC (2006, table 11.2 and 11.3), Herrero et al. </w:t>
            </w:r>
            <w:r w:rsidRPr="005355A7">
              <w:rPr>
                <w:rFonts w:eastAsia="Times New Roman"/>
                <w:color w:val="000000"/>
                <w:sz w:val="20"/>
                <w:szCs w:val="20"/>
                <w:lang w:eastAsia="de-DE"/>
              </w:rPr>
              <w:t>(2013)</w:t>
            </w:r>
          </w:p>
        </w:tc>
      </w:tr>
      <w:tr w:rsidR="009425DD" w:rsidRPr="007B628E" w14:paraId="3DF35DAC" w14:textId="77777777" w:rsidTr="00B64518">
        <w:trPr>
          <w:trHeight w:val="300"/>
        </w:trPr>
        <w:tc>
          <w:tcPr>
            <w:tcW w:w="2835" w:type="dxa"/>
            <w:shd w:val="clear" w:color="auto" w:fill="auto"/>
            <w:noWrap/>
          </w:tcPr>
          <w:p w14:paraId="192324F6"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CO</w:t>
            </w:r>
            <w:r w:rsidRPr="00583FAA">
              <w:rPr>
                <w:rFonts w:eastAsia="Times New Roman"/>
                <w:color w:val="000000"/>
                <w:sz w:val="20"/>
                <w:szCs w:val="20"/>
                <w:vertAlign w:val="subscript"/>
                <w:lang w:val="en-GB" w:eastAsia="de-DE"/>
              </w:rPr>
              <w:t>2</w:t>
            </w:r>
            <w:r w:rsidRPr="00583FAA">
              <w:rPr>
                <w:rFonts w:eastAsia="Times New Roman"/>
                <w:color w:val="000000"/>
                <w:sz w:val="20"/>
                <w:szCs w:val="20"/>
                <w:lang w:val="en-GB" w:eastAsia="de-DE"/>
              </w:rPr>
              <w:t xml:space="preserve"> emissions from land use change</w:t>
            </w:r>
            <w:r w:rsidR="00845BCD" w:rsidRPr="00583FAA">
              <w:rPr>
                <w:rFonts w:eastAsia="Times New Roman"/>
                <w:color w:val="000000"/>
                <w:sz w:val="20"/>
                <w:szCs w:val="20"/>
                <w:lang w:val="en-GB" w:eastAsia="de-DE"/>
              </w:rPr>
              <w:t xml:space="preserve"> (</w:t>
            </w:r>
            <w:r w:rsidRPr="00583FAA">
              <w:rPr>
                <w:rFonts w:eastAsia="Times New Roman"/>
                <w:color w:val="000000"/>
                <w:sz w:val="20"/>
                <w:szCs w:val="20"/>
                <w:lang w:val="en-GB" w:eastAsia="de-DE"/>
              </w:rPr>
              <w:t>grazing land to cropland)</w:t>
            </w:r>
          </w:p>
        </w:tc>
        <w:tc>
          <w:tcPr>
            <w:tcW w:w="1134" w:type="dxa"/>
            <w:shd w:val="clear" w:color="auto" w:fill="auto"/>
            <w:noWrap/>
          </w:tcPr>
          <w:p w14:paraId="744DAB6F" w14:textId="77777777" w:rsidR="009425DD" w:rsidRPr="00583FAA" w:rsidRDefault="009425DD" w:rsidP="009819E2">
            <w:pPr>
              <w:spacing w:after="0" w:line="240" w:lineRule="auto"/>
              <w:rPr>
                <w:rFonts w:eastAsia="Times New Roman"/>
                <w:color w:val="000000"/>
                <w:sz w:val="20"/>
                <w:szCs w:val="20"/>
                <w:lang w:val="en-GB" w:eastAsia="de-DE"/>
              </w:rPr>
            </w:pPr>
          </w:p>
        </w:tc>
        <w:tc>
          <w:tcPr>
            <w:tcW w:w="3402" w:type="dxa"/>
          </w:tcPr>
          <w:p w14:paraId="62B6B8C2"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Soil carbon loss (kg C ha</w:t>
            </w:r>
            <w:r w:rsidRPr="00583FAA">
              <w:rPr>
                <w:rFonts w:eastAsia="Times New Roman"/>
                <w:color w:val="000000"/>
                <w:sz w:val="20"/>
                <w:szCs w:val="20"/>
                <w:vertAlign w:val="superscript"/>
                <w:lang w:val="en-GB" w:eastAsia="de-DE"/>
              </w:rPr>
              <w:t>-1</w:t>
            </w:r>
            <w:r w:rsidRPr="00583FAA">
              <w:rPr>
                <w:rFonts w:eastAsia="Times New Roman"/>
                <w:color w:val="000000"/>
                <w:sz w:val="20"/>
                <w:szCs w:val="20"/>
                <w:lang w:val="en-GB" w:eastAsia="de-DE"/>
              </w:rPr>
              <w:t xml:space="preserve"> yr</w:t>
            </w:r>
            <w:r w:rsidRPr="00583FAA">
              <w:rPr>
                <w:rFonts w:eastAsia="Times New Roman"/>
                <w:color w:val="000000"/>
                <w:sz w:val="20"/>
                <w:szCs w:val="20"/>
                <w:vertAlign w:val="superscript"/>
                <w:lang w:val="en-GB" w:eastAsia="de-DE"/>
              </w:rPr>
              <w:t>-1</w:t>
            </w:r>
            <w:r w:rsidRPr="00583FAA">
              <w:rPr>
                <w:rFonts w:eastAsia="Times New Roman"/>
                <w:color w:val="000000"/>
                <w:sz w:val="20"/>
                <w:szCs w:val="20"/>
                <w:lang w:val="en-GB" w:eastAsia="de-DE"/>
              </w:rPr>
              <w:t>) = 11.1 – 688.2</w:t>
            </w:r>
          </w:p>
          <w:p w14:paraId="16DAD900"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 xml:space="preserve">Area = </w:t>
            </w:r>
            <w:r w:rsidR="004D6F27" w:rsidRPr="00583FAA">
              <w:rPr>
                <w:rFonts w:eastAsia="Times New Roman"/>
                <w:color w:val="000000"/>
                <w:sz w:val="20"/>
                <w:szCs w:val="20"/>
                <w:lang w:val="en-GB" w:eastAsia="de-DE"/>
              </w:rPr>
              <w:t>calculated, see reference</w:t>
            </w:r>
          </w:p>
          <w:p w14:paraId="64C38567"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CO</w:t>
            </w:r>
            <w:r w:rsidRPr="005355A7">
              <w:rPr>
                <w:rFonts w:eastAsia="Times New Roman"/>
                <w:color w:val="000000"/>
                <w:sz w:val="20"/>
                <w:szCs w:val="20"/>
                <w:vertAlign w:val="subscript"/>
                <w:lang w:eastAsia="de-DE"/>
              </w:rPr>
              <w:t>2</w:t>
            </w:r>
            <w:r w:rsidRPr="005355A7">
              <w:rPr>
                <w:rFonts w:eastAsia="Times New Roman"/>
                <w:color w:val="000000"/>
                <w:sz w:val="20"/>
                <w:szCs w:val="20"/>
                <w:lang w:eastAsia="de-DE"/>
              </w:rPr>
              <w:t xml:space="preserve"> = Soil carbon loss * 44 / 12</w:t>
            </w:r>
          </w:p>
        </w:tc>
        <w:tc>
          <w:tcPr>
            <w:tcW w:w="1966" w:type="dxa"/>
          </w:tcPr>
          <w:p w14:paraId="3BE1A74C" w14:textId="77777777" w:rsidR="009425DD" w:rsidRPr="006C68FE" w:rsidRDefault="009425DD" w:rsidP="009819E2">
            <w:pPr>
              <w:spacing w:after="0" w:line="240" w:lineRule="auto"/>
              <w:rPr>
                <w:rFonts w:eastAsia="Times New Roman"/>
                <w:color w:val="000000"/>
                <w:sz w:val="20"/>
                <w:szCs w:val="20"/>
                <w:lang w:val="fr-FR" w:eastAsia="de-DE"/>
              </w:rPr>
            </w:pPr>
            <w:r w:rsidRPr="006C68FE">
              <w:rPr>
                <w:rFonts w:eastAsia="Times New Roman"/>
                <w:color w:val="000000"/>
                <w:sz w:val="20"/>
                <w:szCs w:val="20"/>
                <w:lang w:val="fr-FR" w:eastAsia="de-DE"/>
              </w:rPr>
              <w:t>Don et al. (2011)</w:t>
            </w:r>
            <w:r w:rsidR="004D6F27" w:rsidRPr="006C68FE">
              <w:rPr>
                <w:rFonts w:eastAsia="Times New Roman"/>
                <w:color w:val="000000"/>
                <w:sz w:val="20"/>
                <w:szCs w:val="20"/>
                <w:lang w:val="fr-FR" w:eastAsia="de-DE"/>
              </w:rPr>
              <w:t>,</w:t>
            </w:r>
          </w:p>
          <w:p w14:paraId="5ADBD125" w14:textId="77777777" w:rsidR="004D6F27" w:rsidRPr="00B26206" w:rsidRDefault="004D6F27" w:rsidP="009819E2">
            <w:pPr>
              <w:spacing w:after="0" w:line="240" w:lineRule="auto"/>
              <w:rPr>
                <w:rFonts w:eastAsia="Times New Roman"/>
                <w:color w:val="000000"/>
                <w:sz w:val="20"/>
                <w:szCs w:val="20"/>
                <w:lang w:eastAsia="de-DE"/>
              </w:rPr>
            </w:pPr>
            <w:r w:rsidRPr="006C68FE">
              <w:rPr>
                <w:rFonts w:eastAsia="Times New Roman"/>
                <w:color w:val="000000"/>
                <w:sz w:val="20"/>
                <w:szCs w:val="20"/>
                <w:lang w:val="fr-FR" w:eastAsia="de-DE"/>
              </w:rPr>
              <w:t xml:space="preserve">Brandt et al. </w:t>
            </w:r>
            <w:r w:rsidRPr="00B26206">
              <w:rPr>
                <w:rFonts w:eastAsia="Times New Roman"/>
                <w:color w:val="000000"/>
                <w:sz w:val="20"/>
                <w:szCs w:val="20"/>
                <w:lang w:eastAsia="de-DE"/>
              </w:rPr>
              <w:t>(2018)</w:t>
            </w:r>
          </w:p>
        </w:tc>
      </w:tr>
      <w:tr w:rsidR="009425DD" w:rsidRPr="005355A7" w14:paraId="19B3BB71" w14:textId="77777777" w:rsidTr="00B64518">
        <w:trPr>
          <w:trHeight w:val="300"/>
        </w:trPr>
        <w:tc>
          <w:tcPr>
            <w:tcW w:w="2835" w:type="dxa"/>
            <w:shd w:val="clear" w:color="auto" w:fill="auto"/>
            <w:noWrap/>
          </w:tcPr>
          <w:p w14:paraId="3C5D522C" w14:textId="2987F02A" w:rsidR="009425DD" w:rsidRPr="004D41F1" w:rsidRDefault="009425DD" w:rsidP="009819E2">
            <w:pPr>
              <w:spacing w:after="0" w:line="240" w:lineRule="auto"/>
              <w:rPr>
                <w:rFonts w:eastAsia="Times New Roman"/>
                <w:color w:val="000000"/>
                <w:sz w:val="20"/>
                <w:szCs w:val="20"/>
                <w:lang w:val="en-GB" w:eastAsia="de-DE"/>
              </w:rPr>
            </w:pPr>
            <w:r w:rsidRPr="004D41F1">
              <w:rPr>
                <w:rFonts w:eastAsia="Times New Roman"/>
                <w:color w:val="000000"/>
                <w:sz w:val="20"/>
                <w:szCs w:val="20"/>
                <w:lang w:val="en-GB" w:eastAsia="de-DE"/>
              </w:rPr>
              <w:t>CO</w:t>
            </w:r>
            <w:r w:rsidRPr="004D41F1">
              <w:rPr>
                <w:rFonts w:eastAsia="Times New Roman"/>
                <w:color w:val="000000"/>
                <w:sz w:val="20"/>
                <w:szCs w:val="20"/>
                <w:vertAlign w:val="subscript"/>
                <w:lang w:val="en-GB" w:eastAsia="de-DE"/>
              </w:rPr>
              <w:t>2</w:t>
            </w:r>
            <w:r w:rsidRPr="004D41F1">
              <w:rPr>
                <w:rFonts w:eastAsia="Times New Roman"/>
                <w:color w:val="000000"/>
                <w:sz w:val="20"/>
                <w:szCs w:val="20"/>
                <w:lang w:val="en-GB" w:eastAsia="de-DE"/>
              </w:rPr>
              <w:t xml:space="preserve">eq emissions from </w:t>
            </w:r>
            <w:r w:rsidR="005D0886" w:rsidRPr="004D41F1">
              <w:rPr>
                <w:rFonts w:eastAsia="Times New Roman"/>
                <w:color w:val="000000"/>
                <w:sz w:val="20"/>
                <w:szCs w:val="20"/>
                <w:lang w:val="en-GB" w:eastAsia="de-DE"/>
              </w:rPr>
              <w:t xml:space="preserve">the production of </w:t>
            </w:r>
            <w:r w:rsidRPr="004D41F1">
              <w:rPr>
                <w:rFonts w:eastAsia="Times New Roman"/>
                <w:color w:val="000000"/>
                <w:sz w:val="20"/>
                <w:szCs w:val="20"/>
                <w:lang w:val="en-GB" w:eastAsia="de-DE"/>
              </w:rPr>
              <w:t>dairy concentrate</w:t>
            </w:r>
            <w:r w:rsidR="004D41F1" w:rsidRPr="004D41F1">
              <w:rPr>
                <w:rFonts w:eastAsia="Times New Roman"/>
                <w:color w:val="000000"/>
                <w:sz w:val="20"/>
                <w:szCs w:val="20"/>
                <w:lang w:val="en-GB" w:eastAsia="de-DE"/>
              </w:rPr>
              <w:t>s</w:t>
            </w:r>
          </w:p>
        </w:tc>
        <w:tc>
          <w:tcPr>
            <w:tcW w:w="1134" w:type="dxa"/>
            <w:shd w:val="clear" w:color="auto" w:fill="auto"/>
            <w:noWrap/>
          </w:tcPr>
          <w:p w14:paraId="63262EC9" w14:textId="77777777" w:rsidR="009425DD" w:rsidRPr="004D41F1" w:rsidRDefault="009425DD" w:rsidP="009819E2">
            <w:pPr>
              <w:spacing w:after="0" w:line="240" w:lineRule="auto"/>
              <w:rPr>
                <w:rFonts w:eastAsia="Times New Roman"/>
                <w:color w:val="000000"/>
                <w:sz w:val="20"/>
                <w:szCs w:val="20"/>
                <w:lang w:val="en-GB" w:eastAsia="de-DE"/>
              </w:rPr>
            </w:pPr>
          </w:p>
        </w:tc>
        <w:tc>
          <w:tcPr>
            <w:tcW w:w="3402" w:type="dxa"/>
          </w:tcPr>
          <w:p w14:paraId="4ADDB5D4"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Emission factor (kg CO</w:t>
            </w:r>
            <w:r w:rsidRPr="00583FAA">
              <w:rPr>
                <w:rFonts w:eastAsia="Times New Roman"/>
                <w:color w:val="000000"/>
                <w:sz w:val="20"/>
                <w:szCs w:val="20"/>
                <w:vertAlign w:val="subscript"/>
                <w:lang w:val="en-GB" w:eastAsia="de-DE"/>
              </w:rPr>
              <w:t>2</w:t>
            </w:r>
            <w:r w:rsidRPr="00583FAA">
              <w:rPr>
                <w:rFonts w:eastAsia="Times New Roman"/>
                <w:color w:val="000000"/>
                <w:sz w:val="20"/>
                <w:szCs w:val="20"/>
                <w:lang w:val="en-GB" w:eastAsia="de-DE"/>
              </w:rPr>
              <w:t>eq kg concentrate</w:t>
            </w:r>
            <w:r w:rsidRPr="00583FAA">
              <w:rPr>
                <w:rFonts w:eastAsia="Times New Roman"/>
                <w:color w:val="000000"/>
                <w:sz w:val="20"/>
                <w:szCs w:val="20"/>
                <w:vertAlign w:val="superscript"/>
                <w:lang w:val="en-GB" w:eastAsia="de-DE"/>
              </w:rPr>
              <w:t>-1</w:t>
            </w:r>
            <w:r w:rsidRPr="00583FAA">
              <w:rPr>
                <w:rFonts w:eastAsia="Times New Roman"/>
                <w:color w:val="000000"/>
                <w:sz w:val="20"/>
                <w:szCs w:val="20"/>
                <w:lang w:val="en-GB" w:eastAsia="de-DE"/>
              </w:rPr>
              <w:t>) = 1.36</w:t>
            </w:r>
          </w:p>
        </w:tc>
        <w:tc>
          <w:tcPr>
            <w:tcW w:w="1966" w:type="dxa"/>
          </w:tcPr>
          <w:p w14:paraId="36955391"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Weiler </w:t>
            </w:r>
            <w:r>
              <w:rPr>
                <w:rFonts w:eastAsia="Times New Roman"/>
                <w:color w:val="000000"/>
                <w:sz w:val="20"/>
                <w:szCs w:val="20"/>
                <w:lang w:eastAsia="de-DE"/>
              </w:rPr>
              <w:t>et al.</w:t>
            </w:r>
            <w:r w:rsidRPr="005355A7">
              <w:rPr>
                <w:rFonts w:eastAsia="Times New Roman"/>
                <w:color w:val="000000"/>
                <w:sz w:val="20"/>
                <w:szCs w:val="20"/>
                <w:lang w:eastAsia="de-DE"/>
              </w:rPr>
              <w:t xml:space="preserve"> (2014)</w:t>
            </w:r>
          </w:p>
        </w:tc>
      </w:tr>
      <w:tr w:rsidR="009425DD" w:rsidRPr="005355A7" w14:paraId="640C51F6" w14:textId="77777777" w:rsidTr="00B64518">
        <w:trPr>
          <w:trHeight w:val="300"/>
        </w:trPr>
        <w:tc>
          <w:tcPr>
            <w:tcW w:w="2835" w:type="dxa"/>
            <w:shd w:val="clear" w:color="auto" w:fill="auto"/>
            <w:noWrap/>
          </w:tcPr>
          <w:p w14:paraId="1F2AA8C2"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Cattle densities</w:t>
            </w:r>
          </w:p>
        </w:tc>
        <w:tc>
          <w:tcPr>
            <w:tcW w:w="1134" w:type="dxa"/>
            <w:shd w:val="clear" w:color="auto" w:fill="auto"/>
            <w:noWrap/>
          </w:tcPr>
          <w:p w14:paraId="4298D1A0" w14:textId="77777777" w:rsidR="009425DD" w:rsidRPr="005355A7" w:rsidRDefault="009425DD" w:rsidP="009819E2">
            <w:pPr>
              <w:spacing w:after="0" w:line="240" w:lineRule="auto"/>
              <w:rPr>
                <w:rFonts w:eastAsia="Times New Roman"/>
                <w:color w:val="000000"/>
                <w:sz w:val="20"/>
                <w:szCs w:val="20"/>
                <w:lang w:eastAsia="de-DE"/>
              </w:rPr>
            </w:pPr>
          </w:p>
        </w:tc>
        <w:tc>
          <w:tcPr>
            <w:tcW w:w="3402" w:type="dxa"/>
          </w:tcPr>
          <w:p w14:paraId="7BAEB4F9" w14:textId="77777777" w:rsidR="009425DD" w:rsidRPr="00583FAA" w:rsidRDefault="009425DD" w:rsidP="009819E2">
            <w:pPr>
              <w:spacing w:after="0" w:line="240" w:lineRule="auto"/>
              <w:rPr>
                <w:rFonts w:eastAsia="Times New Roman"/>
                <w:color w:val="000000"/>
                <w:sz w:val="20"/>
                <w:szCs w:val="20"/>
                <w:lang w:val="en-GB" w:eastAsia="de-DE"/>
              </w:rPr>
            </w:pPr>
            <w:r w:rsidRPr="00583FAA">
              <w:rPr>
                <w:rFonts w:eastAsia="Times New Roman"/>
                <w:color w:val="000000"/>
                <w:sz w:val="20"/>
                <w:szCs w:val="20"/>
                <w:lang w:val="en-GB" w:eastAsia="de-DE"/>
              </w:rPr>
              <w:t>Spatially explicit dataset (heads km</w:t>
            </w:r>
            <w:r w:rsidRPr="00583FAA">
              <w:rPr>
                <w:rFonts w:eastAsia="Times New Roman"/>
                <w:color w:val="000000"/>
                <w:sz w:val="20"/>
                <w:szCs w:val="20"/>
                <w:vertAlign w:val="superscript"/>
                <w:lang w:val="en-GB" w:eastAsia="de-DE"/>
              </w:rPr>
              <w:t>-2</w:t>
            </w:r>
            <w:r w:rsidRPr="00583FAA">
              <w:rPr>
                <w:rFonts w:eastAsia="Times New Roman"/>
                <w:color w:val="000000"/>
                <w:sz w:val="20"/>
                <w:szCs w:val="20"/>
                <w:lang w:val="en-GB" w:eastAsia="de-DE"/>
              </w:rPr>
              <w:t>) used to upscale GHG emissions and milk production.</w:t>
            </w:r>
          </w:p>
          <w:p w14:paraId="7861AA17" w14:textId="09AA5AC8" w:rsidR="009425DD" w:rsidRPr="004D41F1" w:rsidRDefault="009425DD" w:rsidP="009819E2">
            <w:pPr>
              <w:spacing w:after="0" w:line="240" w:lineRule="auto"/>
              <w:rPr>
                <w:rFonts w:eastAsia="Times New Roman"/>
                <w:color w:val="000000"/>
                <w:sz w:val="20"/>
                <w:szCs w:val="20"/>
                <w:lang w:val="en-GB" w:eastAsia="de-DE"/>
              </w:rPr>
            </w:pPr>
            <w:r w:rsidRPr="004D41F1">
              <w:rPr>
                <w:rFonts w:eastAsia="Times New Roman"/>
                <w:color w:val="000000"/>
                <w:sz w:val="20"/>
                <w:szCs w:val="20"/>
                <w:lang w:val="en-GB" w:eastAsia="de-DE"/>
              </w:rPr>
              <w:t>Grid cell uncertainty ranges are calculated based on:</w:t>
            </w:r>
          </w:p>
          <w:p w14:paraId="55C73B73"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RMSE of 0.42 = log (x + 1)</w:t>
            </w:r>
          </w:p>
        </w:tc>
        <w:tc>
          <w:tcPr>
            <w:tcW w:w="1966" w:type="dxa"/>
          </w:tcPr>
          <w:p w14:paraId="574097CC" w14:textId="77777777" w:rsidR="009425DD" w:rsidRPr="005355A7" w:rsidRDefault="009425DD" w:rsidP="009819E2">
            <w:pPr>
              <w:spacing w:after="0" w:line="240" w:lineRule="auto"/>
              <w:rPr>
                <w:rFonts w:eastAsia="Times New Roman"/>
                <w:color w:val="000000"/>
                <w:sz w:val="20"/>
                <w:szCs w:val="20"/>
                <w:lang w:eastAsia="de-DE"/>
              </w:rPr>
            </w:pPr>
            <w:r w:rsidRPr="005355A7">
              <w:rPr>
                <w:rFonts w:eastAsia="Times New Roman"/>
                <w:color w:val="000000"/>
                <w:sz w:val="20"/>
                <w:szCs w:val="20"/>
                <w:lang w:eastAsia="de-DE"/>
              </w:rPr>
              <w:t xml:space="preserve">Robinson </w:t>
            </w:r>
            <w:r>
              <w:rPr>
                <w:rFonts w:eastAsia="Times New Roman"/>
                <w:color w:val="000000"/>
                <w:sz w:val="20"/>
                <w:szCs w:val="20"/>
                <w:lang w:eastAsia="de-DE"/>
              </w:rPr>
              <w:t>et al.</w:t>
            </w:r>
            <w:r w:rsidRPr="005355A7">
              <w:rPr>
                <w:rFonts w:eastAsia="Times New Roman"/>
                <w:color w:val="000000"/>
                <w:sz w:val="20"/>
                <w:szCs w:val="20"/>
                <w:lang w:eastAsia="de-DE"/>
              </w:rPr>
              <w:t xml:space="preserve"> (2014)</w:t>
            </w:r>
          </w:p>
        </w:tc>
      </w:tr>
    </w:tbl>
    <w:p w14:paraId="3ACE5845" w14:textId="22B33A24" w:rsidR="004A2988" w:rsidRDefault="004A2988" w:rsidP="004A2988">
      <w:pPr>
        <w:spacing w:line="276" w:lineRule="auto"/>
        <w:rPr>
          <w:b/>
        </w:rPr>
      </w:pPr>
    </w:p>
    <w:p w14:paraId="50CA406F" w14:textId="357461CE" w:rsidR="00B64518" w:rsidRDefault="00B64518" w:rsidP="004A2988">
      <w:pPr>
        <w:spacing w:line="276" w:lineRule="auto"/>
        <w:rPr>
          <w:b/>
        </w:rPr>
      </w:pPr>
    </w:p>
    <w:p w14:paraId="4CD8E2A5" w14:textId="47072165" w:rsidR="00B64518" w:rsidRDefault="00B64518" w:rsidP="004A2988">
      <w:pPr>
        <w:spacing w:line="276" w:lineRule="auto"/>
        <w:rPr>
          <w:b/>
        </w:rPr>
      </w:pPr>
    </w:p>
    <w:p w14:paraId="7798F63C" w14:textId="1445EE84" w:rsidR="00B64518" w:rsidRDefault="00B64518" w:rsidP="004A2988">
      <w:pPr>
        <w:spacing w:line="276" w:lineRule="auto"/>
        <w:rPr>
          <w:b/>
        </w:rPr>
      </w:pPr>
    </w:p>
    <w:p w14:paraId="59DBF360" w14:textId="73056B65" w:rsidR="00B64518" w:rsidRDefault="00B64518" w:rsidP="004A2988">
      <w:pPr>
        <w:spacing w:line="276" w:lineRule="auto"/>
        <w:rPr>
          <w:b/>
        </w:rPr>
      </w:pPr>
    </w:p>
    <w:p w14:paraId="31F5FC93" w14:textId="2F275ADB" w:rsidR="00B64518" w:rsidRDefault="00B64518" w:rsidP="004A2988">
      <w:pPr>
        <w:spacing w:line="276" w:lineRule="auto"/>
        <w:rPr>
          <w:b/>
        </w:rPr>
      </w:pPr>
    </w:p>
    <w:p w14:paraId="13D5492C" w14:textId="49A752B9" w:rsidR="00B64518" w:rsidRDefault="00B64518" w:rsidP="004A2988">
      <w:pPr>
        <w:spacing w:line="276" w:lineRule="auto"/>
        <w:rPr>
          <w:b/>
        </w:rPr>
      </w:pPr>
    </w:p>
    <w:p w14:paraId="331D6211" w14:textId="7A00DAF8" w:rsidR="00B64518" w:rsidRDefault="00B64518" w:rsidP="004A2988">
      <w:pPr>
        <w:spacing w:line="276" w:lineRule="auto"/>
        <w:rPr>
          <w:b/>
        </w:rPr>
      </w:pPr>
    </w:p>
    <w:p w14:paraId="0DDD5302" w14:textId="00CD063E" w:rsidR="00B64518" w:rsidRDefault="00B64518" w:rsidP="004A2988">
      <w:pPr>
        <w:spacing w:line="276" w:lineRule="auto"/>
        <w:rPr>
          <w:b/>
        </w:rPr>
      </w:pPr>
    </w:p>
    <w:p w14:paraId="547531D8" w14:textId="51625D4C" w:rsidR="00B64518" w:rsidRDefault="00B64518" w:rsidP="004A2988">
      <w:pPr>
        <w:spacing w:line="276" w:lineRule="auto"/>
        <w:rPr>
          <w:b/>
        </w:rPr>
      </w:pPr>
    </w:p>
    <w:p w14:paraId="45A201CE" w14:textId="5DF64B43" w:rsidR="00B64518" w:rsidRDefault="00B64518" w:rsidP="004A2988">
      <w:pPr>
        <w:spacing w:line="276" w:lineRule="auto"/>
        <w:rPr>
          <w:b/>
        </w:rPr>
      </w:pPr>
    </w:p>
    <w:p w14:paraId="4CB22367" w14:textId="77777777" w:rsidR="00B64518" w:rsidRDefault="00B64518" w:rsidP="004A2988">
      <w:pPr>
        <w:spacing w:line="276" w:lineRule="auto"/>
        <w:rPr>
          <w:b/>
        </w:rPr>
      </w:pPr>
    </w:p>
    <w:p w14:paraId="74957697" w14:textId="0FAEAA77" w:rsidR="004F48A6" w:rsidRPr="004D41F1" w:rsidRDefault="00A87E4C" w:rsidP="004A2988">
      <w:pPr>
        <w:spacing w:line="276" w:lineRule="auto"/>
        <w:rPr>
          <w:b/>
          <w:lang w:val="en-GB"/>
        </w:rPr>
      </w:pPr>
      <w:r w:rsidRPr="004D41F1">
        <w:rPr>
          <w:b/>
          <w:lang w:val="en-GB"/>
        </w:rPr>
        <w:lastRenderedPageBreak/>
        <w:t xml:space="preserve">2. </w:t>
      </w:r>
      <w:r w:rsidR="004F48A6" w:rsidRPr="004D41F1">
        <w:rPr>
          <w:b/>
          <w:lang w:val="en-GB"/>
        </w:rPr>
        <w:t>Upscaling Approach</w:t>
      </w:r>
    </w:p>
    <w:p w14:paraId="379F51FE" w14:textId="602D80C5" w:rsidR="00296641" w:rsidRPr="00583FAA" w:rsidRDefault="007C3D63" w:rsidP="00296641">
      <w:pPr>
        <w:spacing w:after="0" w:line="360" w:lineRule="auto"/>
        <w:jc w:val="both"/>
        <w:rPr>
          <w:lang w:val="en-GB"/>
        </w:rPr>
      </w:pPr>
      <w:r w:rsidRPr="004D41F1">
        <w:rPr>
          <w:lang w:val="en-GB"/>
        </w:rPr>
        <w:t>Output tables o</w:t>
      </w:r>
      <w:r w:rsidR="0082498F" w:rsidRPr="004D41F1">
        <w:rPr>
          <w:lang w:val="en-GB"/>
        </w:rPr>
        <w:t>f</w:t>
      </w:r>
      <w:r w:rsidRPr="004D41F1">
        <w:rPr>
          <w:lang w:val="en-GB"/>
        </w:rPr>
        <w:t xml:space="preserve"> GHG emissions and milk yields generated by LivSim were</w:t>
      </w:r>
      <w:r w:rsidR="00E32116" w:rsidRPr="004D41F1">
        <w:rPr>
          <w:lang w:val="en-GB"/>
        </w:rPr>
        <w:t xml:space="preserve"> upscaled and mapped by </w:t>
      </w:r>
      <w:r w:rsidRPr="004D41F1">
        <w:rPr>
          <w:lang w:val="en-GB"/>
        </w:rPr>
        <w:t>using spatially explicit data on LPS and cattle density</w:t>
      </w:r>
      <w:r w:rsidR="004D41F1" w:rsidRPr="004D41F1">
        <w:rPr>
          <w:lang w:val="en-GB"/>
        </w:rPr>
        <w:t xml:space="preserve"> at a spatial resolution of 1x</w:t>
      </w:r>
      <w:r w:rsidR="00A761D5" w:rsidRPr="004D41F1">
        <w:rPr>
          <w:lang w:val="en-GB"/>
        </w:rPr>
        <w:t>1 km</w:t>
      </w:r>
      <w:r w:rsidRPr="004D41F1">
        <w:rPr>
          <w:lang w:val="en-GB"/>
        </w:rPr>
        <w:t xml:space="preserve"> (</w:t>
      </w:r>
      <w:r w:rsidR="00BA708F" w:rsidRPr="004D41F1">
        <w:rPr>
          <w:lang w:val="en-GB"/>
        </w:rPr>
        <w:t xml:space="preserve">Fig. </w:t>
      </w:r>
      <w:r w:rsidR="00BA708F" w:rsidRPr="00583FAA">
        <w:rPr>
          <w:lang w:val="en-GB"/>
        </w:rPr>
        <w:t xml:space="preserve">S1, </w:t>
      </w:r>
      <w:r w:rsidRPr="00583FAA">
        <w:rPr>
          <w:lang w:val="en-GB"/>
        </w:rPr>
        <w:t>Robinson et al., 2011, 2014).</w:t>
      </w:r>
      <w:r w:rsidR="00E32116" w:rsidRPr="00583FAA">
        <w:rPr>
          <w:lang w:val="en-GB"/>
        </w:rPr>
        <w:t xml:space="preserve"> Based on cattle density</w:t>
      </w:r>
      <w:r w:rsidR="00BA708F" w:rsidRPr="00583FAA">
        <w:rPr>
          <w:lang w:val="en-GB"/>
        </w:rPr>
        <w:t xml:space="preserve"> </w:t>
      </w:r>
      <w:r w:rsidR="00E32116" w:rsidRPr="00583FAA">
        <w:rPr>
          <w:lang w:val="en-GB"/>
        </w:rPr>
        <w:t xml:space="preserve">and </w:t>
      </w:r>
      <w:r w:rsidR="00E01B24" w:rsidRPr="00583FAA">
        <w:rPr>
          <w:lang w:val="en-GB"/>
        </w:rPr>
        <w:t>sub-national</w:t>
      </w:r>
      <w:r w:rsidR="001E1F6C" w:rsidRPr="00583FAA">
        <w:rPr>
          <w:lang w:val="en-GB"/>
        </w:rPr>
        <w:t>, county-</w:t>
      </w:r>
      <w:r w:rsidR="00E01B24" w:rsidRPr="00583FAA">
        <w:rPr>
          <w:lang w:val="en-GB"/>
        </w:rPr>
        <w:t>level data on cattle types</w:t>
      </w:r>
      <w:r w:rsidR="00E32116" w:rsidRPr="00583FAA">
        <w:rPr>
          <w:lang w:val="en-GB"/>
        </w:rPr>
        <w:t xml:space="preserve">, </w:t>
      </w:r>
      <w:r w:rsidR="00BA708F" w:rsidRPr="00583FAA">
        <w:rPr>
          <w:lang w:val="en-GB"/>
        </w:rPr>
        <w:t>t</w:t>
      </w:r>
      <w:r w:rsidR="00E32116" w:rsidRPr="00583FAA">
        <w:rPr>
          <w:lang w:val="en-GB"/>
        </w:rPr>
        <w:t>he density of dairy cattle was calculated (Government of Kenya</w:t>
      </w:r>
      <w:r w:rsidR="00BA708F" w:rsidRPr="00583FAA">
        <w:rPr>
          <w:lang w:val="en-GB"/>
        </w:rPr>
        <w:t>,</w:t>
      </w:r>
      <w:r w:rsidR="00E32116" w:rsidRPr="00583FAA">
        <w:rPr>
          <w:lang w:val="en-GB"/>
        </w:rPr>
        <w:t xml:space="preserve"> 2014). </w:t>
      </w:r>
      <w:r w:rsidR="00D56A87" w:rsidRPr="00583FAA">
        <w:rPr>
          <w:lang w:val="en-GB"/>
        </w:rPr>
        <w:t>H</w:t>
      </w:r>
      <w:r w:rsidR="00E32116" w:rsidRPr="00583FAA">
        <w:rPr>
          <w:lang w:val="en-GB"/>
        </w:rPr>
        <w:t xml:space="preserve">erd composition data were </w:t>
      </w:r>
      <w:r w:rsidR="001E1F6C" w:rsidRPr="00583FAA">
        <w:rPr>
          <w:lang w:val="en-GB"/>
        </w:rPr>
        <w:t>used to estimate the</w:t>
      </w:r>
      <w:r w:rsidR="00E32116" w:rsidRPr="00583FAA">
        <w:rPr>
          <w:lang w:val="en-GB"/>
        </w:rPr>
        <w:t xml:space="preserve"> proportion of productive and non-productive ani</w:t>
      </w:r>
      <w:r w:rsidR="00747FD3" w:rsidRPr="00583FAA">
        <w:rPr>
          <w:lang w:val="en-GB"/>
        </w:rPr>
        <w:t xml:space="preserve">mals in dairy </w:t>
      </w:r>
      <w:r w:rsidR="0082498F" w:rsidRPr="00583FAA">
        <w:rPr>
          <w:lang w:val="en-GB"/>
        </w:rPr>
        <w:t xml:space="preserve">Kenyan </w:t>
      </w:r>
      <w:r w:rsidR="00747FD3" w:rsidRPr="00583FAA">
        <w:rPr>
          <w:lang w:val="en-GB"/>
        </w:rPr>
        <w:t>herds (</w:t>
      </w:r>
      <w:r w:rsidR="00E32116" w:rsidRPr="00583FAA">
        <w:rPr>
          <w:lang w:val="en-GB"/>
        </w:rPr>
        <w:t>Bebe et al</w:t>
      </w:r>
      <w:r w:rsidR="00747FD3" w:rsidRPr="00583FAA">
        <w:rPr>
          <w:lang w:val="en-GB"/>
        </w:rPr>
        <w:t>.,</w:t>
      </w:r>
      <w:r w:rsidR="00E32116" w:rsidRPr="00583FAA">
        <w:rPr>
          <w:lang w:val="en-GB"/>
        </w:rPr>
        <w:t xml:space="preserve"> 2002). </w:t>
      </w:r>
    </w:p>
    <w:p w14:paraId="7FB96315" w14:textId="45786AA0" w:rsidR="004F48A6" w:rsidRDefault="004F48A6" w:rsidP="004A2988">
      <w:pPr>
        <w:spacing w:line="276" w:lineRule="auto"/>
        <w:jc w:val="both"/>
      </w:pPr>
      <w:r>
        <w:rPr>
          <w:noProof/>
          <w:lang w:val="en-GB" w:eastAsia="en-GB"/>
        </w:rPr>
        <w:drawing>
          <wp:inline distT="0" distB="0" distL="0" distR="0" wp14:anchorId="0298F0CF" wp14:editId="4FE6EBC1">
            <wp:extent cx="5760720" cy="406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_diagrams_model.jpg"/>
                    <pic:cNvPicPr/>
                  </pic:nvPicPr>
                  <pic:blipFill rotWithShape="1">
                    <a:blip r:embed="rId8" cstate="print">
                      <a:extLst>
                        <a:ext uri="{28A0092B-C50C-407E-A947-70E740481C1C}">
                          <a14:useLocalDpi xmlns:a14="http://schemas.microsoft.com/office/drawing/2010/main" val="0"/>
                        </a:ext>
                      </a:extLst>
                    </a:blip>
                    <a:srcRect t="3968" b="1970"/>
                    <a:stretch/>
                  </pic:blipFill>
                  <pic:spPr bwMode="auto">
                    <a:xfrm>
                      <a:off x="0" y="0"/>
                      <a:ext cx="5760720" cy="4064000"/>
                    </a:xfrm>
                    <a:prstGeom prst="rect">
                      <a:avLst/>
                    </a:prstGeom>
                    <a:ln>
                      <a:noFill/>
                    </a:ln>
                    <a:extLst>
                      <a:ext uri="{53640926-AAD7-44D8-BBD7-CCE9431645EC}">
                        <a14:shadowObscured xmlns:a14="http://schemas.microsoft.com/office/drawing/2010/main"/>
                      </a:ext>
                    </a:extLst>
                  </pic:spPr>
                </pic:pic>
              </a:graphicData>
            </a:graphic>
          </wp:inline>
        </w:drawing>
      </w:r>
    </w:p>
    <w:p w14:paraId="061B2693" w14:textId="3EDE69B6" w:rsidR="004F48A6" w:rsidRPr="00BF23D3" w:rsidRDefault="004F48A6" w:rsidP="005D0886">
      <w:pPr>
        <w:pStyle w:val="Caption"/>
        <w:spacing w:line="276" w:lineRule="auto"/>
        <w:jc w:val="both"/>
        <w:rPr>
          <w:lang w:val="en-GB"/>
        </w:rPr>
      </w:pPr>
      <w:r w:rsidRPr="00583FAA">
        <w:rPr>
          <w:lang w:val="en-GB"/>
        </w:rPr>
        <w:t>Fig. S</w:t>
      </w:r>
      <w:r w:rsidR="00943EC9">
        <w:fldChar w:fldCharType="begin"/>
      </w:r>
      <w:r w:rsidR="00943EC9" w:rsidRPr="00583FAA">
        <w:rPr>
          <w:lang w:val="en-GB"/>
        </w:rPr>
        <w:instrText xml:space="preserve"> SEQ Fig. \* ARABIC </w:instrText>
      </w:r>
      <w:r w:rsidR="00943EC9">
        <w:fldChar w:fldCharType="separate"/>
      </w:r>
      <w:r w:rsidRPr="00583FAA">
        <w:rPr>
          <w:noProof/>
          <w:lang w:val="en-GB"/>
        </w:rPr>
        <w:t>1</w:t>
      </w:r>
      <w:r w:rsidR="00943EC9">
        <w:rPr>
          <w:noProof/>
        </w:rPr>
        <w:fldChar w:fldCharType="end"/>
      </w:r>
      <w:r w:rsidRPr="00583FAA">
        <w:rPr>
          <w:lang w:val="en-GB"/>
        </w:rPr>
        <w:t>: Flowchart of the model framework applied consisting of the dynamic livestock model LivSim (Rufino et al., 2009) to compute output tables of GHG emissions and milk production (FPCM = fat and protein corrected milk). Subsequently, these tables were spatially up</w:t>
      </w:r>
      <w:r w:rsidR="004A2988" w:rsidRPr="00583FAA">
        <w:rPr>
          <w:lang w:val="en-GB"/>
        </w:rPr>
        <w:t>-</w:t>
      </w:r>
      <w:r w:rsidRPr="00583FAA">
        <w:rPr>
          <w:lang w:val="en-GB"/>
        </w:rPr>
        <w:t xml:space="preserve">scaled based on livestock production systems (LPS) and mapped using data on cattle herd composition, cattle category and density. </w:t>
      </w:r>
      <w:r w:rsidRPr="00BF23D3">
        <w:rPr>
          <w:lang w:val="en-GB"/>
        </w:rPr>
        <w:t>This figure is adapted from Brandt et al. (2018).</w:t>
      </w:r>
    </w:p>
    <w:p w14:paraId="0BBACB30" w14:textId="77777777" w:rsidR="00973078" w:rsidRPr="00BF23D3" w:rsidRDefault="00973078" w:rsidP="006F7127">
      <w:pPr>
        <w:spacing w:line="360" w:lineRule="auto"/>
        <w:rPr>
          <w:b/>
          <w:lang w:val="en-GB"/>
        </w:rPr>
      </w:pPr>
    </w:p>
    <w:p w14:paraId="511716C5" w14:textId="51A395E8" w:rsidR="00A87E4C" w:rsidRPr="00583FAA" w:rsidRDefault="00A87E4C" w:rsidP="006F7127">
      <w:pPr>
        <w:spacing w:line="360" w:lineRule="auto"/>
        <w:rPr>
          <w:b/>
          <w:lang w:val="en-GB"/>
        </w:rPr>
      </w:pPr>
      <w:r w:rsidRPr="00583FAA">
        <w:rPr>
          <w:b/>
          <w:lang w:val="en-GB"/>
        </w:rPr>
        <w:t xml:space="preserve">3. </w:t>
      </w:r>
      <w:r w:rsidR="0007186A" w:rsidRPr="00583FAA">
        <w:rPr>
          <w:b/>
          <w:lang w:val="en-GB"/>
        </w:rPr>
        <w:t xml:space="preserve">Feed improvements: baseline and </w:t>
      </w:r>
      <w:r w:rsidR="009B1FFA" w:rsidRPr="00583FAA">
        <w:rPr>
          <w:b/>
          <w:lang w:val="en-GB"/>
        </w:rPr>
        <w:t>scenarios</w:t>
      </w:r>
    </w:p>
    <w:p w14:paraId="7DD15802" w14:textId="77777777" w:rsidR="00766C74" w:rsidRPr="00583FAA" w:rsidRDefault="00A87E4C" w:rsidP="00973078">
      <w:pPr>
        <w:spacing w:after="120" w:line="276" w:lineRule="auto"/>
        <w:rPr>
          <w:b/>
          <w:lang w:val="en-GB"/>
        </w:rPr>
      </w:pPr>
      <w:r w:rsidRPr="00583FAA">
        <w:rPr>
          <w:b/>
          <w:lang w:val="en-GB"/>
        </w:rPr>
        <w:t>3.1 Baseline feeds</w:t>
      </w:r>
    </w:p>
    <w:p w14:paraId="23730998" w14:textId="00C93F8C" w:rsidR="004F26F4" w:rsidRPr="00E44F25" w:rsidRDefault="00873E6A" w:rsidP="00201989">
      <w:pPr>
        <w:spacing w:line="360" w:lineRule="auto"/>
        <w:jc w:val="both"/>
        <w:rPr>
          <w:lang w:val="en-GB"/>
        </w:rPr>
      </w:pPr>
      <w:r w:rsidRPr="00583FAA">
        <w:rPr>
          <w:lang w:val="en-GB"/>
        </w:rPr>
        <w:t>Feed composition and quantit</w:t>
      </w:r>
      <w:r w:rsidR="00582656" w:rsidRPr="00583FAA">
        <w:rPr>
          <w:lang w:val="en-GB"/>
        </w:rPr>
        <w:t>ies</w:t>
      </w:r>
      <w:r w:rsidRPr="00583FAA">
        <w:rPr>
          <w:lang w:val="en-GB"/>
        </w:rPr>
        <w:t xml:space="preserve"> </w:t>
      </w:r>
      <w:r w:rsidR="00582656" w:rsidRPr="00583FAA">
        <w:rPr>
          <w:lang w:val="en-GB"/>
        </w:rPr>
        <w:t>used</w:t>
      </w:r>
      <w:r w:rsidRPr="00583FAA">
        <w:rPr>
          <w:lang w:val="en-GB"/>
        </w:rPr>
        <w:t xml:space="preserve"> as </w:t>
      </w:r>
      <w:r w:rsidR="00582656" w:rsidRPr="00583FAA">
        <w:rPr>
          <w:lang w:val="en-GB"/>
        </w:rPr>
        <w:t xml:space="preserve">model </w:t>
      </w:r>
      <w:r w:rsidRPr="00583FAA">
        <w:rPr>
          <w:lang w:val="en-GB"/>
        </w:rPr>
        <w:t xml:space="preserve">inputs </w:t>
      </w:r>
      <w:r w:rsidR="00973078" w:rsidRPr="00583FAA">
        <w:rPr>
          <w:lang w:val="en-GB"/>
        </w:rPr>
        <w:t xml:space="preserve">in LIVSIM </w:t>
      </w:r>
      <w:r w:rsidR="00582656" w:rsidRPr="00583FAA">
        <w:rPr>
          <w:lang w:val="en-GB"/>
        </w:rPr>
        <w:t>correspond to</w:t>
      </w:r>
      <w:r w:rsidRPr="00583FAA">
        <w:rPr>
          <w:lang w:val="en-GB"/>
        </w:rPr>
        <w:t xml:space="preserve"> typical diets for smallholder </w:t>
      </w:r>
      <w:r w:rsidR="004F26F4" w:rsidRPr="00583FAA">
        <w:rPr>
          <w:lang w:val="en-GB"/>
        </w:rPr>
        <w:t xml:space="preserve">dairy </w:t>
      </w:r>
      <w:r w:rsidRPr="00583FAA">
        <w:rPr>
          <w:lang w:val="en-GB"/>
        </w:rPr>
        <w:t>across the Kenyan highlands</w:t>
      </w:r>
      <w:r w:rsidR="00E62285" w:rsidRPr="00583FAA">
        <w:rPr>
          <w:lang w:val="en-GB"/>
        </w:rPr>
        <w:t xml:space="preserve">. </w:t>
      </w:r>
      <w:r w:rsidR="00E62285" w:rsidRPr="00EA5B5A">
        <w:rPr>
          <w:lang w:val="en-GB"/>
        </w:rPr>
        <w:t>The ingredients included in the scenarios are commonly found in the dairy sector</w:t>
      </w:r>
      <w:r w:rsidR="00201989" w:rsidRPr="00EA5B5A">
        <w:rPr>
          <w:lang w:val="en-GB"/>
        </w:rPr>
        <w:t xml:space="preserve"> (Figure S2)</w:t>
      </w:r>
      <w:r w:rsidR="00E62285" w:rsidRPr="00EA5B5A">
        <w:rPr>
          <w:lang w:val="en-GB"/>
        </w:rPr>
        <w:t xml:space="preserve">. </w:t>
      </w:r>
      <w:r w:rsidR="005D0886" w:rsidRPr="00201989">
        <w:rPr>
          <w:lang w:val="en-GB"/>
        </w:rPr>
        <w:t xml:space="preserve">Input </w:t>
      </w:r>
      <w:r w:rsidRPr="00201989">
        <w:rPr>
          <w:lang w:val="en-GB"/>
        </w:rPr>
        <w:t xml:space="preserve">data taken from literature </w:t>
      </w:r>
      <w:r w:rsidR="005D0886" w:rsidRPr="00201989">
        <w:rPr>
          <w:lang w:val="en-GB"/>
        </w:rPr>
        <w:t xml:space="preserve">and are reported in </w:t>
      </w:r>
      <w:r w:rsidRPr="00201989">
        <w:rPr>
          <w:lang w:val="en-GB"/>
        </w:rPr>
        <w:t>Table S</w:t>
      </w:r>
      <w:r w:rsidR="00BB1B29" w:rsidRPr="00201989">
        <w:rPr>
          <w:lang w:val="en-GB"/>
        </w:rPr>
        <w:t>6</w:t>
      </w:r>
      <w:r w:rsidRPr="00201989">
        <w:rPr>
          <w:lang w:val="en-GB"/>
        </w:rPr>
        <w:t>.</w:t>
      </w:r>
    </w:p>
    <w:p w14:paraId="5282EBE7" w14:textId="5242FFFB" w:rsidR="00414466" w:rsidRDefault="003877F4" w:rsidP="006322C2">
      <w:pPr>
        <w:spacing w:line="360" w:lineRule="auto"/>
        <w:rPr>
          <w:lang w:val="en-GB"/>
        </w:rPr>
      </w:pPr>
      <w:r w:rsidRPr="003877F4">
        <w:rPr>
          <w:noProof/>
          <w:lang w:val="en-GB" w:eastAsia="en-GB"/>
        </w:rPr>
        <w:lastRenderedPageBreak/>
        <w:drawing>
          <wp:inline distT="0" distB="0" distL="0" distR="0" wp14:anchorId="697386AE" wp14:editId="241753EA">
            <wp:extent cx="4952291" cy="5202621"/>
            <wp:effectExtent l="0" t="0" r="1270" b="0"/>
            <wp:docPr id="2" name="Picture 2" descr="C:\Users\rufinom\Box Sync\Documents\Lancaster\Greening livestock\Students docs\Brandt et al Scenario_representation_1005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finom\Box Sync\Documents\Lancaster\Greening livestock\Students docs\Brandt et al Scenario_representation_1005201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651" cy="5204050"/>
                    </a:xfrm>
                    <a:prstGeom prst="rect">
                      <a:avLst/>
                    </a:prstGeom>
                    <a:noFill/>
                    <a:ln>
                      <a:noFill/>
                    </a:ln>
                  </pic:spPr>
                </pic:pic>
              </a:graphicData>
            </a:graphic>
          </wp:inline>
        </w:drawing>
      </w:r>
    </w:p>
    <w:p w14:paraId="45F01AAA" w14:textId="1C23D149" w:rsidR="007B7A25" w:rsidRPr="00583FAA" w:rsidRDefault="007B7A25" w:rsidP="006322C2">
      <w:pPr>
        <w:spacing w:line="360" w:lineRule="auto"/>
        <w:rPr>
          <w:lang w:val="en-GB"/>
        </w:rPr>
      </w:pPr>
      <w:r w:rsidRPr="00201989">
        <w:rPr>
          <w:lang w:val="en-GB"/>
        </w:rPr>
        <w:t>Figure S2:</w:t>
      </w:r>
      <w:r w:rsidRPr="00201989">
        <w:rPr>
          <w:b/>
          <w:lang w:val="en-GB"/>
        </w:rPr>
        <w:t xml:space="preserve"> </w:t>
      </w:r>
      <w:r w:rsidRPr="00201989">
        <w:rPr>
          <w:lang w:val="en-GB"/>
        </w:rPr>
        <w:t xml:space="preserve">Proportional changes in </w:t>
      </w:r>
      <w:r w:rsidR="006D0B00" w:rsidRPr="00201989">
        <w:rPr>
          <w:lang w:val="en-GB"/>
        </w:rPr>
        <w:t xml:space="preserve">feeds </w:t>
      </w:r>
      <w:r w:rsidR="00C6603A" w:rsidRPr="00201989">
        <w:rPr>
          <w:lang w:val="en-GB"/>
        </w:rPr>
        <w:t>to baseline feeds in different livestock production systems namely:</w:t>
      </w:r>
      <w:r w:rsidR="006D0B00" w:rsidRPr="00201989">
        <w:rPr>
          <w:lang w:val="en-GB"/>
        </w:rPr>
        <w:t xml:space="preserve"> MRA,</w:t>
      </w:r>
      <w:r w:rsidR="00C6603A" w:rsidRPr="00201989">
        <w:rPr>
          <w:lang w:val="en-GB"/>
        </w:rPr>
        <w:t xml:space="preserve"> </w:t>
      </w:r>
      <w:r w:rsidR="006D0B00" w:rsidRPr="00201989">
        <w:rPr>
          <w:lang w:val="en-GB"/>
        </w:rPr>
        <w:t>MRH</w:t>
      </w:r>
      <w:r w:rsidR="00DD6541" w:rsidRPr="00201989">
        <w:rPr>
          <w:lang w:val="en-GB"/>
        </w:rPr>
        <w:t xml:space="preserve"> and</w:t>
      </w:r>
      <w:r w:rsidR="00C6603A" w:rsidRPr="00201989">
        <w:rPr>
          <w:lang w:val="en-GB"/>
        </w:rPr>
        <w:t xml:space="preserve"> MRT</w:t>
      </w:r>
      <w:r w:rsidR="00364B9E" w:rsidRPr="00201989">
        <w:rPr>
          <w:lang w:val="en-GB"/>
        </w:rPr>
        <w:t xml:space="preserve"> measured in kg day</w:t>
      </w:r>
      <w:r w:rsidR="00364B9E" w:rsidRPr="00201989">
        <w:rPr>
          <w:vertAlign w:val="superscript"/>
          <w:lang w:val="en-GB"/>
        </w:rPr>
        <w:t>-1</w:t>
      </w:r>
      <w:r w:rsidR="002330BD">
        <w:rPr>
          <w:lang w:val="en-GB"/>
        </w:rPr>
        <w:t xml:space="preserve"> per tropical livestock unit (TLU)</w:t>
      </w:r>
      <w:r w:rsidR="00DD6541" w:rsidRPr="00201989">
        <w:rPr>
          <w:lang w:val="en-GB"/>
        </w:rPr>
        <w:t xml:space="preserve">. </w:t>
      </w:r>
      <w:r w:rsidR="00DD6541" w:rsidRPr="00583FAA">
        <w:rPr>
          <w:lang w:val="en-GB"/>
        </w:rPr>
        <w:t xml:space="preserve">Feed changes in irrigated systems mirrored those in rainfed systems (i.e., MRA = </w:t>
      </w:r>
      <w:r w:rsidR="00C6603A" w:rsidRPr="00583FAA">
        <w:rPr>
          <w:lang w:val="en-GB"/>
        </w:rPr>
        <w:t xml:space="preserve">MIA, </w:t>
      </w:r>
      <w:r w:rsidR="00DD6541" w:rsidRPr="00583FAA">
        <w:rPr>
          <w:lang w:val="en-GB"/>
        </w:rPr>
        <w:t xml:space="preserve">MRH = </w:t>
      </w:r>
      <w:r w:rsidR="00C6603A" w:rsidRPr="00583FAA">
        <w:rPr>
          <w:lang w:val="en-GB"/>
        </w:rPr>
        <w:t xml:space="preserve">MIH and </w:t>
      </w:r>
      <w:r w:rsidR="00DD6541" w:rsidRPr="00583FAA">
        <w:rPr>
          <w:lang w:val="en-GB"/>
        </w:rPr>
        <w:t xml:space="preserve">MRT = </w:t>
      </w:r>
      <w:r w:rsidR="00C6603A" w:rsidRPr="00583FAA">
        <w:rPr>
          <w:lang w:val="en-GB"/>
        </w:rPr>
        <w:t>MIT</w:t>
      </w:r>
      <w:r w:rsidR="00DD6541" w:rsidRPr="00583FAA">
        <w:rPr>
          <w:lang w:val="en-GB"/>
        </w:rPr>
        <w:t>)</w:t>
      </w:r>
      <w:r w:rsidR="00C6603A" w:rsidRPr="00583FAA">
        <w:rPr>
          <w:lang w:val="en-GB"/>
        </w:rPr>
        <w:t xml:space="preserve">. Changes </w:t>
      </w:r>
      <w:r w:rsidR="00395655" w:rsidRPr="00583FAA">
        <w:rPr>
          <w:lang w:val="en-GB"/>
        </w:rPr>
        <w:t xml:space="preserve">to feeds </w:t>
      </w:r>
      <w:r w:rsidR="00C6603A" w:rsidRPr="00583FAA">
        <w:rPr>
          <w:lang w:val="en-GB"/>
        </w:rPr>
        <w:t xml:space="preserve">are shown </w:t>
      </w:r>
      <w:r w:rsidR="00395655" w:rsidRPr="00583FAA">
        <w:rPr>
          <w:lang w:val="en-GB"/>
        </w:rPr>
        <w:t xml:space="preserve">for </w:t>
      </w:r>
      <w:r w:rsidR="00C6603A" w:rsidRPr="00583FAA">
        <w:rPr>
          <w:lang w:val="en-GB"/>
        </w:rPr>
        <w:t>medium intensification</w:t>
      </w:r>
      <w:r w:rsidR="00395655" w:rsidRPr="00583FAA">
        <w:rPr>
          <w:lang w:val="en-GB"/>
        </w:rPr>
        <w:t xml:space="preserve"> scenarios (i.e.,</w:t>
      </w:r>
      <w:r w:rsidR="00C6603A" w:rsidRPr="00583FAA">
        <w:rPr>
          <w:lang w:val="en-GB"/>
        </w:rPr>
        <w:t xml:space="preserve"> </w:t>
      </w:r>
      <w:r w:rsidR="0072561E" w:rsidRPr="00583FAA">
        <w:rPr>
          <w:lang w:val="en-GB"/>
        </w:rPr>
        <w:t xml:space="preserve">FeCo </w:t>
      </w:r>
      <w:r w:rsidR="00395655" w:rsidRPr="00583FAA">
        <w:rPr>
          <w:lang w:val="en-GB"/>
        </w:rPr>
        <w:t>and FoCo) and high intensification scenario (FoFeCo).</w:t>
      </w:r>
      <w:r w:rsidR="00470D67" w:rsidRPr="00583FAA">
        <w:rPr>
          <w:lang w:val="en-GB"/>
        </w:rPr>
        <w:t xml:space="preserve"> Figure ada</w:t>
      </w:r>
      <w:r w:rsidR="00D01017" w:rsidRPr="00583FAA">
        <w:rPr>
          <w:lang w:val="en-GB"/>
        </w:rPr>
        <w:t>pted after Brandt et al., (2018</w:t>
      </w:r>
      <w:r w:rsidR="00470D67" w:rsidRPr="00583FAA">
        <w:rPr>
          <w:lang w:val="en-GB"/>
        </w:rPr>
        <w:t>).</w:t>
      </w:r>
    </w:p>
    <w:p w14:paraId="3146071B" w14:textId="5FC7A01E" w:rsidR="00E62285" w:rsidRPr="00583FAA" w:rsidRDefault="00E62285" w:rsidP="006322C2">
      <w:pPr>
        <w:spacing w:line="360" w:lineRule="auto"/>
        <w:rPr>
          <w:lang w:val="en-GB"/>
        </w:rPr>
      </w:pPr>
    </w:p>
    <w:p w14:paraId="0856767E" w14:textId="2F373BD2" w:rsidR="00E62285" w:rsidRPr="00583FAA" w:rsidRDefault="00E62285" w:rsidP="006322C2">
      <w:pPr>
        <w:spacing w:line="360" w:lineRule="auto"/>
        <w:rPr>
          <w:lang w:val="en-GB"/>
        </w:rPr>
      </w:pPr>
    </w:p>
    <w:p w14:paraId="74FEA5DA" w14:textId="1ED46B27" w:rsidR="00E62285" w:rsidRPr="00583FAA" w:rsidRDefault="00E62285" w:rsidP="006322C2">
      <w:pPr>
        <w:spacing w:line="360" w:lineRule="auto"/>
        <w:rPr>
          <w:lang w:val="en-GB"/>
        </w:rPr>
      </w:pPr>
    </w:p>
    <w:p w14:paraId="561F6DF1" w14:textId="31EA4B8A" w:rsidR="00E62285" w:rsidRPr="00583FAA" w:rsidRDefault="00E62285" w:rsidP="006322C2">
      <w:pPr>
        <w:spacing w:line="360" w:lineRule="auto"/>
        <w:rPr>
          <w:lang w:val="en-GB"/>
        </w:rPr>
      </w:pPr>
    </w:p>
    <w:p w14:paraId="0460CB3F" w14:textId="0F0CA457" w:rsidR="00E62285" w:rsidRDefault="00E62285" w:rsidP="006322C2">
      <w:pPr>
        <w:spacing w:line="360" w:lineRule="auto"/>
        <w:rPr>
          <w:lang w:val="en-GB"/>
        </w:rPr>
      </w:pPr>
    </w:p>
    <w:p w14:paraId="730958F2" w14:textId="77777777" w:rsidR="00D56E44" w:rsidRPr="00583FAA" w:rsidRDefault="00D56E44" w:rsidP="006322C2">
      <w:pPr>
        <w:spacing w:line="360" w:lineRule="auto"/>
        <w:rPr>
          <w:lang w:val="en-GB"/>
        </w:rPr>
      </w:pPr>
    </w:p>
    <w:p w14:paraId="6AE98ADD" w14:textId="4521C11E" w:rsidR="006322C2" w:rsidRPr="00583FAA" w:rsidRDefault="0007186A" w:rsidP="006322C2">
      <w:pPr>
        <w:spacing w:line="360" w:lineRule="auto"/>
        <w:rPr>
          <w:b/>
          <w:lang w:val="en-GB"/>
        </w:rPr>
      </w:pPr>
      <w:r w:rsidRPr="00583FAA">
        <w:rPr>
          <w:b/>
          <w:lang w:val="en-GB"/>
        </w:rPr>
        <w:lastRenderedPageBreak/>
        <w:t xml:space="preserve">3.2 </w:t>
      </w:r>
      <w:r w:rsidR="006322C2" w:rsidRPr="00583FAA">
        <w:rPr>
          <w:b/>
          <w:lang w:val="en-GB"/>
        </w:rPr>
        <w:t>Feed improvement scenarios</w:t>
      </w:r>
    </w:p>
    <w:p w14:paraId="1C813C98" w14:textId="2B3CCD75" w:rsidR="00A15B6D" w:rsidRPr="00583FAA" w:rsidRDefault="000A54EF" w:rsidP="00A15A01">
      <w:pPr>
        <w:spacing w:line="360" w:lineRule="auto"/>
        <w:jc w:val="both"/>
        <w:rPr>
          <w:lang w:val="en-GB"/>
        </w:rPr>
      </w:pPr>
      <w:r w:rsidRPr="00583FAA">
        <w:rPr>
          <w:lang w:val="en-GB"/>
        </w:rPr>
        <w:t>T</w:t>
      </w:r>
      <w:r w:rsidR="00872EAA" w:rsidRPr="00583FAA">
        <w:rPr>
          <w:lang w:val="en-GB"/>
        </w:rPr>
        <w:t xml:space="preserve">hree feed improvement scenarios </w:t>
      </w:r>
      <w:r w:rsidRPr="00583FAA">
        <w:rPr>
          <w:lang w:val="en-GB"/>
        </w:rPr>
        <w:t xml:space="preserve">were </w:t>
      </w:r>
      <w:r w:rsidR="00872EAA" w:rsidRPr="00583FAA">
        <w:rPr>
          <w:lang w:val="en-GB"/>
        </w:rPr>
        <w:t>explored</w:t>
      </w:r>
      <w:r w:rsidR="004F48A6" w:rsidRPr="00583FAA">
        <w:rPr>
          <w:lang w:val="en-GB"/>
        </w:rPr>
        <w:t xml:space="preserve"> in this study consist</w:t>
      </w:r>
      <w:r w:rsidRPr="00583FAA">
        <w:rPr>
          <w:lang w:val="en-GB"/>
        </w:rPr>
        <w:t>ing</w:t>
      </w:r>
      <w:r w:rsidR="004F48A6" w:rsidRPr="00583FAA">
        <w:rPr>
          <w:lang w:val="en-GB"/>
        </w:rPr>
        <w:t xml:space="preserve"> of</w:t>
      </w:r>
      <w:r w:rsidR="00872EAA" w:rsidRPr="00583FAA">
        <w:rPr>
          <w:lang w:val="en-GB"/>
        </w:rPr>
        <w:t xml:space="preserve"> combination</w:t>
      </w:r>
      <w:r w:rsidR="004F48A6" w:rsidRPr="00583FAA">
        <w:rPr>
          <w:lang w:val="en-GB"/>
        </w:rPr>
        <w:t>s</w:t>
      </w:r>
      <w:r w:rsidR="00872EAA" w:rsidRPr="00583FAA">
        <w:rPr>
          <w:lang w:val="en-GB"/>
        </w:rPr>
        <w:t xml:space="preserve"> of three fe</w:t>
      </w:r>
      <w:r w:rsidR="00873E6A" w:rsidRPr="00583FAA">
        <w:rPr>
          <w:lang w:val="en-GB"/>
        </w:rPr>
        <w:t>ed intensification strategies (T</w:t>
      </w:r>
      <w:r w:rsidR="00872EAA" w:rsidRPr="00583FAA">
        <w:rPr>
          <w:lang w:val="en-GB"/>
        </w:rPr>
        <w:t xml:space="preserve">able S3). </w:t>
      </w:r>
      <w:r w:rsidR="00FD24DE" w:rsidRPr="00583FAA">
        <w:rPr>
          <w:lang w:val="en-GB"/>
        </w:rPr>
        <w:t xml:space="preserve">For the strategies of </w:t>
      </w:r>
      <w:r w:rsidR="007C143F" w:rsidRPr="00583FAA">
        <w:rPr>
          <w:lang w:val="en-GB"/>
        </w:rPr>
        <w:t>‘improved forage quality’ (Fo), ‘feed conservation &amp; increased grain content’ (Fe)</w:t>
      </w:r>
      <w:r w:rsidR="00FD24DE" w:rsidRPr="00583FAA">
        <w:rPr>
          <w:lang w:val="en-GB"/>
        </w:rPr>
        <w:t>, low quality b</w:t>
      </w:r>
      <w:r w:rsidR="00A0563F" w:rsidRPr="00583FAA">
        <w:rPr>
          <w:lang w:val="en-GB"/>
        </w:rPr>
        <w:t xml:space="preserve">aseline feeds were replaced proportionally by higher quality feed alternatives at medium and high intensification levels </w:t>
      </w:r>
      <w:r w:rsidR="00127E39" w:rsidRPr="00583FAA">
        <w:rPr>
          <w:lang w:val="en-GB"/>
        </w:rPr>
        <w:t>relative</w:t>
      </w:r>
      <w:r w:rsidR="00A0563F" w:rsidRPr="00583FAA">
        <w:rPr>
          <w:lang w:val="en-GB"/>
        </w:rPr>
        <w:t xml:space="preserve"> to baseline </w:t>
      </w:r>
      <w:r w:rsidR="007C143F" w:rsidRPr="00583FAA">
        <w:rPr>
          <w:lang w:val="en-GB"/>
        </w:rPr>
        <w:t>dry matter intake (</w:t>
      </w:r>
      <w:r w:rsidR="00A0563F" w:rsidRPr="00583FAA">
        <w:rPr>
          <w:lang w:val="en-GB"/>
        </w:rPr>
        <w:t>DMI</w:t>
      </w:r>
      <w:r w:rsidR="007C143F" w:rsidRPr="00583FAA">
        <w:rPr>
          <w:lang w:val="en-GB"/>
        </w:rPr>
        <w:t>)</w:t>
      </w:r>
      <w:r w:rsidR="00A0563F" w:rsidRPr="00583FAA">
        <w:rPr>
          <w:lang w:val="en-GB"/>
        </w:rPr>
        <w:t>.</w:t>
      </w:r>
      <w:r w:rsidR="000B70F7" w:rsidRPr="00583FAA">
        <w:rPr>
          <w:lang w:val="en-GB"/>
        </w:rPr>
        <w:t xml:space="preserve"> </w:t>
      </w:r>
      <w:r w:rsidR="009A1FBC" w:rsidRPr="00583FAA">
        <w:rPr>
          <w:lang w:val="en-GB"/>
        </w:rPr>
        <w:t>For the scenarios that contain the Fe strategy, w</w:t>
      </w:r>
      <w:r w:rsidR="000B70F7" w:rsidRPr="00583FAA">
        <w:rPr>
          <w:lang w:val="en-GB"/>
        </w:rPr>
        <w:t>ater-limited yield potentials (Yw) of f</w:t>
      </w:r>
      <w:r w:rsidR="00E62285" w:rsidRPr="00583FAA">
        <w:rPr>
          <w:lang w:val="en-GB"/>
        </w:rPr>
        <w:t>odder maize were realized at 50% and 80</w:t>
      </w:r>
      <w:r w:rsidR="000B70F7" w:rsidRPr="00583FAA">
        <w:rPr>
          <w:lang w:val="en-GB"/>
        </w:rPr>
        <w:t>%.</w:t>
      </w:r>
      <w:r w:rsidR="00FD24DE" w:rsidRPr="00583FAA">
        <w:rPr>
          <w:lang w:val="en-GB"/>
        </w:rPr>
        <w:t xml:space="preserve"> For </w:t>
      </w:r>
      <w:r w:rsidR="0082592E" w:rsidRPr="00583FAA">
        <w:rPr>
          <w:lang w:val="en-GB"/>
        </w:rPr>
        <w:t xml:space="preserve">the strategy of </w:t>
      </w:r>
      <w:r w:rsidR="007C143F" w:rsidRPr="00583FAA">
        <w:rPr>
          <w:lang w:val="en-GB"/>
        </w:rPr>
        <w:t>‘dairy concentrates supplementation’ (Co),</w:t>
      </w:r>
      <w:r w:rsidR="0082592E" w:rsidRPr="00583FAA">
        <w:rPr>
          <w:lang w:val="en-GB"/>
        </w:rPr>
        <w:t xml:space="preserve"> </w:t>
      </w:r>
      <w:r w:rsidR="00726C98" w:rsidRPr="00583FAA">
        <w:rPr>
          <w:lang w:val="en-GB"/>
        </w:rPr>
        <w:t xml:space="preserve">supplementation </w:t>
      </w:r>
      <w:r w:rsidR="0082592E" w:rsidRPr="00583FAA">
        <w:rPr>
          <w:lang w:val="en-GB"/>
        </w:rPr>
        <w:t>rates were increased</w:t>
      </w:r>
      <w:r w:rsidR="009D79D9" w:rsidRPr="00583FAA">
        <w:rPr>
          <w:lang w:val="en-GB"/>
        </w:rPr>
        <w:t xml:space="preserve"> during the first 150 days of </w:t>
      </w:r>
      <w:r w:rsidR="00E62285" w:rsidRPr="00583FAA">
        <w:rPr>
          <w:lang w:val="en-GB"/>
        </w:rPr>
        <w:t xml:space="preserve">the </w:t>
      </w:r>
      <w:r w:rsidR="009D79D9" w:rsidRPr="00583FAA">
        <w:rPr>
          <w:lang w:val="en-GB"/>
        </w:rPr>
        <w:t>lactation.</w:t>
      </w:r>
    </w:p>
    <w:p w14:paraId="24E24564" w14:textId="43978054" w:rsidR="002E017B" w:rsidRPr="00583FAA" w:rsidRDefault="002E017B" w:rsidP="00EA5B5A">
      <w:pPr>
        <w:pStyle w:val="Caption"/>
        <w:keepNext/>
        <w:spacing w:line="276" w:lineRule="auto"/>
        <w:jc w:val="both"/>
        <w:rPr>
          <w:lang w:val="en-GB"/>
        </w:rPr>
      </w:pPr>
      <w:r w:rsidRPr="00F90A35">
        <w:rPr>
          <w:lang w:val="en-GB"/>
        </w:rPr>
        <w:t>Table S</w:t>
      </w:r>
      <w:r w:rsidR="00F90A35" w:rsidRPr="00F90A35">
        <w:rPr>
          <w:lang w:val="en-GB"/>
        </w:rPr>
        <w:t>3</w:t>
      </w:r>
      <w:r w:rsidRPr="00F90A35">
        <w:rPr>
          <w:lang w:val="en-GB"/>
        </w:rPr>
        <w:t>: Overview of feed improvement scenarios</w:t>
      </w:r>
      <w:r w:rsidR="00BC34A2" w:rsidRPr="00F90A35">
        <w:rPr>
          <w:lang w:val="en-GB"/>
        </w:rPr>
        <w:t xml:space="preserve"> reflecting i) the c</w:t>
      </w:r>
      <w:r w:rsidRPr="00F90A35">
        <w:rPr>
          <w:lang w:val="en-GB"/>
        </w:rPr>
        <w:t>omposition of</w:t>
      </w:r>
      <w:r w:rsidR="00BC34A2" w:rsidRPr="00F90A35">
        <w:rPr>
          <w:lang w:val="en-GB"/>
        </w:rPr>
        <w:t xml:space="preserve"> the three</w:t>
      </w:r>
      <w:r w:rsidRPr="00F90A35">
        <w:rPr>
          <w:lang w:val="en-GB"/>
        </w:rPr>
        <w:t xml:space="preserve"> feed intensification strategies</w:t>
      </w:r>
      <w:r w:rsidR="00BC34A2" w:rsidRPr="00F90A35">
        <w:rPr>
          <w:lang w:val="en-GB"/>
        </w:rPr>
        <w:t xml:space="preserve"> included, ii) the proportional changes of feed types referring to dry matter intake of the baseline feed and iii) the levels at which the</w:t>
      </w:r>
      <w:r w:rsidRPr="00F90A35">
        <w:rPr>
          <w:lang w:val="en-GB"/>
        </w:rPr>
        <w:t xml:space="preserve"> water-limited yield potentials (Yw) for fodder maize</w:t>
      </w:r>
      <w:r w:rsidR="00BC34A2" w:rsidRPr="00F90A35">
        <w:rPr>
          <w:lang w:val="en-GB"/>
        </w:rPr>
        <w:t xml:space="preserve"> are realised</w:t>
      </w:r>
      <w:r w:rsidRPr="00F90A35">
        <w:rPr>
          <w:lang w:val="en-GB"/>
        </w:rPr>
        <w:t xml:space="preserve">. </w:t>
      </w:r>
      <w:r w:rsidRPr="00583FAA">
        <w:rPr>
          <w:lang w:val="en-GB"/>
        </w:rPr>
        <w:t xml:space="preserve">Ya = </w:t>
      </w:r>
      <w:r w:rsidR="00CB34E1" w:rsidRPr="00583FAA">
        <w:rPr>
          <w:lang w:val="en-GB"/>
        </w:rPr>
        <w:t xml:space="preserve">actual maize yield, Yw-50 = </w:t>
      </w:r>
      <w:r w:rsidR="00DD2D90" w:rsidRPr="00583FAA">
        <w:rPr>
          <w:lang w:val="en-GB"/>
        </w:rPr>
        <w:t>water-limited y</w:t>
      </w:r>
      <w:r w:rsidR="00E62285" w:rsidRPr="00583FAA">
        <w:rPr>
          <w:lang w:val="en-GB"/>
        </w:rPr>
        <w:t>ield potential realised at 50 %</w:t>
      </w:r>
      <w:r w:rsidR="00CB34E1" w:rsidRPr="00583FAA">
        <w:rPr>
          <w:lang w:val="en-GB"/>
        </w:rPr>
        <w:t>, Yw-80 = water</w:t>
      </w:r>
      <w:r w:rsidR="00DD2D90" w:rsidRPr="00583FAA">
        <w:rPr>
          <w:lang w:val="en-GB"/>
        </w:rPr>
        <w:t>-limited</w:t>
      </w:r>
      <w:r w:rsidR="00CB34E1" w:rsidRPr="00583FAA">
        <w:rPr>
          <w:lang w:val="en-GB"/>
        </w:rPr>
        <w:t xml:space="preserve"> yield potential realised at 80 %.</w:t>
      </w:r>
    </w:p>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030"/>
        <w:gridCol w:w="1572"/>
        <w:gridCol w:w="2210"/>
        <w:gridCol w:w="966"/>
        <w:gridCol w:w="844"/>
        <w:gridCol w:w="844"/>
        <w:gridCol w:w="1012"/>
      </w:tblGrid>
      <w:tr w:rsidR="002E017B" w:rsidRPr="00EE4878" w14:paraId="1F5B66CA" w14:textId="77777777" w:rsidTr="00B64518">
        <w:tc>
          <w:tcPr>
            <w:tcW w:w="2030" w:type="dxa"/>
            <w:tcBorders>
              <w:top w:val="single" w:sz="4" w:space="0" w:color="auto"/>
            </w:tcBorders>
          </w:tcPr>
          <w:p w14:paraId="178CD0C4" w14:textId="77777777" w:rsidR="002E017B" w:rsidRPr="00DF3317" w:rsidRDefault="002E017B" w:rsidP="00484021">
            <w:pPr>
              <w:jc w:val="center"/>
              <w:rPr>
                <w:sz w:val="20"/>
                <w:szCs w:val="20"/>
              </w:rPr>
            </w:pPr>
            <w:r w:rsidRPr="00DF3317">
              <w:rPr>
                <w:bCs/>
                <w:sz w:val="20"/>
                <w:szCs w:val="20"/>
              </w:rPr>
              <w:t>Feed intensification strategies</w:t>
            </w:r>
          </w:p>
        </w:tc>
        <w:tc>
          <w:tcPr>
            <w:tcW w:w="1572" w:type="dxa"/>
            <w:tcBorders>
              <w:top w:val="single" w:sz="4" w:space="0" w:color="auto"/>
            </w:tcBorders>
          </w:tcPr>
          <w:p w14:paraId="1031B4F7" w14:textId="77777777" w:rsidR="002E017B" w:rsidRPr="00DF3317" w:rsidRDefault="002E017B" w:rsidP="00484021">
            <w:pPr>
              <w:jc w:val="center"/>
              <w:rPr>
                <w:sz w:val="20"/>
                <w:szCs w:val="20"/>
              </w:rPr>
            </w:pPr>
            <w:r w:rsidRPr="00DF3317">
              <w:rPr>
                <w:bCs/>
                <w:sz w:val="20"/>
                <w:szCs w:val="20"/>
              </w:rPr>
              <w:t>Intensification levels</w:t>
            </w:r>
          </w:p>
        </w:tc>
        <w:tc>
          <w:tcPr>
            <w:tcW w:w="2210" w:type="dxa"/>
            <w:tcBorders>
              <w:top w:val="single" w:sz="4" w:space="0" w:color="auto"/>
            </w:tcBorders>
          </w:tcPr>
          <w:p w14:paraId="5DF81F53" w14:textId="77777777" w:rsidR="002E017B" w:rsidRPr="00DF3317" w:rsidRDefault="002E017B" w:rsidP="00484021">
            <w:pPr>
              <w:jc w:val="center"/>
              <w:rPr>
                <w:sz w:val="20"/>
                <w:szCs w:val="20"/>
                <w:lang w:val="en-GB"/>
              </w:rPr>
            </w:pPr>
            <w:r w:rsidRPr="00DF3317">
              <w:rPr>
                <w:sz w:val="20"/>
                <w:szCs w:val="20"/>
                <w:lang w:val="en-GB"/>
              </w:rPr>
              <w:t>Proportional change of feed types</w:t>
            </w:r>
          </w:p>
        </w:tc>
        <w:tc>
          <w:tcPr>
            <w:tcW w:w="966" w:type="dxa"/>
            <w:tcBorders>
              <w:top w:val="single" w:sz="4" w:space="0" w:color="auto"/>
            </w:tcBorders>
          </w:tcPr>
          <w:p w14:paraId="12D6AAD1" w14:textId="77777777" w:rsidR="002E017B" w:rsidRPr="00DF3317" w:rsidRDefault="00CF2BFC" w:rsidP="00484021">
            <w:pPr>
              <w:jc w:val="center"/>
              <w:rPr>
                <w:sz w:val="20"/>
                <w:szCs w:val="20"/>
              </w:rPr>
            </w:pPr>
            <w:r w:rsidRPr="00DF3317">
              <w:rPr>
                <w:bCs/>
                <w:sz w:val="20"/>
                <w:szCs w:val="20"/>
              </w:rPr>
              <w:t>Y</w:t>
            </w:r>
            <w:r w:rsidR="002E017B" w:rsidRPr="00DF3317">
              <w:rPr>
                <w:bCs/>
                <w:sz w:val="20"/>
                <w:szCs w:val="20"/>
              </w:rPr>
              <w:t>ield level</w:t>
            </w:r>
            <w:r w:rsidR="006F7D8F" w:rsidRPr="00DF3317">
              <w:rPr>
                <w:bCs/>
                <w:sz w:val="20"/>
                <w:szCs w:val="20"/>
              </w:rPr>
              <w:t>s</w:t>
            </w:r>
          </w:p>
        </w:tc>
        <w:tc>
          <w:tcPr>
            <w:tcW w:w="2700" w:type="dxa"/>
            <w:gridSpan w:val="3"/>
            <w:tcBorders>
              <w:top w:val="single" w:sz="4" w:space="0" w:color="auto"/>
            </w:tcBorders>
          </w:tcPr>
          <w:p w14:paraId="5063CA79" w14:textId="77777777" w:rsidR="002E017B" w:rsidRPr="00DF3317" w:rsidRDefault="002E017B" w:rsidP="00484021">
            <w:pPr>
              <w:jc w:val="center"/>
              <w:rPr>
                <w:sz w:val="20"/>
                <w:szCs w:val="20"/>
              </w:rPr>
            </w:pPr>
            <w:r w:rsidRPr="00DF3317">
              <w:rPr>
                <w:sz w:val="20"/>
                <w:szCs w:val="20"/>
              </w:rPr>
              <w:t>Feed improvement scenarios</w:t>
            </w:r>
          </w:p>
        </w:tc>
      </w:tr>
      <w:tr w:rsidR="00DF0E4A" w:rsidRPr="00EE4878" w14:paraId="7A6AF7A2" w14:textId="77777777" w:rsidTr="00B64518">
        <w:tc>
          <w:tcPr>
            <w:tcW w:w="6774" w:type="dxa"/>
            <w:gridSpan w:val="4"/>
            <w:tcBorders>
              <w:bottom w:val="single" w:sz="4" w:space="0" w:color="auto"/>
            </w:tcBorders>
          </w:tcPr>
          <w:p w14:paraId="10831D44" w14:textId="77777777" w:rsidR="00DF0E4A" w:rsidRPr="00DF3317" w:rsidRDefault="00DF0E4A" w:rsidP="00484021">
            <w:pPr>
              <w:rPr>
                <w:sz w:val="20"/>
                <w:szCs w:val="20"/>
              </w:rPr>
            </w:pPr>
          </w:p>
        </w:tc>
        <w:tc>
          <w:tcPr>
            <w:tcW w:w="844" w:type="dxa"/>
            <w:tcBorders>
              <w:bottom w:val="single" w:sz="4" w:space="0" w:color="auto"/>
            </w:tcBorders>
          </w:tcPr>
          <w:p w14:paraId="110670EE" w14:textId="77777777" w:rsidR="00DF0E4A" w:rsidRPr="00DF3317" w:rsidRDefault="00DF0E4A" w:rsidP="00484021">
            <w:pPr>
              <w:rPr>
                <w:sz w:val="20"/>
                <w:szCs w:val="20"/>
              </w:rPr>
            </w:pPr>
            <w:r w:rsidRPr="00DF3317">
              <w:rPr>
                <w:sz w:val="20"/>
                <w:szCs w:val="20"/>
              </w:rPr>
              <w:t>FeCo</w:t>
            </w:r>
          </w:p>
        </w:tc>
        <w:tc>
          <w:tcPr>
            <w:tcW w:w="844" w:type="dxa"/>
            <w:tcBorders>
              <w:bottom w:val="single" w:sz="4" w:space="0" w:color="auto"/>
            </w:tcBorders>
          </w:tcPr>
          <w:p w14:paraId="3F2708EB" w14:textId="77777777" w:rsidR="00DF0E4A" w:rsidRPr="00DF3317" w:rsidRDefault="00DF0E4A" w:rsidP="00484021">
            <w:pPr>
              <w:rPr>
                <w:sz w:val="20"/>
                <w:szCs w:val="20"/>
              </w:rPr>
            </w:pPr>
            <w:r w:rsidRPr="00DF3317">
              <w:rPr>
                <w:sz w:val="20"/>
                <w:szCs w:val="20"/>
              </w:rPr>
              <w:t>FoCo</w:t>
            </w:r>
          </w:p>
        </w:tc>
        <w:tc>
          <w:tcPr>
            <w:tcW w:w="1012" w:type="dxa"/>
            <w:tcBorders>
              <w:bottom w:val="single" w:sz="4" w:space="0" w:color="auto"/>
            </w:tcBorders>
          </w:tcPr>
          <w:p w14:paraId="578DEA86" w14:textId="77777777" w:rsidR="00DF0E4A" w:rsidRPr="00DF3317" w:rsidRDefault="00DF0E4A" w:rsidP="00484021">
            <w:pPr>
              <w:rPr>
                <w:sz w:val="20"/>
                <w:szCs w:val="20"/>
              </w:rPr>
            </w:pPr>
            <w:r w:rsidRPr="00DF3317">
              <w:rPr>
                <w:sz w:val="20"/>
                <w:szCs w:val="20"/>
              </w:rPr>
              <w:t>FoFeCo</w:t>
            </w:r>
          </w:p>
        </w:tc>
      </w:tr>
      <w:tr w:rsidR="00CF2BFC" w:rsidRPr="00EE4878" w14:paraId="5EACC4FC" w14:textId="77777777" w:rsidTr="00B64518">
        <w:trPr>
          <w:trHeight w:val="288"/>
        </w:trPr>
        <w:tc>
          <w:tcPr>
            <w:tcW w:w="2030" w:type="dxa"/>
            <w:vMerge w:val="restart"/>
            <w:tcBorders>
              <w:top w:val="single" w:sz="4" w:space="0" w:color="auto"/>
            </w:tcBorders>
          </w:tcPr>
          <w:p w14:paraId="74AB03B3" w14:textId="77777777" w:rsidR="002E017B" w:rsidRPr="00EE4878" w:rsidRDefault="002E017B" w:rsidP="0015422D">
            <w:pPr>
              <w:rPr>
                <w:sz w:val="20"/>
                <w:szCs w:val="20"/>
              </w:rPr>
            </w:pPr>
            <w:r w:rsidRPr="00EE4878">
              <w:rPr>
                <w:sz w:val="20"/>
                <w:szCs w:val="20"/>
              </w:rPr>
              <w:t>Improved forage quality (</w:t>
            </w:r>
            <w:r w:rsidRPr="00EE4878">
              <w:rPr>
                <w:bCs/>
                <w:sz w:val="20"/>
                <w:szCs w:val="20"/>
              </w:rPr>
              <w:t>Fo</w:t>
            </w:r>
            <w:r w:rsidRPr="00EE4878">
              <w:rPr>
                <w:sz w:val="20"/>
                <w:szCs w:val="20"/>
              </w:rPr>
              <w:t>)</w:t>
            </w:r>
          </w:p>
          <w:p w14:paraId="5FB9E1FC" w14:textId="77777777" w:rsidR="002E017B" w:rsidRPr="00EE4878" w:rsidRDefault="002E017B" w:rsidP="0015422D">
            <w:pPr>
              <w:rPr>
                <w:sz w:val="20"/>
                <w:szCs w:val="20"/>
              </w:rPr>
            </w:pPr>
          </w:p>
        </w:tc>
        <w:tc>
          <w:tcPr>
            <w:tcW w:w="1572" w:type="dxa"/>
            <w:vMerge w:val="restart"/>
            <w:tcBorders>
              <w:top w:val="single" w:sz="4" w:space="0" w:color="auto"/>
            </w:tcBorders>
          </w:tcPr>
          <w:p w14:paraId="791F7967" w14:textId="77777777" w:rsidR="002E017B" w:rsidRPr="00EE4878" w:rsidRDefault="002E017B" w:rsidP="0015422D">
            <w:pPr>
              <w:rPr>
                <w:sz w:val="20"/>
                <w:szCs w:val="20"/>
              </w:rPr>
            </w:pPr>
            <w:r w:rsidRPr="00EE4878">
              <w:rPr>
                <w:sz w:val="20"/>
                <w:szCs w:val="20"/>
              </w:rPr>
              <w:t>medium</w:t>
            </w:r>
          </w:p>
          <w:p w14:paraId="47816418" w14:textId="77777777" w:rsidR="002E017B" w:rsidRPr="00EE4878" w:rsidRDefault="002E017B" w:rsidP="0015422D">
            <w:pPr>
              <w:rPr>
                <w:sz w:val="20"/>
                <w:szCs w:val="20"/>
              </w:rPr>
            </w:pPr>
          </w:p>
        </w:tc>
        <w:tc>
          <w:tcPr>
            <w:tcW w:w="2210" w:type="dxa"/>
            <w:vMerge w:val="restart"/>
            <w:tcBorders>
              <w:top w:val="single" w:sz="4" w:space="0" w:color="auto"/>
            </w:tcBorders>
          </w:tcPr>
          <w:p w14:paraId="49E9DA57"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25 % Napier grass</w:t>
            </w:r>
          </w:p>
          <w:p w14:paraId="2B6A0B7B"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25 % pasture grass</w:t>
            </w:r>
          </w:p>
        </w:tc>
        <w:tc>
          <w:tcPr>
            <w:tcW w:w="966" w:type="dxa"/>
            <w:tcBorders>
              <w:top w:val="single" w:sz="4" w:space="0" w:color="auto"/>
            </w:tcBorders>
          </w:tcPr>
          <w:p w14:paraId="1E47394A" w14:textId="77777777" w:rsidR="002E017B" w:rsidRPr="00EE4878" w:rsidRDefault="002E017B" w:rsidP="0015422D">
            <w:pPr>
              <w:rPr>
                <w:sz w:val="20"/>
                <w:szCs w:val="20"/>
              </w:rPr>
            </w:pPr>
            <w:r>
              <w:rPr>
                <w:sz w:val="20"/>
                <w:szCs w:val="20"/>
              </w:rPr>
              <w:t>Ya</w:t>
            </w:r>
          </w:p>
        </w:tc>
        <w:tc>
          <w:tcPr>
            <w:tcW w:w="844" w:type="dxa"/>
            <w:vMerge w:val="restart"/>
            <w:tcBorders>
              <w:top w:val="single" w:sz="4" w:space="0" w:color="auto"/>
            </w:tcBorders>
          </w:tcPr>
          <w:p w14:paraId="2D6D89ED" w14:textId="77777777" w:rsidR="002E017B" w:rsidRPr="00DF0E4A" w:rsidRDefault="002E017B" w:rsidP="0015422D">
            <w:pPr>
              <w:jc w:val="center"/>
              <w:rPr>
                <w:b/>
                <w:sz w:val="20"/>
                <w:szCs w:val="20"/>
              </w:rPr>
            </w:pPr>
          </w:p>
        </w:tc>
        <w:tc>
          <w:tcPr>
            <w:tcW w:w="844" w:type="dxa"/>
            <w:vMerge w:val="restart"/>
            <w:tcBorders>
              <w:top w:val="single" w:sz="4" w:space="0" w:color="auto"/>
            </w:tcBorders>
          </w:tcPr>
          <w:p w14:paraId="5E510BDB" w14:textId="77777777" w:rsidR="002E017B" w:rsidRPr="00DF0E4A" w:rsidRDefault="00CB34E1" w:rsidP="0015422D">
            <w:pPr>
              <w:jc w:val="center"/>
              <w:rPr>
                <w:b/>
                <w:sz w:val="20"/>
                <w:szCs w:val="20"/>
              </w:rPr>
            </w:pPr>
            <w:r w:rsidRPr="00DF0E4A">
              <w:rPr>
                <w:b/>
                <w:sz w:val="20"/>
                <w:szCs w:val="20"/>
              </w:rPr>
              <w:t>x</w:t>
            </w:r>
          </w:p>
        </w:tc>
        <w:tc>
          <w:tcPr>
            <w:tcW w:w="1012" w:type="dxa"/>
            <w:vMerge w:val="restart"/>
            <w:tcBorders>
              <w:top w:val="single" w:sz="4" w:space="0" w:color="auto"/>
            </w:tcBorders>
          </w:tcPr>
          <w:p w14:paraId="6640CAB1" w14:textId="77777777" w:rsidR="002E017B" w:rsidRPr="00DF0E4A" w:rsidRDefault="002E017B" w:rsidP="0015422D">
            <w:pPr>
              <w:jc w:val="center"/>
              <w:rPr>
                <w:b/>
                <w:sz w:val="20"/>
                <w:szCs w:val="20"/>
              </w:rPr>
            </w:pPr>
          </w:p>
        </w:tc>
      </w:tr>
      <w:tr w:rsidR="00CF2BFC" w:rsidRPr="00EE4878" w14:paraId="34CD5962" w14:textId="77777777" w:rsidTr="00B64518">
        <w:trPr>
          <w:trHeight w:val="288"/>
        </w:trPr>
        <w:tc>
          <w:tcPr>
            <w:tcW w:w="2030" w:type="dxa"/>
            <w:vMerge/>
          </w:tcPr>
          <w:p w14:paraId="250DEBD6" w14:textId="77777777" w:rsidR="002E017B" w:rsidRPr="00EE4878" w:rsidRDefault="002E017B" w:rsidP="0015422D">
            <w:pPr>
              <w:rPr>
                <w:sz w:val="20"/>
                <w:szCs w:val="20"/>
              </w:rPr>
            </w:pPr>
          </w:p>
        </w:tc>
        <w:tc>
          <w:tcPr>
            <w:tcW w:w="1572" w:type="dxa"/>
            <w:vMerge/>
          </w:tcPr>
          <w:p w14:paraId="221D46FD" w14:textId="77777777" w:rsidR="002E017B" w:rsidRPr="00EE4878" w:rsidRDefault="002E017B" w:rsidP="0015422D">
            <w:pPr>
              <w:rPr>
                <w:sz w:val="20"/>
                <w:szCs w:val="20"/>
              </w:rPr>
            </w:pPr>
          </w:p>
        </w:tc>
        <w:tc>
          <w:tcPr>
            <w:tcW w:w="2210" w:type="dxa"/>
            <w:vMerge/>
          </w:tcPr>
          <w:p w14:paraId="58390E02" w14:textId="77777777" w:rsidR="002E017B" w:rsidRPr="00EE4878" w:rsidRDefault="002E017B" w:rsidP="0015422D">
            <w:pPr>
              <w:rPr>
                <w:sz w:val="20"/>
                <w:szCs w:val="20"/>
              </w:rPr>
            </w:pPr>
          </w:p>
        </w:tc>
        <w:tc>
          <w:tcPr>
            <w:tcW w:w="966" w:type="dxa"/>
          </w:tcPr>
          <w:p w14:paraId="1FDB421D" w14:textId="77777777" w:rsidR="002E017B" w:rsidRPr="00EE4878" w:rsidRDefault="002E017B" w:rsidP="0015422D">
            <w:pPr>
              <w:rPr>
                <w:sz w:val="20"/>
                <w:szCs w:val="20"/>
              </w:rPr>
            </w:pPr>
            <w:r>
              <w:rPr>
                <w:sz w:val="20"/>
                <w:szCs w:val="20"/>
              </w:rPr>
              <w:t>Yw-50</w:t>
            </w:r>
          </w:p>
        </w:tc>
        <w:tc>
          <w:tcPr>
            <w:tcW w:w="844" w:type="dxa"/>
            <w:vMerge/>
          </w:tcPr>
          <w:p w14:paraId="39840EC7" w14:textId="77777777" w:rsidR="002E017B" w:rsidRPr="00DF0E4A" w:rsidRDefault="002E017B" w:rsidP="0015422D">
            <w:pPr>
              <w:jc w:val="center"/>
              <w:rPr>
                <w:b/>
                <w:sz w:val="20"/>
                <w:szCs w:val="20"/>
              </w:rPr>
            </w:pPr>
          </w:p>
        </w:tc>
        <w:tc>
          <w:tcPr>
            <w:tcW w:w="844" w:type="dxa"/>
            <w:vMerge/>
          </w:tcPr>
          <w:p w14:paraId="1A37C3A2" w14:textId="77777777" w:rsidR="002E017B" w:rsidRPr="00DF0E4A" w:rsidRDefault="002E017B" w:rsidP="0015422D">
            <w:pPr>
              <w:jc w:val="center"/>
              <w:rPr>
                <w:b/>
                <w:sz w:val="20"/>
                <w:szCs w:val="20"/>
              </w:rPr>
            </w:pPr>
          </w:p>
        </w:tc>
        <w:tc>
          <w:tcPr>
            <w:tcW w:w="1012" w:type="dxa"/>
            <w:vMerge/>
          </w:tcPr>
          <w:p w14:paraId="6858E16F" w14:textId="77777777" w:rsidR="002E017B" w:rsidRPr="00DF0E4A" w:rsidRDefault="002E017B" w:rsidP="0015422D">
            <w:pPr>
              <w:jc w:val="center"/>
              <w:rPr>
                <w:b/>
                <w:sz w:val="20"/>
                <w:szCs w:val="20"/>
              </w:rPr>
            </w:pPr>
          </w:p>
        </w:tc>
      </w:tr>
      <w:tr w:rsidR="00CF2BFC" w:rsidRPr="00EE4878" w14:paraId="25971401" w14:textId="77777777" w:rsidTr="00B64518">
        <w:trPr>
          <w:trHeight w:val="288"/>
        </w:trPr>
        <w:tc>
          <w:tcPr>
            <w:tcW w:w="2030" w:type="dxa"/>
            <w:vMerge/>
          </w:tcPr>
          <w:p w14:paraId="44EADA52" w14:textId="77777777" w:rsidR="002E017B" w:rsidRPr="00EE4878" w:rsidRDefault="002E017B" w:rsidP="0015422D">
            <w:pPr>
              <w:rPr>
                <w:sz w:val="20"/>
                <w:szCs w:val="20"/>
              </w:rPr>
            </w:pPr>
          </w:p>
        </w:tc>
        <w:tc>
          <w:tcPr>
            <w:tcW w:w="1572" w:type="dxa"/>
            <w:vMerge/>
          </w:tcPr>
          <w:p w14:paraId="00C64DD7" w14:textId="77777777" w:rsidR="002E017B" w:rsidRPr="000B79A7" w:rsidRDefault="002E017B" w:rsidP="0015422D">
            <w:pPr>
              <w:rPr>
                <w:sz w:val="20"/>
                <w:szCs w:val="20"/>
              </w:rPr>
            </w:pPr>
          </w:p>
        </w:tc>
        <w:tc>
          <w:tcPr>
            <w:tcW w:w="2210" w:type="dxa"/>
            <w:vMerge/>
          </w:tcPr>
          <w:p w14:paraId="52A4E09C" w14:textId="77777777" w:rsidR="002E017B" w:rsidRPr="00EE4878" w:rsidRDefault="002E017B" w:rsidP="0015422D">
            <w:pPr>
              <w:rPr>
                <w:sz w:val="20"/>
                <w:szCs w:val="20"/>
              </w:rPr>
            </w:pPr>
          </w:p>
        </w:tc>
        <w:tc>
          <w:tcPr>
            <w:tcW w:w="966" w:type="dxa"/>
          </w:tcPr>
          <w:p w14:paraId="1A49A0A9" w14:textId="77777777" w:rsidR="002E017B" w:rsidRPr="00EE4878" w:rsidRDefault="002E017B" w:rsidP="0015422D">
            <w:pPr>
              <w:rPr>
                <w:sz w:val="20"/>
                <w:szCs w:val="20"/>
              </w:rPr>
            </w:pPr>
            <w:r>
              <w:rPr>
                <w:sz w:val="20"/>
                <w:szCs w:val="20"/>
              </w:rPr>
              <w:t>Yw</w:t>
            </w:r>
            <w:r w:rsidR="00CB34E1">
              <w:rPr>
                <w:sz w:val="20"/>
                <w:szCs w:val="20"/>
              </w:rPr>
              <w:t>-</w:t>
            </w:r>
            <w:r>
              <w:rPr>
                <w:sz w:val="20"/>
                <w:szCs w:val="20"/>
              </w:rPr>
              <w:t>80</w:t>
            </w:r>
          </w:p>
        </w:tc>
        <w:tc>
          <w:tcPr>
            <w:tcW w:w="844" w:type="dxa"/>
            <w:vMerge/>
          </w:tcPr>
          <w:p w14:paraId="15A52620" w14:textId="77777777" w:rsidR="002E017B" w:rsidRPr="00DF0E4A" w:rsidRDefault="002E017B" w:rsidP="0015422D">
            <w:pPr>
              <w:jc w:val="center"/>
              <w:rPr>
                <w:b/>
                <w:sz w:val="20"/>
                <w:szCs w:val="20"/>
              </w:rPr>
            </w:pPr>
          </w:p>
        </w:tc>
        <w:tc>
          <w:tcPr>
            <w:tcW w:w="844" w:type="dxa"/>
            <w:vMerge/>
          </w:tcPr>
          <w:p w14:paraId="7BB44BF9" w14:textId="77777777" w:rsidR="002E017B" w:rsidRPr="00DF0E4A" w:rsidRDefault="002E017B" w:rsidP="0015422D">
            <w:pPr>
              <w:jc w:val="center"/>
              <w:rPr>
                <w:b/>
                <w:sz w:val="20"/>
                <w:szCs w:val="20"/>
              </w:rPr>
            </w:pPr>
          </w:p>
        </w:tc>
        <w:tc>
          <w:tcPr>
            <w:tcW w:w="1012" w:type="dxa"/>
            <w:vMerge/>
          </w:tcPr>
          <w:p w14:paraId="4ED3920E" w14:textId="77777777" w:rsidR="002E017B" w:rsidRPr="00DF0E4A" w:rsidRDefault="002E017B" w:rsidP="0015422D">
            <w:pPr>
              <w:jc w:val="center"/>
              <w:rPr>
                <w:b/>
                <w:sz w:val="20"/>
                <w:szCs w:val="20"/>
              </w:rPr>
            </w:pPr>
          </w:p>
        </w:tc>
      </w:tr>
      <w:tr w:rsidR="00CF2BFC" w:rsidRPr="00EE4878" w14:paraId="5B2514EF" w14:textId="77777777" w:rsidTr="00B64518">
        <w:trPr>
          <w:trHeight w:val="288"/>
        </w:trPr>
        <w:tc>
          <w:tcPr>
            <w:tcW w:w="2030" w:type="dxa"/>
            <w:vMerge/>
          </w:tcPr>
          <w:p w14:paraId="2FE739F0" w14:textId="77777777" w:rsidR="002E017B" w:rsidRPr="00EE4878" w:rsidRDefault="002E017B" w:rsidP="0015422D">
            <w:pPr>
              <w:rPr>
                <w:sz w:val="20"/>
                <w:szCs w:val="20"/>
              </w:rPr>
            </w:pPr>
          </w:p>
        </w:tc>
        <w:tc>
          <w:tcPr>
            <w:tcW w:w="1572" w:type="dxa"/>
            <w:vMerge w:val="restart"/>
          </w:tcPr>
          <w:p w14:paraId="54A68247" w14:textId="77777777" w:rsidR="002E017B" w:rsidRPr="00EE4878" w:rsidRDefault="002E017B" w:rsidP="0015422D">
            <w:pPr>
              <w:rPr>
                <w:sz w:val="20"/>
                <w:szCs w:val="20"/>
              </w:rPr>
            </w:pPr>
            <w:r w:rsidRPr="00EE4878">
              <w:rPr>
                <w:sz w:val="20"/>
                <w:szCs w:val="20"/>
              </w:rPr>
              <w:t>high</w:t>
            </w:r>
          </w:p>
          <w:p w14:paraId="12E0D2AF" w14:textId="77777777" w:rsidR="002E017B" w:rsidRPr="00EE4878" w:rsidRDefault="002E017B" w:rsidP="0015422D">
            <w:pPr>
              <w:rPr>
                <w:sz w:val="20"/>
                <w:szCs w:val="20"/>
              </w:rPr>
            </w:pPr>
          </w:p>
        </w:tc>
        <w:tc>
          <w:tcPr>
            <w:tcW w:w="2210" w:type="dxa"/>
            <w:vMerge w:val="restart"/>
          </w:tcPr>
          <w:p w14:paraId="55FF44D6"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50 % Napier grass</w:t>
            </w:r>
          </w:p>
          <w:p w14:paraId="3D00A799"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50 % pasture grass</w:t>
            </w:r>
          </w:p>
        </w:tc>
        <w:tc>
          <w:tcPr>
            <w:tcW w:w="966" w:type="dxa"/>
          </w:tcPr>
          <w:p w14:paraId="5D2A7AF6" w14:textId="77777777" w:rsidR="002E017B" w:rsidRPr="00EE4878" w:rsidRDefault="002E017B" w:rsidP="0015422D">
            <w:pPr>
              <w:rPr>
                <w:sz w:val="20"/>
                <w:szCs w:val="20"/>
              </w:rPr>
            </w:pPr>
            <w:r>
              <w:rPr>
                <w:sz w:val="20"/>
                <w:szCs w:val="20"/>
              </w:rPr>
              <w:t>Ya</w:t>
            </w:r>
          </w:p>
        </w:tc>
        <w:tc>
          <w:tcPr>
            <w:tcW w:w="844" w:type="dxa"/>
            <w:vMerge w:val="restart"/>
          </w:tcPr>
          <w:p w14:paraId="41BC1C2A" w14:textId="77777777" w:rsidR="002E017B" w:rsidRPr="00DF0E4A" w:rsidRDefault="002E017B" w:rsidP="0015422D">
            <w:pPr>
              <w:jc w:val="center"/>
              <w:rPr>
                <w:b/>
                <w:sz w:val="20"/>
                <w:szCs w:val="20"/>
              </w:rPr>
            </w:pPr>
          </w:p>
        </w:tc>
        <w:tc>
          <w:tcPr>
            <w:tcW w:w="844" w:type="dxa"/>
            <w:vMerge w:val="restart"/>
          </w:tcPr>
          <w:p w14:paraId="68914734" w14:textId="77777777" w:rsidR="002E017B" w:rsidRPr="00DF0E4A" w:rsidRDefault="002E017B" w:rsidP="0015422D">
            <w:pPr>
              <w:jc w:val="center"/>
              <w:rPr>
                <w:b/>
                <w:sz w:val="20"/>
                <w:szCs w:val="20"/>
              </w:rPr>
            </w:pPr>
          </w:p>
        </w:tc>
        <w:tc>
          <w:tcPr>
            <w:tcW w:w="1012" w:type="dxa"/>
          </w:tcPr>
          <w:p w14:paraId="28658ED4" w14:textId="77777777" w:rsidR="002E017B" w:rsidRPr="00DF0E4A" w:rsidRDefault="00CB34E1" w:rsidP="0015422D">
            <w:pPr>
              <w:jc w:val="center"/>
              <w:rPr>
                <w:b/>
                <w:sz w:val="20"/>
                <w:szCs w:val="20"/>
              </w:rPr>
            </w:pPr>
            <w:r w:rsidRPr="00DF0E4A">
              <w:rPr>
                <w:b/>
                <w:sz w:val="20"/>
                <w:szCs w:val="20"/>
              </w:rPr>
              <w:t>x</w:t>
            </w:r>
          </w:p>
        </w:tc>
      </w:tr>
      <w:tr w:rsidR="00CF2BFC" w:rsidRPr="00EE4878" w14:paraId="7F96646D" w14:textId="77777777" w:rsidTr="00B64518">
        <w:trPr>
          <w:trHeight w:val="288"/>
        </w:trPr>
        <w:tc>
          <w:tcPr>
            <w:tcW w:w="2030" w:type="dxa"/>
            <w:vMerge/>
          </w:tcPr>
          <w:p w14:paraId="38A0FE53" w14:textId="77777777" w:rsidR="002E017B" w:rsidRPr="00EE4878" w:rsidRDefault="002E017B" w:rsidP="0015422D">
            <w:pPr>
              <w:rPr>
                <w:sz w:val="20"/>
                <w:szCs w:val="20"/>
              </w:rPr>
            </w:pPr>
          </w:p>
        </w:tc>
        <w:tc>
          <w:tcPr>
            <w:tcW w:w="1572" w:type="dxa"/>
            <w:vMerge/>
          </w:tcPr>
          <w:p w14:paraId="13498667" w14:textId="77777777" w:rsidR="002E017B" w:rsidRPr="00EE4878" w:rsidRDefault="002E017B" w:rsidP="0015422D">
            <w:pPr>
              <w:rPr>
                <w:sz w:val="20"/>
                <w:szCs w:val="20"/>
              </w:rPr>
            </w:pPr>
          </w:p>
        </w:tc>
        <w:tc>
          <w:tcPr>
            <w:tcW w:w="2210" w:type="dxa"/>
            <w:vMerge/>
          </w:tcPr>
          <w:p w14:paraId="06B5E581" w14:textId="77777777" w:rsidR="002E017B" w:rsidRPr="00EE4878" w:rsidRDefault="002E017B" w:rsidP="0015422D">
            <w:pPr>
              <w:rPr>
                <w:sz w:val="20"/>
                <w:szCs w:val="20"/>
              </w:rPr>
            </w:pPr>
          </w:p>
        </w:tc>
        <w:tc>
          <w:tcPr>
            <w:tcW w:w="966" w:type="dxa"/>
          </w:tcPr>
          <w:p w14:paraId="0B322F4D" w14:textId="77777777" w:rsidR="002E017B" w:rsidRPr="00EE4878" w:rsidRDefault="002E017B" w:rsidP="0015422D">
            <w:pPr>
              <w:rPr>
                <w:sz w:val="20"/>
                <w:szCs w:val="20"/>
              </w:rPr>
            </w:pPr>
            <w:r>
              <w:rPr>
                <w:sz w:val="20"/>
                <w:szCs w:val="20"/>
              </w:rPr>
              <w:t>Yw-50</w:t>
            </w:r>
          </w:p>
        </w:tc>
        <w:tc>
          <w:tcPr>
            <w:tcW w:w="844" w:type="dxa"/>
            <w:vMerge/>
          </w:tcPr>
          <w:p w14:paraId="1F4D619C" w14:textId="77777777" w:rsidR="002E017B" w:rsidRPr="00DF0E4A" w:rsidRDefault="002E017B" w:rsidP="0015422D">
            <w:pPr>
              <w:jc w:val="center"/>
              <w:rPr>
                <w:b/>
                <w:sz w:val="20"/>
                <w:szCs w:val="20"/>
              </w:rPr>
            </w:pPr>
          </w:p>
        </w:tc>
        <w:tc>
          <w:tcPr>
            <w:tcW w:w="844" w:type="dxa"/>
            <w:vMerge/>
          </w:tcPr>
          <w:p w14:paraId="76A65FD5" w14:textId="77777777" w:rsidR="002E017B" w:rsidRPr="00DF0E4A" w:rsidRDefault="002E017B" w:rsidP="0015422D">
            <w:pPr>
              <w:jc w:val="center"/>
              <w:rPr>
                <w:b/>
                <w:sz w:val="20"/>
                <w:szCs w:val="20"/>
              </w:rPr>
            </w:pPr>
          </w:p>
        </w:tc>
        <w:tc>
          <w:tcPr>
            <w:tcW w:w="1012" w:type="dxa"/>
          </w:tcPr>
          <w:p w14:paraId="67B75720" w14:textId="77777777" w:rsidR="002E017B" w:rsidRPr="00DF0E4A" w:rsidRDefault="00CB34E1" w:rsidP="0015422D">
            <w:pPr>
              <w:jc w:val="center"/>
              <w:rPr>
                <w:b/>
                <w:sz w:val="20"/>
                <w:szCs w:val="20"/>
              </w:rPr>
            </w:pPr>
            <w:r w:rsidRPr="00DF0E4A">
              <w:rPr>
                <w:b/>
                <w:sz w:val="20"/>
                <w:szCs w:val="20"/>
              </w:rPr>
              <w:t>x</w:t>
            </w:r>
          </w:p>
        </w:tc>
      </w:tr>
      <w:tr w:rsidR="00CF2BFC" w:rsidRPr="00EE4878" w14:paraId="68A51687" w14:textId="77777777" w:rsidTr="00B64518">
        <w:trPr>
          <w:trHeight w:val="288"/>
        </w:trPr>
        <w:tc>
          <w:tcPr>
            <w:tcW w:w="2030" w:type="dxa"/>
            <w:vMerge/>
            <w:tcBorders>
              <w:bottom w:val="single" w:sz="4" w:space="0" w:color="auto"/>
            </w:tcBorders>
          </w:tcPr>
          <w:p w14:paraId="4797A8D3" w14:textId="77777777" w:rsidR="002E017B" w:rsidRPr="00EE4878" w:rsidRDefault="002E017B" w:rsidP="0015422D">
            <w:pPr>
              <w:rPr>
                <w:sz w:val="20"/>
                <w:szCs w:val="20"/>
              </w:rPr>
            </w:pPr>
          </w:p>
        </w:tc>
        <w:tc>
          <w:tcPr>
            <w:tcW w:w="1572" w:type="dxa"/>
            <w:vMerge/>
            <w:tcBorders>
              <w:bottom w:val="single" w:sz="4" w:space="0" w:color="auto"/>
            </w:tcBorders>
          </w:tcPr>
          <w:p w14:paraId="203490FA" w14:textId="77777777" w:rsidR="002E017B" w:rsidRPr="00EE4878" w:rsidRDefault="002E017B" w:rsidP="0015422D">
            <w:pPr>
              <w:rPr>
                <w:sz w:val="20"/>
                <w:szCs w:val="20"/>
              </w:rPr>
            </w:pPr>
          </w:p>
        </w:tc>
        <w:tc>
          <w:tcPr>
            <w:tcW w:w="2210" w:type="dxa"/>
            <w:vMerge/>
            <w:tcBorders>
              <w:bottom w:val="single" w:sz="4" w:space="0" w:color="auto"/>
            </w:tcBorders>
          </w:tcPr>
          <w:p w14:paraId="1BAA96FF" w14:textId="77777777" w:rsidR="002E017B" w:rsidRPr="00EE4878" w:rsidRDefault="002E017B" w:rsidP="0015422D">
            <w:pPr>
              <w:rPr>
                <w:sz w:val="20"/>
                <w:szCs w:val="20"/>
              </w:rPr>
            </w:pPr>
          </w:p>
        </w:tc>
        <w:tc>
          <w:tcPr>
            <w:tcW w:w="966" w:type="dxa"/>
            <w:tcBorders>
              <w:bottom w:val="single" w:sz="4" w:space="0" w:color="auto"/>
            </w:tcBorders>
          </w:tcPr>
          <w:p w14:paraId="7A6F75BF" w14:textId="77777777" w:rsidR="002E017B" w:rsidRPr="00EE4878" w:rsidRDefault="002E017B" w:rsidP="0015422D">
            <w:pPr>
              <w:rPr>
                <w:sz w:val="20"/>
                <w:szCs w:val="20"/>
              </w:rPr>
            </w:pPr>
            <w:r>
              <w:rPr>
                <w:sz w:val="20"/>
                <w:szCs w:val="20"/>
              </w:rPr>
              <w:t>Yw</w:t>
            </w:r>
            <w:r w:rsidR="00CB34E1">
              <w:rPr>
                <w:sz w:val="20"/>
                <w:szCs w:val="20"/>
              </w:rPr>
              <w:t>-</w:t>
            </w:r>
            <w:r>
              <w:rPr>
                <w:sz w:val="20"/>
                <w:szCs w:val="20"/>
              </w:rPr>
              <w:t>80</w:t>
            </w:r>
          </w:p>
        </w:tc>
        <w:tc>
          <w:tcPr>
            <w:tcW w:w="844" w:type="dxa"/>
            <w:vMerge/>
            <w:tcBorders>
              <w:bottom w:val="single" w:sz="4" w:space="0" w:color="auto"/>
            </w:tcBorders>
          </w:tcPr>
          <w:p w14:paraId="21051AAC" w14:textId="77777777" w:rsidR="002E017B" w:rsidRPr="00DF0E4A" w:rsidRDefault="002E017B" w:rsidP="0015422D">
            <w:pPr>
              <w:jc w:val="center"/>
              <w:rPr>
                <w:b/>
                <w:sz w:val="20"/>
                <w:szCs w:val="20"/>
              </w:rPr>
            </w:pPr>
          </w:p>
        </w:tc>
        <w:tc>
          <w:tcPr>
            <w:tcW w:w="844" w:type="dxa"/>
            <w:vMerge/>
            <w:tcBorders>
              <w:bottom w:val="single" w:sz="4" w:space="0" w:color="auto"/>
            </w:tcBorders>
          </w:tcPr>
          <w:p w14:paraId="5BDCFCBE" w14:textId="77777777" w:rsidR="002E017B" w:rsidRPr="00DF0E4A" w:rsidRDefault="002E017B" w:rsidP="0015422D">
            <w:pPr>
              <w:jc w:val="center"/>
              <w:rPr>
                <w:b/>
                <w:sz w:val="20"/>
                <w:szCs w:val="20"/>
              </w:rPr>
            </w:pPr>
          </w:p>
        </w:tc>
        <w:tc>
          <w:tcPr>
            <w:tcW w:w="1012" w:type="dxa"/>
            <w:tcBorders>
              <w:bottom w:val="single" w:sz="4" w:space="0" w:color="auto"/>
            </w:tcBorders>
          </w:tcPr>
          <w:p w14:paraId="47D8F112" w14:textId="77777777" w:rsidR="002E017B" w:rsidRPr="00DF0E4A" w:rsidRDefault="00CB34E1" w:rsidP="0015422D">
            <w:pPr>
              <w:jc w:val="center"/>
              <w:rPr>
                <w:b/>
                <w:sz w:val="20"/>
                <w:szCs w:val="20"/>
              </w:rPr>
            </w:pPr>
            <w:r w:rsidRPr="00DF0E4A">
              <w:rPr>
                <w:b/>
                <w:sz w:val="20"/>
                <w:szCs w:val="20"/>
              </w:rPr>
              <w:t>x</w:t>
            </w:r>
          </w:p>
        </w:tc>
      </w:tr>
      <w:tr w:rsidR="00CF2BFC" w:rsidRPr="00EE4878" w14:paraId="7F7B5912" w14:textId="77777777" w:rsidTr="00B64518">
        <w:trPr>
          <w:trHeight w:val="288"/>
        </w:trPr>
        <w:tc>
          <w:tcPr>
            <w:tcW w:w="2030" w:type="dxa"/>
            <w:vMerge w:val="restart"/>
            <w:tcBorders>
              <w:top w:val="single" w:sz="4" w:space="0" w:color="auto"/>
            </w:tcBorders>
          </w:tcPr>
          <w:p w14:paraId="205E34D4" w14:textId="77777777" w:rsidR="002E017B" w:rsidRPr="00857406" w:rsidRDefault="002E017B" w:rsidP="0015422D">
            <w:pPr>
              <w:rPr>
                <w:sz w:val="20"/>
                <w:szCs w:val="20"/>
                <w:lang w:val="en-GB"/>
              </w:rPr>
            </w:pPr>
            <w:r w:rsidRPr="00857406">
              <w:rPr>
                <w:sz w:val="20"/>
                <w:szCs w:val="20"/>
                <w:lang w:val="en-GB"/>
              </w:rPr>
              <w:t>Feed conservation &amp; increased grain content (</w:t>
            </w:r>
            <w:r w:rsidRPr="00857406">
              <w:rPr>
                <w:bCs/>
                <w:sz w:val="20"/>
                <w:szCs w:val="20"/>
                <w:lang w:val="en-GB"/>
              </w:rPr>
              <w:t>Fe</w:t>
            </w:r>
            <w:r w:rsidRPr="00857406">
              <w:rPr>
                <w:sz w:val="20"/>
                <w:szCs w:val="20"/>
                <w:lang w:val="en-GB"/>
              </w:rPr>
              <w:t>)</w:t>
            </w:r>
          </w:p>
          <w:p w14:paraId="591D5F30" w14:textId="77777777" w:rsidR="002E017B" w:rsidRPr="00857406" w:rsidRDefault="002E017B" w:rsidP="0015422D">
            <w:pPr>
              <w:rPr>
                <w:sz w:val="20"/>
                <w:szCs w:val="20"/>
                <w:lang w:val="en-GB"/>
              </w:rPr>
            </w:pPr>
          </w:p>
        </w:tc>
        <w:tc>
          <w:tcPr>
            <w:tcW w:w="1572" w:type="dxa"/>
            <w:vMerge w:val="restart"/>
            <w:tcBorders>
              <w:top w:val="single" w:sz="4" w:space="0" w:color="auto"/>
            </w:tcBorders>
          </w:tcPr>
          <w:p w14:paraId="56D99ACA" w14:textId="77777777" w:rsidR="002E017B" w:rsidRPr="00EE4878" w:rsidRDefault="002E017B" w:rsidP="0015422D">
            <w:pPr>
              <w:rPr>
                <w:sz w:val="20"/>
                <w:szCs w:val="20"/>
              </w:rPr>
            </w:pPr>
            <w:r w:rsidRPr="00EE4878">
              <w:rPr>
                <w:sz w:val="20"/>
                <w:szCs w:val="20"/>
              </w:rPr>
              <w:t>medium</w:t>
            </w:r>
          </w:p>
          <w:p w14:paraId="751415DD" w14:textId="77777777" w:rsidR="002E017B" w:rsidRPr="00EE4878" w:rsidRDefault="002E017B" w:rsidP="0015422D">
            <w:pPr>
              <w:rPr>
                <w:sz w:val="20"/>
                <w:szCs w:val="20"/>
              </w:rPr>
            </w:pPr>
          </w:p>
        </w:tc>
        <w:tc>
          <w:tcPr>
            <w:tcW w:w="2210" w:type="dxa"/>
            <w:vMerge w:val="restart"/>
            <w:tcBorders>
              <w:top w:val="single" w:sz="4" w:space="0" w:color="auto"/>
            </w:tcBorders>
          </w:tcPr>
          <w:p w14:paraId="1E97C15D"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25 % maize silage</w:t>
            </w:r>
          </w:p>
          <w:p w14:paraId="3EE1CCD9"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25 % maize stover</w:t>
            </w:r>
          </w:p>
        </w:tc>
        <w:tc>
          <w:tcPr>
            <w:tcW w:w="966" w:type="dxa"/>
            <w:tcBorders>
              <w:top w:val="single" w:sz="4" w:space="0" w:color="auto"/>
            </w:tcBorders>
          </w:tcPr>
          <w:p w14:paraId="777C8648" w14:textId="77777777" w:rsidR="002E017B" w:rsidRPr="00EE4878" w:rsidRDefault="002E017B" w:rsidP="0015422D">
            <w:pPr>
              <w:rPr>
                <w:sz w:val="20"/>
                <w:szCs w:val="20"/>
              </w:rPr>
            </w:pPr>
            <w:r>
              <w:rPr>
                <w:sz w:val="20"/>
                <w:szCs w:val="20"/>
              </w:rPr>
              <w:t>Ya</w:t>
            </w:r>
          </w:p>
        </w:tc>
        <w:tc>
          <w:tcPr>
            <w:tcW w:w="844" w:type="dxa"/>
            <w:tcBorders>
              <w:top w:val="single" w:sz="4" w:space="0" w:color="auto"/>
            </w:tcBorders>
          </w:tcPr>
          <w:p w14:paraId="7F38761B" w14:textId="77777777" w:rsidR="002E017B" w:rsidRPr="00DF0E4A" w:rsidRDefault="00CB34E1" w:rsidP="0015422D">
            <w:pPr>
              <w:jc w:val="center"/>
              <w:rPr>
                <w:b/>
                <w:sz w:val="20"/>
                <w:szCs w:val="20"/>
              </w:rPr>
            </w:pPr>
            <w:r w:rsidRPr="00DF0E4A">
              <w:rPr>
                <w:b/>
                <w:sz w:val="20"/>
                <w:szCs w:val="20"/>
              </w:rPr>
              <w:t>x</w:t>
            </w:r>
          </w:p>
        </w:tc>
        <w:tc>
          <w:tcPr>
            <w:tcW w:w="844" w:type="dxa"/>
            <w:vMerge w:val="restart"/>
            <w:tcBorders>
              <w:top w:val="single" w:sz="4" w:space="0" w:color="auto"/>
            </w:tcBorders>
          </w:tcPr>
          <w:p w14:paraId="3417F70D" w14:textId="77777777" w:rsidR="002E017B" w:rsidRPr="00DF0E4A" w:rsidRDefault="002E017B" w:rsidP="0015422D">
            <w:pPr>
              <w:jc w:val="center"/>
              <w:rPr>
                <w:b/>
                <w:sz w:val="20"/>
                <w:szCs w:val="20"/>
              </w:rPr>
            </w:pPr>
          </w:p>
        </w:tc>
        <w:tc>
          <w:tcPr>
            <w:tcW w:w="1012" w:type="dxa"/>
            <w:vMerge w:val="restart"/>
            <w:tcBorders>
              <w:top w:val="single" w:sz="4" w:space="0" w:color="auto"/>
            </w:tcBorders>
          </w:tcPr>
          <w:p w14:paraId="166D7056" w14:textId="77777777" w:rsidR="002E017B" w:rsidRPr="00DF0E4A" w:rsidRDefault="002E017B" w:rsidP="0015422D">
            <w:pPr>
              <w:jc w:val="center"/>
              <w:rPr>
                <w:b/>
                <w:sz w:val="20"/>
                <w:szCs w:val="20"/>
              </w:rPr>
            </w:pPr>
          </w:p>
        </w:tc>
      </w:tr>
      <w:tr w:rsidR="00CF2BFC" w:rsidRPr="00EE4878" w14:paraId="4832364E" w14:textId="77777777" w:rsidTr="00B64518">
        <w:trPr>
          <w:trHeight w:val="288"/>
        </w:trPr>
        <w:tc>
          <w:tcPr>
            <w:tcW w:w="2030" w:type="dxa"/>
            <w:vMerge/>
          </w:tcPr>
          <w:p w14:paraId="3A1512D5" w14:textId="77777777" w:rsidR="002E017B" w:rsidRPr="00EE4878" w:rsidRDefault="002E017B" w:rsidP="0015422D">
            <w:pPr>
              <w:rPr>
                <w:sz w:val="20"/>
                <w:szCs w:val="20"/>
              </w:rPr>
            </w:pPr>
          </w:p>
        </w:tc>
        <w:tc>
          <w:tcPr>
            <w:tcW w:w="1572" w:type="dxa"/>
            <w:vMerge/>
          </w:tcPr>
          <w:p w14:paraId="558042A1" w14:textId="77777777" w:rsidR="002E017B" w:rsidRPr="00EE4878" w:rsidRDefault="002E017B" w:rsidP="0015422D">
            <w:pPr>
              <w:rPr>
                <w:sz w:val="20"/>
                <w:szCs w:val="20"/>
              </w:rPr>
            </w:pPr>
          </w:p>
        </w:tc>
        <w:tc>
          <w:tcPr>
            <w:tcW w:w="2210" w:type="dxa"/>
            <w:vMerge/>
          </w:tcPr>
          <w:p w14:paraId="3488FEBE" w14:textId="77777777" w:rsidR="002E017B" w:rsidRPr="00EE4878" w:rsidRDefault="002E017B" w:rsidP="0015422D">
            <w:pPr>
              <w:rPr>
                <w:sz w:val="20"/>
                <w:szCs w:val="20"/>
              </w:rPr>
            </w:pPr>
          </w:p>
        </w:tc>
        <w:tc>
          <w:tcPr>
            <w:tcW w:w="966" w:type="dxa"/>
          </w:tcPr>
          <w:p w14:paraId="06A19A37" w14:textId="77777777" w:rsidR="002E017B" w:rsidRPr="00EE4878" w:rsidRDefault="002E017B" w:rsidP="0015422D">
            <w:pPr>
              <w:rPr>
                <w:sz w:val="20"/>
                <w:szCs w:val="20"/>
              </w:rPr>
            </w:pPr>
            <w:r>
              <w:rPr>
                <w:sz w:val="20"/>
                <w:szCs w:val="20"/>
              </w:rPr>
              <w:t>Yw-50</w:t>
            </w:r>
          </w:p>
        </w:tc>
        <w:tc>
          <w:tcPr>
            <w:tcW w:w="844" w:type="dxa"/>
          </w:tcPr>
          <w:p w14:paraId="00A5E5A2" w14:textId="77777777" w:rsidR="002E017B" w:rsidRPr="00DF0E4A" w:rsidRDefault="00CB34E1" w:rsidP="0015422D">
            <w:pPr>
              <w:jc w:val="center"/>
              <w:rPr>
                <w:b/>
                <w:sz w:val="20"/>
                <w:szCs w:val="20"/>
              </w:rPr>
            </w:pPr>
            <w:r w:rsidRPr="00DF0E4A">
              <w:rPr>
                <w:b/>
                <w:sz w:val="20"/>
                <w:szCs w:val="20"/>
              </w:rPr>
              <w:t>x</w:t>
            </w:r>
          </w:p>
        </w:tc>
        <w:tc>
          <w:tcPr>
            <w:tcW w:w="844" w:type="dxa"/>
            <w:vMerge/>
          </w:tcPr>
          <w:p w14:paraId="77672D6C" w14:textId="77777777" w:rsidR="002E017B" w:rsidRPr="00DF0E4A" w:rsidRDefault="002E017B" w:rsidP="0015422D">
            <w:pPr>
              <w:jc w:val="center"/>
              <w:rPr>
                <w:b/>
                <w:sz w:val="20"/>
                <w:szCs w:val="20"/>
              </w:rPr>
            </w:pPr>
          </w:p>
        </w:tc>
        <w:tc>
          <w:tcPr>
            <w:tcW w:w="1012" w:type="dxa"/>
            <w:vMerge/>
          </w:tcPr>
          <w:p w14:paraId="4C468391" w14:textId="77777777" w:rsidR="002E017B" w:rsidRPr="00DF0E4A" w:rsidRDefault="002E017B" w:rsidP="0015422D">
            <w:pPr>
              <w:jc w:val="center"/>
              <w:rPr>
                <w:b/>
                <w:sz w:val="20"/>
                <w:szCs w:val="20"/>
              </w:rPr>
            </w:pPr>
          </w:p>
        </w:tc>
      </w:tr>
      <w:tr w:rsidR="00CF2BFC" w:rsidRPr="00EE4878" w14:paraId="7B74C554" w14:textId="77777777" w:rsidTr="00B64518">
        <w:trPr>
          <w:trHeight w:val="288"/>
        </w:trPr>
        <w:tc>
          <w:tcPr>
            <w:tcW w:w="2030" w:type="dxa"/>
            <w:vMerge/>
          </w:tcPr>
          <w:p w14:paraId="495A2600" w14:textId="77777777" w:rsidR="002E017B" w:rsidRPr="00EE4878" w:rsidRDefault="002E017B" w:rsidP="0015422D">
            <w:pPr>
              <w:rPr>
                <w:sz w:val="20"/>
                <w:szCs w:val="20"/>
              </w:rPr>
            </w:pPr>
          </w:p>
        </w:tc>
        <w:tc>
          <w:tcPr>
            <w:tcW w:w="1572" w:type="dxa"/>
            <w:vMerge/>
          </w:tcPr>
          <w:p w14:paraId="2270BBC6" w14:textId="77777777" w:rsidR="002E017B" w:rsidRPr="00EE4878" w:rsidRDefault="002E017B" w:rsidP="0015422D">
            <w:pPr>
              <w:rPr>
                <w:sz w:val="20"/>
                <w:szCs w:val="20"/>
              </w:rPr>
            </w:pPr>
          </w:p>
        </w:tc>
        <w:tc>
          <w:tcPr>
            <w:tcW w:w="2210" w:type="dxa"/>
            <w:vMerge/>
          </w:tcPr>
          <w:p w14:paraId="59E05260" w14:textId="77777777" w:rsidR="002E017B" w:rsidRPr="00EE4878" w:rsidRDefault="002E017B" w:rsidP="0015422D">
            <w:pPr>
              <w:rPr>
                <w:sz w:val="20"/>
                <w:szCs w:val="20"/>
              </w:rPr>
            </w:pPr>
          </w:p>
        </w:tc>
        <w:tc>
          <w:tcPr>
            <w:tcW w:w="966" w:type="dxa"/>
          </w:tcPr>
          <w:p w14:paraId="0DC5169A" w14:textId="77777777" w:rsidR="002E017B" w:rsidRPr="00EE4878" w:rsidRDefault="002E017B" w:rsidP="0015422D">
            <w:pPr>
              <w:rPr>
                <w:sz w:val="20"/>
                <w:szCs w:val="20"/>
              </w:rPr>
            </w:pPr>
            <w:r>
              <w:rPr>
                <w:sz w:val="20"/>
                <w:szCs w:val="20"/>
              </w:rPr>
              <w:t>Yw</w:t>
            </w:r>
            <w:r w:rsidR="00CB34E1">
              <w:rPr>
                <w:sz w:val="20"/>
                <w:szCs w:val="20"/>
              </w:rPr>
              <w:t>-</w:t>
            </w:r>
            <w:r>
              <w:rPr>
                <w:sz w:val="20"/>
                <w:szCs w:val="20"/>
              </w:rPr>
              <w:t>80</w:t>
            </w:r>
          </w:p>
        </w:tc>
        <w:tc>
          <w:tcPr>
            <w:tcW w:w="844" w:type="dxa"/>
          </w:tcPr>
          <w:p w14:paraId="5D00D0BC" w14:textId="77777777" w:rsidR="002E017B" w:rsidRPr="00DF0E4A" w:rsidRDefault="00CB34E1" w:rsidP="0015422D">
            <w:pPr>
              <w:jc w:val="center"/>
              <w:rPr>
                <w:b/>
                <w:sz w:val="20"/>
                <w:szCs w:val="20"/>
              </w:rPr>
            </w:pPr>
            <w:r w:rsidRPr="00DF0E4A">
              <w:rPr>
                <w:b/>
                <w:sz w:val="20"/>
                <w:szCs w:val="20"/>
              </w:rPr>
              <w:t>x</w:t>
            </w:r>
          </w:p>
        </w:tc>
        <w:tc>
          <w:tcPr>
            <w:tcW w:w="844" w:type="dxa"/>
            <w:vMerge/>
          </w:tcPr>
          <w:p w14:paraId="03549E62" w14:textId="77777777" w:rsidR="002E017B" w:rsidRPr="00DF0E4A" w:rsidRDefault="002E017B" w:rsidP="0015422D">
            <w:pPr>
              <w:jc w:val="center"/>
              <w:rPr>
                <w:b/>
                <w:sz w:val="20"/>
                <w:szCs w:val="20"/>
              </w:rPr>
            </w:pPr>
          </w:p>
        </w:tc>
        <w:tc>
          <w:tcPr>
            <w:tcW w:w="1012" w:type="dxa"/>
            <w:vMerge/>
          </w:tcPr>
          <w:p w14:paraId="604CC029" w14:textId="77777777" w:rsidR="002E017B" w:rsidRPr="00DF0E4A" w:rsidRDefault="002E017B" w:rsidP="0015422D">
            <w:pPr>
              <w:jc w:val="center"/>
              <w:rPr>
                <w:b/>
                <w:sz w:val="20"/>
                <w:szCs w:val="20"/>
              </w:rPr>
            </w:pPr>
          </w:p>
        </w:tc>
      </w:tr>
      <w:tr w:rsidR="00CF2BFC" w:rsidRPr="00EE4878" w14:paraId="06CBAE3D" w14:textId="77777777" w:rsidTr="00B64518">
        <w:trPr>
          <w:trHeight w:val="288"/>
        </w:trPr>
        <w:tc>
          <w:tcPr>
            <w:tcW w:w="2030" w:type="dxa"/>
            <w:vMerge/>
          </w:tcPr>
          <w:p w14:paraId="49C30F97" w14:textId="77777777" w:rsidR="002E017B" w:rsidRPr="00EE4878" w:rsidRDefault="002E017B" w:rsidP="0015422D">
            <w:pPr>
              <w:rPr>
                <w:sz w:val="20"/>
                <w:szCs w:val="20"/>
              </w:rPr>
            </w:pPr>
          </w:p>
        </w:tc>
        <w:tc>
          <w:tcPr>
            <w:tcW w:w="1572" w:type="dxa"/>
            <w:vMerge w:val="restart"/>
          </w:tcPr>
          <w:p w14:paraId="5B39F93B" w14:textId="77777777" w:rsidR="002E017B" w:rsidRPr="00EE4878" w:rsidRDefault="002E017B" w:rsidP="0015422D">
            <w:pPr>
              <w:rPr>
                <w:sz w:val="20"/>
                <w:szCs w:val="20"/>
              </w:rPr>
            </w:pPr>
            <w:r w:rsidRPr="00EE4878">
              <w:rPr>
                <w:sz w:val="20"/>
                <w:szCs w:val="20"/>
              </w:rPr>
              <w:t>high</w:t>
            </w:r>
          </w:p>
          <w:p w14:paraId="5A1B436B" w14:textId="77777777" w:rsidR="002E017B" w:rsidRPr="00EE4878" w:rsidRDefault="002E017B" w:rsidP="0015422D">
            <w:pPr>
              <w:rPr>
                <w:sz w:val="20"/>
                <w:szCs w:val="20"/>
              </w:rPr>
            </w:pPr>
          </w:p>
        </w:tc>
        <w:tc>
          <w:tcPr>
            <w:tcW w:w="2210" w:type="dxa"/>
            <w:vMerge w:val="restart"/>
          </w:tcPr>
          <w:p w14:paraId="62F64ACB"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50 % maize silage</w:t>
            </w:r>
          </w:p>
          <w:p w14:paraId="1DA02F4E"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50 % maize stover</w:t>
            </w:r>
          </w:p>
        </w:tc>
        <w:tc>
          <w:tcPr>
            <w:tcW w:w="966" w:type="dxa"/>
          </w:tcPr>
          <w:p w14:paraId="254389D8" w14:textId="77777777" w:rsidR="002E017B" w:rsidRPr="00EE4878" w:rsidRDefault="002E017B" w:rsidP="0015422D">
            <w:pPr>
              <w:rPr>
                <w:sz w:val="20"/>
                <w:szCs w:val="20"/>
              </w:rPr>
            </w:pPr>
            <w:r>
              <w:rPr>
                <w:sz w:val="20"/>
                <w:szCs w:val="20"/>
              </w:rPr>
              <w:t>Ya</w:t>
            </w:r>
          </w:p>
        </w:tc>
        <w:tc>
          <w:tcPr>
            <w:tcW w:w="844" w:type="dxa"/>
            <w:vMerge w:val="restart"/>
          </w:tcPr>
          <w:p w14:paraId="2B0BFA63" w14:textId="77777777" w:rsidR="002E017B" w:rsidRPr="00DF0E4A" w:rsidRDefault="002E017B" w:rsidP="0015422D">
            <w:pPr>
              <w:jc w:val="center"/>
              <w:rPr>
                <w:b/>
                <w:sz w:val="20"/>
                <w:szCs w:val="20"/>
              </w:rPr>
            </w:pPr>
          </w:p>
        </w:tc>
        <w:tc>
          <w:tcPr>
            <w:tcW w:w="844" w:type="dxa"/>
            <w:vMerge w:val="restart"/>
          </w:tcPr>
          <w:p w14:paraId="0591766B" w14:textId="77777777" w:rsidR="002E017B" w:rsidRPr="00DF0E4A" w:rsidRDefault="002E017B" w:rsidP="0015422D">
            <w:pPr>
              <w:jc w:val="center"/>
              <w:rPr>
                <w:b/>
                <w:sz w:val="20"/>
                <w:szCs w:val="20"/>
              </w:rPr>
            </w:pPr>
          </w:p>
        </w:tc>
        <w:tc>
          <w:tcPr>
            <w:tcW w:w="1012" w:type="dxa"/>
          </w:tcPr>
          <w:p w14:paraId="3878A12B" w14:textId="77777777" w:rsidR="002E017B" w:rsidRPr="00DF0E4A" w:rsidRDefault="00CB34E1" w:rsidP="0015422D">
            <w:pPr>
              <w:jc w:val="center"/>
              <w:rPr>
                <w:b/>
                <w:sz w:val="20"/>
                <w:szCs w:val="20"/>
              </w:rPr>
            </w:pPr>
            <w:r w:rsidRPr="00DF0E4A">
              <w:rPr>
                <w:b/>
                <w:sz w:val="20"/>
                <w:szCs w:val="20"/>
              </w:rPr>
              <w:t>x</w:t>
            </w:r>
          </w:p>
        </w:tc>
      </w:tr>
      <w:tr w:rsidR="00CF2BFC" w:rsidRPr="00EE4878" w14:paraId="42EDF37D" w14:textId="77777777" w:rsidTr="00B64518">
        <w:trPr>
          <w:trHeight w:val="288"/>
        </w:trPr>
        <w:tc>
          <w:tcPr>
            <w:tcW w:w="2030" w:type="dxa"/>
            <w:vMerge/>
          </w:tcPr>
          <w:p w14:paraId="4EE815CD" w14:textId="77777777" w:rsidR="002E017B" w:rsidRPr="00EE4878" w:rsidRDefault="002E017B" w:rsidP="0015422D">
            <w:pPr>
              <w:rPr>
                <w:sz w:val="20"/>
                <w:szCs w:val="20"/>
              </w:rPr>
            </w:pPr>
          </w:p>
        </w:tc>
        <w:tc>
          <w:tcPr>
            <w:tcW w:w="1572" w:type="dxa"/>
            <w:vMerge/>
          </w:tcPr>
          <w:p w14:paraId="389949CA" w14:textId="77777777" w:rsidR="002E017B" w:rsidRPr="00EE4878" w:rsidRDefault="002E017B" w:rsidP="0015422D">
            <w:pPr>
              <w:rPr>
                <w:sz w:val="20"/>
                <w:szCs w:val="20"/>
              </w:rPr>
            </w:pPr>
          </w:p>
        </w:tc>
        <w:tc>
          <w:tcPr>
            <w:tcW w:w="2210" w:type="dxa"/>
            <w:vMerge/>
          </w:tcPr>
          <w:p w14:paraId="6BB0AEEF" w14:textId="77777777" w:rsidR="002E017B" w:rsidRPr="00EE4878" w:rsidRDefault="002E017B" w:rsidP="0015422D">
            <w:pPr>
              <w:rPr>
                <w:sz w:val="20"/>
                <w:szCs w:val="20"/>
              </w:rPr>
            </w:pPr>
          </w:p>
        </w:tc>
        <w:tc>
          <w:tcPr>
            <w:tcW w:w="966" w:type="dxa"/>
          </w:tcPr>
          <w:p w14:paraId="7433FDE2" w14:textId="77777777" w:rsidR="002E017B" w:rsidRPr="00EE4878" w:rsidRDefault="002E017B" w:rsidP="0015422D">
            <w:pPr>
              <w:rPr>
                <w:sz w:val="20"/>
                <w:szCs w:val="20"/>
              </w:rPr>
            </w:pPr>
            <w:r>
              <w:rPr>
                <w:sz w:val="20"/>
                <w:szCs w:val="20"/>
              </w:rPr>
              <w:t>Yw-50</w:t>
            </w:r>
          </w:p>
        </w:tc>
        <w:tc>
          <w:tcPr>
            <w:tcW w:w="844" w:type="dxa"/>
            <w:vMerge/>
          </w:tcPr>
          <w:p w14:paraId="099FB912" w14:textId="77777777" w:rsidR="002E017B" w:rsidRPr="00DF0E4A" w:rsidRDefault="002E017B" w:rsidP="0015422D">
            <w:pPr>
              <w:jc w:val="center"/>
              <w:rPr>
                <w:b/>
                <w:sz w:val="20"/>
                <w:szCs w:val="20"/>
              </w:rPr>
            </w:pPr>
          </w:p>
        </w:tc>
        <w:tc>
          <w:tcPr>
            <w:tcW w:w="844" w:type="dxa"/>
            <w:vMerge/>
          </w:tcPr>
          <w:p w14:paraId="4F8BA5A7" w14:textId="77777777" w:rsidR="002E017B" w:rsidRPr="00DF0E4A" w:rsidRDefault="002E017B" w:rsidP="0015422D">
            <w:pPr>
              <w:jc w:val="center"/>
              <w:rPr>
                <w:b/>
                <w:sz w:val="20"/>
                <w:szCs w:val="20"/>
              </w:rPr>
            </w:pPr>
          </w:p>
        </w:tc>
        <w:tc>
          <w:tcPr>
            <w:tcW w:w="1012" w:type="dxa"/>
          </w:tcPr>
          <w:p w14:paraId="3B5EE7C3" w14:textId="77777777" w:rsidR="002E017B" w:rsidRPr="00DF0E4A" w:rsidRDefault="00CB34E1" w:rsidP="0015422D">
            <w:pPr>
              <w:jc w:val="center"/>
              <w:rPr>
                <w:b/>
                <w:sz w:val="20"/>
                <w:szCs w:val="20"/>
              </w:rPr>
            </w:pPr>
            <w:r w:rsidRPr="00DF0E4A">
              <w:rPr>
                <w:b/>
                <w:sz w:val="20"/>
                <w:szCs w:val="20"/>
              </w:rPr>
              <w:t>x</w:t>
            </w:r>
          </w:p>
        </w:tc>
      </w:tr>
      <w:tr w:rsidR="00CF2BFC" w:rsidRPr="00EE4878" w14:paraId="25E60A5A" w14:textId="77777777" w:rsidTr="00B64518">
        <w:trPr>
          <w:trHeight w:val="288"/>
        </w:trPr>
        <w:tc>
          <w:tcPr>
            <w:tcW w:w="2030" w:type="dxa"/>
            <w:vMerge/>
            <w:tcBorders>
              <w:bottom w:val="single" w:sz="4" w:space="0" w:color="auto"/>
            </w:tcBorders>
          </w:tcPr>
          <w:p w14:paraId="3DA2DF79" w14:textId="77777777" w:rsidR="002E017B" w:rsidRPr="00EE4878" w:rsidRDefault="002E017B" w:rsidP="0015422D">
            <w:pPr>
              <w:rPr>
                <w:sz w:val="20"/>
                <w:szCs w:val="20"/>
              </w:rPr>
            </w:pPr>
          </w:p>
        </w:tc>
        <w:tc>
          <w:tcPr>
            <w:tcW w:w="1572" w:type="dxa"/>
            <w:vMerge/>
            <w:tcBorders>
              <w:bottom w:val="single" w:sz="4" w:space="0" w:color="auto"/>
            </w:tcBorders>
          </w:tcPr>
          <w:p w14:paraId="2C63EF5D" w14:textId="77777777" w:rsidR="002E017B" w:rsidRPr="00EE4878" w:rsidRDefault="002E017B" w:rsidP="0015422D">
            <w:pPr>
              <w:rPr>
                <w:sz w:val="20"/>
                <w:szCs w:val="20"/>
              </w:rPr>
            </w:pPr>
          </w:p>
        </w:tc>
        <w:tc>
          <w:tcPr>
            <w:tcW w:w="2210" w:type="dxa"/>
            <w:vMerge/>
            <w:tcBorders>
              <w:bottom w:val="single" w:sz="4" w:space="0" w:color="auto"/>
            </w:tcBorders>
          </w:tcPr>
          <w:p w14:paraId="10E2846D" w14:textId="77777777" w:rsidR="002E017B" w:rsidRPr="00EE4878" w:rsidRDefault="002E017B" w:rsidP="0015422D">
            <w:pPr>
              <w:rPr>
                <w:sz w:val="20"/>
                <w:szCs w:val="20"/>
              </w:rPr>
            </w:pPr>
          </w:p>
        </w:tc>
        <w:tc>
          <w:tcPr>
            <w:tcW w:w="966" w:type="dxa"/>
            <w:tcBorders>
              <w:bottom w:val="single" w:sz="4" w:space="0" w:color="auto"/>
            </w:tcBorders>
          </w:tcPr>
          <w:p w14:paraId="5CFF0191" w14:textId="77777777" w:rsidR="002E017B" w:rsidRPr="00EE4878" w:rsidRDefault="002E017B" w:rsidP="0015422D">
            <w:pPr>
              <w:rPr>
                <w:sz w:val="20"/>
                <w:szCs w:val="20"/>
              </w:rPr>
            </w:pPr>
            <w:r>
              <w:rPr>
                <w:sz w:val="20"/>
                <w:szCs w:val="20"/>
              </w:rPr>
              <w:t>Yw</w:t>
            </w:r>
            <w:r w:rsidR="00CB34E1">
              <w:rPr>
                <w:sz w:val="20"/>
                <w:szCs w:val="20"/>
              </w:rPr>
              <w:t>-</w:t>
            </w:r>
            <w:r>
              <w:rPr>
                <w:sz w:val="20"/>
                <w:szCs w:val="20"/>
              </w:rPr>
              <w:t>80</w:t>
            </w:r>
          </w:p>
        </w:tc>
        <w:tc>
          <w:tcPr>
            <w:tcW w:w="844" w:type="dxa"/>
            <w:vMerge/>
            <w:tcBorders>
              <w:bottom w:val="single" w:sz="4" w:space="0" w:color="auto"/>
            </w:tcBorders>
          </w:tcPr>
          <w:p w14:paraId="3DEC0BD1" w14:textId="77777777" w:rsidR="002E017B" w:rsidRPr="00DF0E4A" w:rsidRDefault="002E017B" w:rsidP="0015422D">
            <w:pPr>
              <w:jc w:val="center"/>
              <w:rPr>
                <w:b/>
                <w:sz w:val="20"/>
                <w:szCs w:val="20"/>
              </w:rPr>
            </w:pPr>
          </w:p>
        </w:tc>
        <w:tc>
          <w:tcPr>
            <w:tcW w:w="844" w:type="dxa"/>
            <w:vMerge/>
            <w:tcBorders>
              <w:bottom w:val="single" w:sz="4" w:space="0" w:color="auto"/>
            </w:tcBorders>
          </w:tcPr>
          <w:p w14:paraId="238E193C" w14:textId="77777777" w:rsidR="002E017B" w:rsidRPr="00DF0E4A" w:rsidRDefault="002E017B" w:rsidP="0015422D">
            <w:pPr>
              <w:jc w:val="center"/>
              <w:rPr>
                <w:b/>
                <w:sz w:val="20"/>
                <w:szCs w:val="20"/>
              </w:rPr>
            </w:pPr>
          </w:p>
        </w:tc>
        <w:tc>
          <w:tcPr>
            <w:tcW w:w="1012" w:type="dxa"/>
            <w:tcBorders>
              <w:bottom w:val="single" w:sz="4" w:space="0" w:color="auto"/>
            </w:tcBorders>
          </w:tcPr>
          <w:p w14:paraId="1D6AD124" w14:textId="77777777" w:rsidR="002E017B" w:rsidRPr="00DF0E4A" w:rsidRDefault="00CB34E1" w:rsidP="0015422D">
            <w:pPr>
              <w:jc w:val="center"/>
              <w:rPr>
                <w:b/>
                <w:sz w:val="20"/>
                <w:szCs w:val="20"/>
              </w:rPr>
            </w:pPr>
            <w:r w:rsidRPr="00DF0E4A">
              <w:rPr>
                <w:b/>
                <w:sz w:val="20"/>
                <w:szCs w:val="20"/>
              </w:rPr>
              <w:t>x</w:t>
            </w:r>
          </w:p>
        </w:tc>
      </w:tr>
      <w:tr w:rsidR="00CF2BFC" w:rsidRPr="00EE4878" w14:paraId="5A679C78" w14:textId="77777777" w:rsidTr="00B64518">
        <w:trPr>
          <w:trHeight w:val="288"/>
        </w:trPr>
        <w:tc>
          <w:tcPr>
            <w:tcW w:w="2030" w:type="dxa"/>
            <w:vMerge w:val="restart"/>
            <w:tcBorders>
              <w:top w:val="single" w:sz="4" w:space="0" w:color="auto"/>
            </w:tcBorders>
          </w:tcPr>
          <w:p w14:paraId="0527E1FC" w14:textId="77777777" w:rsidR="002E017B" w:rsidRPr="00EE4878" w:rsidRDefault="002E017B" w:rsidP="0015422D">
            <w:pPr>
              <w:rPr>
                <w:sz w:val="20"/>
                <w:szCs w:val="20"/>
              </w:rPr>
            </w:pPr>
            <w:r w:rsidRPr="00EE4878">
              <w:rPr>
                <w:sz w:val="20"/>
                <w:szCs w:val="20"/>
              </w:rPr>
              <w:t>Dairy concentrates supplementation (</w:t>
            </w:r>
            <w:r w:rsidRPr="00EE4878">
              <w:rPr>
                <w:bCs/>
                <w:sz w:val="20"/>
                <w:szCs w:val="20"/>
              </w:rPr>
              <w:t>Co</w:t>
            </w:r>
            <w:r w:rsidRPr="00EE4878">
              <w:rPr>
                <w:sz w:val="20"/>
                <w:szCs w:val="20"/>
              </w:rPr>
              <w:t>)</w:t>
            </w:r>
          </w:p>
          <w:p w14:paraId="6615385E" w14:textId="77777777" w:rsidR="002E017B" w:rsidRPr="00EE4878" w:rsidRDefault="002E017B" w:rsidP="0015422D">
            <w:pPr>
              <w:rPr>
                <w:sz w:val="20"/>
                <w:szCs w:val="20"/>
              </w:rPr>
            </w:pPr>
          </w:p>
        </w:tc>
        <w:tc>
          <w:tcPr>
            <w:tcW w:w="1572" w:type="dxa"/>
            <w:vMerge w:val="restart"/>
            <w:tcBorders>
              <w:top w:val="single" w:sz="4" w:space="0" w:color="auto"/>
            </w:tcBorders>
          </w:tcPr>
          <w:p w14:paraId="57205459" w14:textId="77777777" w:rsidR="002E017B" w:rsidRPr="00EE4878" w:rsidRDefault="002E017B" w:rsidP="0015422D">
            <w:pPr>
              <w:rPr>
                <w:sz w:val="20"/>
                <w:szCs w:val="20"/>
              </w:rPr>
            </w:pPr>
            <w:r w:rsidRPr="00EE4878">
              <w:rPr>
                <w:sz w:val="20"/>
                <w:szCs w:val="20"/>
              </w:rPr>
              <w:t>medium</w:t>
            </w:r>
          </w:p>
          <w:p w14:paraId="0E50D13F" w14:textId="77777777" w:rsidR="002E017B" w:rsidRPr="00EE4878" w:rsidRDefault="002E017B" w:rsidP="0015422D">
            <w:pPr>
              <w:rPr>
                <w:sz w:val="20"/>
                <w:szCs w:val="20"/>
              </w:rPr>
            </w:pPr>
          </w:p>
        </w:tc>
        <w:tc>
          <w:tcPr>
            <w:tcW w:w="2210" w:type="dxa"/>
            <w:vMerge w:val="restart"/>
            <w:tcBorders>
              <w:top w:val="single" w:sz="4" w:space="0" w:color="auto"/>
            </w:tcBorders>
          </w:tcPr>
          <w:p w14:paraId="4D781B7A" w14:textId="77777777" w:rsidR="002E017B" w:rsidRPr="00EE4878" w:rsidRDefault="002E017B" w:rsidP="0015422D">
            <w:pPr>
              <w:rPr>
                <w:sz w:val="20"/>
                <w:szCs w:val="20"/>
              </w:rPr>
            </w:pPr>
            <w:r w:rsidRPr="00EE4878">
              <w:rPr>
                <w:sz w:val="20"/>
                <w:szCs w:val="20"/>
              </w:rPr>
              <w:t>+</w:t>
            </w:r>
            <w:r w:rsidR="00943DB0">
              <w:rPr>
                <w:sz w:val="20"/>
                <w:szCs w:val="20"/>
              </w:rPr>
              <w:t xml:space="preserve"> </w:t>
            </w:r>
            <w:r w:rsidRPr="00EE4878">
              <w:rPr>
                <w:sz w:val="20"/>
                <w:szCs w:val="20"/>
              </w:rPr>
              <w:t>3 kg day</w:t>
            </w:r>
            <w:r w:rsidRPr="00EE4878">
              <w:rPr>
                <w:sz w:val="20"/>
                <w:szCs w:val="20"/>
                <w:vertAlign w:val="superscript"/>
              </w:rPr>
              <w:t xml:space="preserve">-1 </w:t>
            </w:r>
            <w:r w:rsidRPr="00EE4878">
              <w:rPr>
                <w:sz w:val="20"/>
                <w:szCs w:val="20"/>
              </w:rPr>
              <w:t>dairy meal</w:t>
            </w:r>
          </w:p>
        </w:tc>
        <w:tc>
          <w:tcPr>
            <w:tcW w:w="966" w:type="dxa"/>
            <w:tcBorders>
              <w:top w:val="single" w:sz="4" w:space="0" w:color="auto"/>
            </w:tcBorders>
          </w:tcPr>
          <w:p w14:paraId="13C2FD00" w14:textId="77777777" w:rsidR="002E017B" w:rsidRPr="00EE4878" w:rsidRDefault="002E017B" w:rsidP="0015422D">
            <w:pPr>
              <w:rPr>
                <w:sz w:val="20"/>
                <w:szCs w:val="20"/>
              </w:rPr>
            </w:pPr>
            <w:r>
              <w:rPr>
                <w:sz w:val="20"/>
                <w:szCs w:val="20"/>
              </w:rPr>
              <w:t>Ya</w:t>
            </w:r>
          </w:p>
        </w:tc>
        <w:tc>
          <w:tcPr>
            <w:tcW w:w="844" w:type="dxa"/>
            <w:tcBorders>
              <w:top w:val="single" w:sz="4" w:space="0" w:color="auto"/>
            </w:tcBorders>
          </w:tcPr>
          <w:p w14:paraId="3A70AF22" w14:textId="77777777" w:rsidR="002E017B" w:rsidRPr="00DF0E4A" w:rsidRDefault="00CB34E1" w:rsidP="0015422D">
            <w:pPr>
              <w:jc w:val="center"/>
              <w:rPr>
                <w:b/>
                <w:sz w:val="20"/>
                <w:szCs w:val="20"/>
              </w:rPr>
            </w:pPr>
            <w:r w:rsidRPr="00DF0E4A">
              <w:rPr>
                <w:b/>
                <w:sz w:val="20"/>
                <w:szCs w:val="20"/>
              </w:rPr>
              <w:t>x</w:t>
            </w:r>
          </w:p>
        </w:tc>
        <w:tc>
          <w:tcPr>
            <w:tcW w:w="844" w:type="dxa"/>
            <w:vMerge w:val="restart"/>
            <w:tcBorders>
              <w:top w:val="single" w:sz="4" w:space="0" w:color="auto"/>
            </w:tcBorders>
          </w:tcPr>
          <w:p w14:paraId="0FFB85CB" w14:textId="77777777" w:rsidR="002E017B" w:rsidRPr="00DF0E4A" w:rsidRDefault="00CB34E1" w:rsidP="0015422D">
            <w:pPr>
              <w:jc w:val="center"/>
              <w:rPr>
                <w:b/>
                <w:sz w:val="20"/>
                <w:szCs w:val="20"/>
              </w:rPr>
            </w:pPr>
            <w:r w:rsidRPr="00DF0E4A">
              <w:rPr>
                <w:b/>
                <w:sz w:val="20"/>
                <w:szCs w:val="20"/>
              </w:rPr>
              <w:t>x</w:t>
            </w:r>
          </w:p>
        </w:tc>
        <w:tc>
          <w:tcPr>
            <w:tcW w:w="1012" w:type="dxa"/>
            <w:vMerge w:val="restart"/>
            <w:tcBorders>
              <w:top w:val="single" w:sz="4" w:space="0" w:color="auto"/>
            </w:tcBorders>
          </w:tcPr>
          <w:p w14:paraId="3F487970" w14:textId="77777777" w:rsidR="002E017B" w:rsidRPr="00DF0E4A" w:rsidRDefault="002E017B" w:rsidP="0015422D">
            <w:pPr>
              <w:jc w:val="center"/>
              <w:rPr>
                <w:b/>
                <w:sz w:val="20"/>
                <w:szCs w:val="20"/>
              </w:rPr>
            </w:pPr>
          </w:p>
        </w:tc>
      </w:tr>
      <w:tr w:rsidR="00CF2BFC" w:rsidRPr="00EE4878" w14:paraId="0D2EE5BA" w14:textId="77777777" w:rsidTr="00B64518">
        <w:trPr>
          <w:trHeight w:val="288"/>
        </w:trPr>
        <w:tc>
          <w:tcPr>
            <w:tcW w:w="2030" w:type="dxa"/>
            <w:vMerge/>
          </w:tcPr>
          <w:p w14:paraId="53EA9F2E" w14:textId="77777777" w:rsidR="002E017B" w:rsidRPr="00EE4878" w:rsidRDefault="002E017B" w:rsidP="0015422D">
            <w:pPr>
              <w:rPr>
                <w:sz w:val="20"/>
                <w:szCs w:val="20"/>
              </w:rPr>
            </w:pPr>
          </w:p>
        </w:tc>
        <w:tc>
          <w:tcPr>
            <w:tcW w:w="1572" w:type="dxa"/>
            <w:vMerge/>
          </w:tcPr>
          <w:p w14:paraId="6AE97DA7" w14:textId="77777777" w:rsidR="002E017B" w:rsidRPr="00EE4878" w:rsidRDefault="002E017B" w:rsidP="0015422D">
            <w:pPr>
              <w:rPr>
                <w:sz w:val="20"/>
                <w:szCs w:val="20"/>
              </w:rPr>
            </w:pPr>
          </w:p>
        </w:tc>
        <w:tc>
          <w:tcPr>
            <w:tcW w:w="2210" w:type="dxa"/>
            <w:vMerge/>
          </w:tcPr>
          <w:p w14:paraId="1A86569F" w14:textId="77777777" w:rsidR="002E017B" w:rsidRPr="00EE4878" w:rsidRDefault="002E017B" w:rsidP="0015422D">
            <w:pPr>
              <w:rPr>
                <w:sz w:val="20"/>
                <w:szCs w:val="20"/>
              </w:rPr>
            </w:pPr>
          </w:p>
        </w:tc>
        <w:tc>
          <w:tcPr>
            <w:tcW w:w="966" w:type="dxa"/>
          </w:tcPr>
          <w:p w14:paraId="2EB5DB6B" w14:textId="77777777" w:rsidR="002E017B" w:rsidRPr="00EE4878" w:rsidRDefault="002E017B" w:rsidP="0015422D">
            <w:pPr>
              <w:rPr>
                <w:sz w:val="20"/>
                <w:szCs w:val="20"/>
              </w:rPr>
            </w:pPr>
            <w:r>
              <w:rPr>
                <w:sz w:val="20"/>
                <w:szCs w:val="20"/>
              </w:rPr>
              <w:t>Yw-50</w:t>
            </w:r>
          </w:p>
        </w:tc>
        <w:tc>
          <w:tcPr>
            <w:tcW w:w="844" w:type="dxa"/>
          </w:tcPr>
          <w:p w14:paraId="11AF608E" w14:textId="77777777" w:rsidR="002E017B" w:rsidRPr="00DF0E4A" w:rsidRDefault="00CB34E1" w:rsidP="0015422D">
            <w:pPr>
              <w:jc w:val="center"/>
              <w:rPr>
                <w:b/>
                <w:sz w:val="20"/>
                <w:szCs w:val="20"/>
              </w:rPr>
            </w:pPr>
            <w:r w:rsidRPr="00DF0E4A">
              <w:rPr>
                <w:b/>
                <w:sz w:val="20"/>
                <w:szCs w:val="20"/>
              </w:rPr>
              <w:t>x</w:t>
            </w:r>
          </w:p>
        </w:tc>
        <w:tc>
          <w:tcPr>
            <w:tcW w:w="844" w:type="dxa"/>
            <w:vMerge/>
          </w:tcPr>
          <w:p w14:paraId="1017E268" w14:textId="77777777" w:rsidR="002E017B" w:rsidRPr="00DF0E4A" w:rsidRDefault="002E017B" w:rsidP="0015422D">
            <w:pPr>
              <w:jc w:val="center"/>
              <w:rPr>
                <w:b/>
                <w:sz w:val="20"/>
                <w:szCs w:val="20"/>
              </w:rPr>
            </w:pPr>
          </w:p>
        </w:tc>
        <w:tc>
          <w:tcPr>
            <w:tcW w:w="1012" w:type="dxa"/>
            <w:vMerge/>
          </w:tcPr>
          <w:p w14:paraId="7F5579CF" w14:textId="77777777" w:rsidR="002E017B" w:rsidRPr="00DF0E4A" w:rsidRDefault="002E017B" w:rsidP="0015422D">
            <w:pPr>
              <w:jc w:val="center"/>
              <w:rPr>
                <w:b/>
                <w:sz w:val="20"/>
                <w:szCs w:val="20"/>
              </w:rPr>
            </w:pPr>
          </w:p>
        </w:tc>
      </w:tr>
      <w:tr w:rsidR="00CF2BFC" w:rsidRPr="00EE4878" w14:paraId="699413EC" w14:textId="77777777" w:rsidTr="00B64518">
        <w:trPr>
          <w:trHeight w:val="288"/>
        </w:trPr>
        <w:tc>
          <w:tcPr>
            <w:tcW w:w="2030" w:type="dxa"/>
            <w:vMerge/>
          </w:tcPr>
          <w:p w14:paraId="5B2FB6DB" w14:textId="77777777" w:rsidR="002E017B" w:rsidRPr="00EE4878" w:rsidRDefault="002E017B" w:rsidP="0015422D">
            <w:pPr>
              <w:rPr>
                <w:sz w:val="20"/>
                <w:szCs w:val="20"/>
              </w:rPr>
            </w:pPr>
          </w:p>
        </w:tc>
        <w:tc>
          <w:tcPr>
            <w:tcW w:w="1572" w:type="dxa"/>
            <w:vMerge/>
          </w:tcPr>
          <w:p w14:paraId="5086E8CB" w14:textId="77777777" w:rsidR="002E017B" w:rsidRPr="00EE4878" w:rsidRDefault="002E017B" w:rsidP="0015422D">
            <w:pPr>
              <w:rPr>
                <w:sz w:val="20"/>
                <w:szCs w:val="20"/>
              </w:rPr>
            </w:pPr>
          </w:p>
        </w:tc>
        <w:tc>
          <w:tcPr>
            <w:tcW w:w="2210" w:type="dxa"/>
            <w:vMerge/>
          </w:tcPr>
          <w:p w14:paraId="629D898A" w14:textId="77777777" w:rsidR="002E017B" w:rsidRPr="00EE4878" w:rsidRDefault="002E017B" w:rsidP="0015422D">
            <w:pPr>
              <w:rPr>
                <w:sz w:val="20"/>
                <w:szCs w:val="20"/>
              </w:rPr>
            </w:pPr>
          </w:p>
        </w:tc>
        <w:tc>
          <w:tcPr>
            <w:tcW w:w="966" w:type="dxa"/>
          </w:tcPr>
          <w:p w14:paraId="50B24C26" w14:textId="77777777" w:rsidR="002E017B" w:rsidRPr="00EE4878" w:rsidRDefault="002E017B" w:rsidP="0015422D">
            <w:pPr>
              <w:rPr>
                <w:sz w:val="20"/>
                <w:szCs w:val="20"/>
              </w:rPr>
            </w:pPr>
            <w:r>
              <w:rPr>
                <w:sz w:val="20"/>
                <w:szCs w:val="20"/>
              </w:rPr>
              <w:t>Yw</w:t>
            </w:r>
            <w:r w:rsidR="00CB34E1">
              <w:rPr>
                <w:sz w:val="20"/>
                <w:szCs w:val="20"/>
              </w:rPr>
              <w:t>-</w:t>
            </w:r>
            <w:r>
              <w:rPr>
                <w:sz w:val="20"/>
                <w:szCs w:val="20"/>
              </w:rPr>
              <w:t>80</w:t>
            </w:r>
          </w:p>
        </w:tc>
        <w:tc>
          <w:tcPr>
            <w:tcW w:w="844" w:type="dxa"/>
          </w:tcPr>
          <w:p w14:paraId="63201F8D" w14:textId="77777777" w:rsidR="002E017B" w:rsidRPr="00DF0E4A" w:rsidRDefault="00CB34E1" w:rsidP="0015422D">
            <w:pPr>
              <w:jc w:val="center"/>
              <w:rPr>
                <w:b/>
                <w:sz w:val="20"/>
                <w:szCs w:val="20"/>
              </w:rPr>
            </w:pPr>
            <w:r w:rsidRPr="00DF0E4A">
              <w:rPr>
                <w:b/>
                <w:sz w:val="20"/>
                <w:szCs w:val="20"/>
              </w:rPr>
              <w:t>x</w:t>
            </w:r>
          </w:p>
        </w:tc>
        <w:tc>
          <w:tcPr>
            <w:tcW w:w="844" w:type="dxa"/>
            <w:vMerge/>
          </w:tcPr>
          <w:p w14:paraId="62674494" w14:textId="77777777" w:rsidR="002E017B" w:rsidRPr="00DF0E4A" w:rsidRDefault="002E017B" w:rsidP="0015422D">
            <w:pPr>
              <w:jc w:val="center"/>
              <w:rPr>
                <w:b/>
                <w:sz w:val="20"/>
                <w:szCs w:val="20"/>
              </w:rPr>
            </w:pPr>
          </w:p>
        </w:tc>
        <w:tc>
          <w:tcPr>
            <w:tcW w:w="1012" w:type="dxa"/>
            <w:vMerge/>
          </w:tcPr>
          <w:p w14:paraId="2EBED23C" w14:textId="77777777" w:rsidR="002E017B" w:rsidRPr="00DF0E4A" w:rsidRDefault="002E017B" w:rsidP="0015422D">
            <w:pPr>
              <w:jc w:val="center"/>
              <w:rPr>
                <w:b/>
                <w:sz w:val="20"/>
                <w:szCs w:val="20"/>
              </w:rPr>
            </w:pPr>
          </w:p>
        </w:tc>
      </w:tr>
      <w:tr w:rsidR="00CF2BFC" w:rsidRPr="00EE4878" w14:paraId="7E032EC6" w14:textId="77777777" w:rsidTr="00B64518">
        <w:trPr>
          <w:trHeight w:val="288"/>
        </w:trPr>
        <w:tc>
          <w:tcPr>
            <w:tcW w:w="2030" w:type="dxa"/>
            <w:vMerge/>
          </w:tcPr>
          <w:p w14:paraId="70CD338D" w14:textId="77777777" w:rsidR="00CB34E1" w:rsidRPr="00EE4878" w:rsidRDefault="00CB34E1" w:rsidP="0015422D">
            <w:pPr>
              <w:rPr>
                <w:sz w:val="20"/>
                <w:szCs w:val="20"/>
              </w:rPr>
            </w:pPr>
          </w:p>
        </w:tc>
        <w:tc>
          <w:tcPr>
            <w:tcW w:w="1572" w:type="dxa"/>
            <w:vMerge w:val="restart"/>
          </w:tcPr>
          <w:p w14:paraId="0B3F9ADE" w14:textId="77777777" w:rsidR="00CB34E1" w:rsidRPr="00EE4878" w:rsidRDefault="00CB34E1" w:rsidP="0015422D">
            <w:pPr>
              <w:rPr>
                <w:sz w:val="20"/>
                <w:szCs w:val="20"/>
              </w:rPr>
            </w:pPr>
            <w:r w:rsidRPr="00EE4878">
              <w:rPr>
                <w:sz w:val="20"/>
                <w:szCs w:val="20"/>
              </w:rPr>
              <w:t>high</w:t>
            </w:r>
          </w:p>
          <w:p w14:paraId="2224E6D4" w14:textId="77777777" w:rsidR="00CB34E1" w:rsidRPr="00EE4878" w:rsidRDefault="00CB34E1" w:rsidP="0015422D">
            <w:pPr>
              <w:rPr>
                <w:sz w:val="20"/>
                <w:szCs w:val="20"/>
              </w:rPr>
            </w:pPr>
          </w:p>
        </w:tc>
        <w:tc>
          <w:tcPr>
            <w:tcW w:w="2210" w:type="dxa"/>
            <w:vMerge w:val="restart"/>
          </w:tcPr>
          <w:p w14:paraId="7CB824FC" w14:textId="77777777" w:rsidR="00CB34E1" w:rsidRPr="00EE4878" w:rsidRDefault="00CB34E1" w:rsidP="0015422D">
            <w:pPr>
              <w:rPr>
                <w:sz w:val="20"/>
                <w:szCs w:val="20"/>
              </w:rPr>
            </w:pPr>
            <w:r w:rsidRPr="00EE4878">
              <w:rPr>
                <w:sz w:val="20"/>
                <w:szCs w:val="20"/>
              </w:rPr>
              <w:t>+</w:t>
            </w:r>
            <w:r w:rsidR="00943DB0">
              <w:rPr>
                <w:sz w:val="20"/>
                <w:szCs w:val="20"/>
              </w:rPr>
              <w:t xml:space="preserve"> </w:t>
            </w:r>
            <w:r w:rsidRPr="00EE4878">
              <w:rPr>
                <w:sz w:val="20"/>
                <w:szCs w:val="20"/>
              </w:rPr>
              <w:t>6 kg day</w:t>
            </w:r>
            <w:r w:rsidRPr="00EE4878">
              <w:rPr>
                <w:sz w:val="20"/>
                <w:szCs w:val="20"/>
                <w:vertAlign w:val="superscript"/>
              </w:rPr>
              <w:t xml:space="preserve">-1 </w:t>
            </w:r>
            <w:r w:rsidRPr="00EE4878">
              <w:rPr>
                <w:sz w:val="20"/>
                <w:szCs w:val="20"/>
              </w:rPr>
              <w:t>dairy meal</w:t>
            </w:r>
          </w:p>
        </w:tc>
        <w:tc>
          <w:tcPr>
            <w:tcW w:w="966" w:type="dxa"/>
          </w:tcPr>
          <w:p w14:paraId="3F6FCCCF" w14:textId="77777777" w:rsidR="00CB34E1" w:rsidRPr="00EE4878" w:rsidRDefault="00CB34E1" w:rsidP="0015422D">
            <w:pPr>
              <w:rPr>
                <w:sz w:val="20"/>
                <w:szCs w:val="20"/>
              </w:rPr>
            </w:pPr>
            <w:r>
              <w:rPr>
                <w:sz w:val="20"/>
                <w:szCs w:val="20"/>
              </w:rPr>
              <w:t>Ya</w:t>
            </w:r>
          </w:p>
        </w:tc>
        <w:tc>
          <w:tcPr>
            <w:tcW w:w="844" w:type="dxa"/>
            <w:vMerge w:val="restart"/>
          </w:tcPr>
          <w:p w14:paraId="3F110561" w14:textId="77777777" w:rsidR="00CB34E1" w:rsidRPr="00DF0E4A" w:rsidRDefault="00CB34E1" w:rsidP="0015422D">
            <w:pPr>
              <w:jc w:val="center"/>
              <w:rPr>
                <w:b/>
                <w:sz w:val="20"/>
                <w:szCs w:val="20"/>
              </w:rPr>
            </w:pPr>
          </w:p>
        </w:tc>
        <w:tc>
          <w:tcPr>
            <w:tcW w:w="844" w:type="dxa"/>
            <w:vMerge w:val="restart"/>
          </w:tcPr>
          <w:p w14:paraId="0B082E76" w14:textId="77777777" w:rsidR="00CB34E1" w:rsidRPr="00DF0E4A" w:rsidRDefault="00CB34E1" w:rsidP="0015422D">
            <w:pPr>
              <w:jc w:val="center"/>
              <w:rPr>
                <w:b/>
                <w:sz w:val="20"/>
                <w:szCs w:val="20"/>
              </w:rPr>
            </w:pPr>
          </w:p>
        </w:tc>
        <w:tc>
          <w:tcPr>
            <w:tcW w:w="1012" w:type="dxa"/>
          </w:tcPr>
          <w:p w14:paraId="53EB1EA3" w14:textId="77777777" w:rsidR="00CB34E1" w:rsidRPr="00DF0E4A" w:rsidRDefault="00CB34E1" w:rsidP="0015422D">
            <w:pPr>
              <w:jc w:val="center"/>
              <w:rPr>
                <w:b/>
                <w:sz w:val="20"/>
                <w:szCs w:val="20"/>
              </w:rPr>
            </w:pPr>
            <w:r w:rsidRPr="00DF0E4A">
              <w:rPr>
                <w:b/>
                <w:sz w:val="20"/>
                <w:szCs w:val="20"/>
              </w:rPr>
              <w:t>x</w:t>
            </w:r>
          </w:p>
        </w:tc>
      </w:tr>
      <w:tr w:rsidR="00CF2BFC" w:rsidRPr="00EE4878" w14:paraId="63594FBB" w14:textId="77777777" w:rsidTr="00B64518">
        <w:trPr>
          <w:trHeight w:val="288"/>
        </w:trPr>
        <w:tc>
          <w:tcPr>
            <w:tcW w:w="2030" w:type="dxa"/>
            <w:vMerge/>
          </w:tcPr>
          <w:p w14:paraId="5B2660C8" w14:textId="77777777" w:rsidR="00CB34E1" w:rsidRPr="00EE4878" w:rsidRDefault="00CB34E1" w:rsidP="0015422D">
            <w:pPr>
              <w:rPr>
                <w:sz w:val="20"/>
                <w:szCs w:val="20"/>
              </w:rPr>
            </w:pPr>
          </w:p>
        </w:tc>
        <w:tc>
          <w:tcPr>
            <w:tcW w:w="1572" w:type="dxa"/>
            <w:vMerge/>
          </w:tcPr>
          <w:p w14:paraId="6A5BC66D" w14:textId="77777777" w:rsidR="00CB34E1" w:rsidRPr="00EE4878" w:rsidRDefault="00CB34E1" w:rsidP="0015422D">
            <w:pPr>
              <w:rPr>
                <w:sz w:val="20"/>
                <w:szCs w:val="20"/>
              </w:rPr>
            </w:pPr>
          </w:p>
        </w:tc>
        <w:tc>
          <w:tcPr>
            <w:tcW w:w="2210" w:type="dxa"/>
            <w:vMerge/>
          </w:tcPr>
          <w:p w14:paraId="5DD82168" w14:textId="77777777" w:rsidR="00CB34E1" w:rsidRPr="00EE4878" w:rsidRDefault="00CB34E1" w:rsidP="0015422D">
            <w:pPr>
              <w:rPr>
                <w:sz w:val="20"/>
                <w:szCs w:val="20"/>
              </w:rPr>
            </w:pPr>
          </w:p>
        </w:tc>
        <w:tc>
          <w:tcPr>
            <w:tcW w:w="966" w:type="dxa"/>
          </w:tcPr>
          <w:p w14:paraId="47867C81" w14:textId="77777777" w:rsidR="00CB34E1" w:rsidRPr="00EE4878" w:rsidRDefault="00CB34E1" w:rsidP="0015422D">
            <w:pPr>
              <w:rPr>
                <w:sz w:val="20"/>
                <w:szCs w:val="20"/>
              </w:rPr>
            </w:pPr>
            <w:r>
              <w:rPr>
                <w:sz w:val="20"/>
                <w:szCs w:val="20"/>
              </w:rPr>
              <w:t>Yw-50</w:t>
            </w:r>
          </w:p>
        </w:tc>
        <w:tc>
          <w:tcPr>
            <w:tcW w:w="844" w:type="dxa"/>
            <w:vMerge/>
          </w:tcPr>
          <w:p w14:paraId="0D634605" w14:textId="77777777" w:rsidR="00CB34E1" w:rsidRPr="00DF0E4A" w:rsidRDefault="00CB34E1" w:rsidP="0015422D">
            <w:pPr>
              <w:jc w:val="center"/>
              <w:rPr>
                <w:b/>
                <w:sz w:val="20"/>
                <w:szCs w:val="20"/>
              </w:rPr>
            </w:pPr>
          </w:p>
        </w:tc>
        <w:tc>
          <w:tcPr>
            <w:tcW w:w="844" w:type="dxa"/>
            <w:vMerge/>
          </w:tcPr>
          <w:p w14:paraId="3481E989" w14:textId="77777777" w:rsidR="00CB34E1" w:rsidRPr="00DF0E4A" w:rsidRDefault="00CB34E1" w:rsidP="0015422D">
            <w:pPr>
              <w:jc w:val="center"/>
              <w:rPr>
                <w:b/>
                <w:sz w:val="20"/>
                <w:szCs w:val="20"/>
              </w:rPr>
            </w:pPr>
          </w:p>
        </w:tc>
        <w:tc>
          <w:tcPr>
            <w:tcW w:w="1012" w:type="dxa"/>
          </w:tcPr>
          <w:p w14:paraId="76E8FDB0" w14:textId="77777777" w:rsidR="00CB34E1" w:rsidRPr="00DF0E4A" w:rsidRDefault="00CB34E1" w:rsidP="0015422D">
            <w:pPr>
              <w:jc w:val="center"/>
              <w:rPr>
                <w:b/>
                <w:sz w:val="20"/>
                <w:szCs w:val="20"/>
              </w:rPr>
            </w:pPr>
            <w:r w:rsidRPr="00DF0E4A">
              <w:rPr>
                <w:b/>
                <w:sz w:val="20"/>
                <w:szCs w:val="20"/>
              </w:rPr>
              <w:t>x</w:t>
            </w:r>
          </w:p>
        </w:tc>
      </w:tr>
      <w:tr w:rsidR="00CF2BFC" w:rsidRPr="00EE4878" w14:paraId="4AD82C61" w14:textId="77777777" w:rsidTr="00B64518">
        <w:trPr>
          <w:trHeight w:val="288"/>
        </w:trPr>
        <w:tc>
          <w:tcPr>
            <w:tcW w:w="2030" w:type="dxa"/>
            <w:vMerge/>
            <w:tcBorders>
              <w:bottom w:val="single" w:sz="4" w:space="0" w:color="auto"/>
            </w:tcBorders>
          </w:tcPr>
          <w:p w14:paraId="7454B071" w14:textId="77777777" w:rsidR="00CB34E1" w:rsidRPr="00EE4878" w:rsidRDefault="00CB34E1" w:rsidP="0015422D">
            <w:pPr>
              <w:rPr>
                <w:sz w:val="20"/>
                <w:szCs w:val="20"/>
              </w:rPr>
            </w:pPr>
          </w:p>
        </w:tc>
        <w:tc>
          <w:tcPr>
            <w:tcW w:w="1572" w:type="dxa"/>
            <w:vMerge/>
            <w:tcBorders>
              <w:bottom w:val="single" w:sz="4" w:space="0" w:color="auto"/>
            </w:tcBorders>
          </w:tcPr>
          <w:p w14:paraId="7001D463" w14:textId="77777777" w:rsidR="00CB34E1" w:rsidRPr="00EE4878" w:rsidRDefault="00CB34E1" w:rsidP="0015422D">
            <w:pPr>
              <w:rPr>
                <w:sz w:val="20"/>
                <w:szCs w:val="20"/>
              </w:rPr>
            </w:pPr>
          </w:p>
        </w:tc>
        <w:tc>
          <w:tcPr>
            <w:tcW w:w="2210" w:type="dxa"/>
            <w:vMerge/>
            <w:tcBorders>
              <w:bottom w:val="single" w:sz="4" w:space="0" w:color="auto"/>
            </w:tcBorders>
          </w:tcPr>
          <w:p w14:paraId="113DC531" w14:textId="77777777" w:rsidR="00CB34E1" w:rsidRPr="00EE4878" w:rsidRDefault="00CB34E1" w:rsidP="0015422D">
            <w:pPr>
              <w:rPr>
                <w:sz w:val="20"/>
                <w:szCs w:val="20"/>
              </w:rPr>
            </w:pPr>
          </w:p>
        </w:tc>
        <w:tc>
          <w:tcPr>
            <w:tcW w:w="966" w:type="dxa"/>
            <w:tcBorders>
              <w:bottom w:val="single" w:sz="4" w:space="0" w:color="auto"/>
            </w:tcBorders>
          </w:tcPr>
          <w:p w14:paraId="09C29995" w14:textId="77777777" w:rsidR="00CB34E1" w:rsidRPr="00EE4878" w:rsidRDefault="00CB34E1" w:rsidP="0015422D">
            <w:pPr>
              <w:rPr>
                <w:sz w:val="20"/>
                <w:szCs w:val="20"/>
              </w:rPr>
            </w:pPr>
            <w:r>
              <w:rPr>
                <w:sz w:val="20"/>
                <w:szCs w:val="20"/>
              </w:rPr>
              <w:t>Yw-80</w:t>
            </w:r>
          </w:p>
        </w:tc>
        <w:tc>
          <w:tcPr>
            <w:tcW w:w="844" w:type="dxa"/>
            <w:vMerge/>
            <w:tcBorders>
              <w:bottom w:val="single" w:sz="4" w:space="0" w:color="auto"/>
            </w:tcBorders>
          </w:tcPr>
          <w:p w14:paraId="098AA620" w14:textId="77777777" w:rsidR="00CB34E1" w:rsidRPr="00DF0E4A" w:rsidRDefault="00CB34E1" w:rsidP="0015422D">
            <w:pPr>
              <w:jc w:val="center"/>
              <w:rPr>
                <w:b/>
                <w:sz w:val="20"/>
                <w:szCs w:val="20"/>
              </w:rPr>
            </w:pPr>
          </w:p>
        </w:tc>
        <w:tc>
          <w:tcPr>
            <w:tcW w:w="844" w:type="dxa"/>
            <w:vMerge/>
            <w:tcBorders>
              <w:bottom w:val="single" w:sz="4" w:space="0" w:color="auto"/>
            </w:tcBorders>
          </w:tcPr>
          <w:p w14:paraId="2713C78F" w14:textId="77777777" w:rsidR="00CB34E1" w:rsidRPr="00DF0E4A" w:rsidRDefault="00CB34E1" w:rsidP="0015422D">
            <w:pPr>
              <w:jc w:val="center"/>
              <w:rPr>
                <w:b/>
                <w:sz w:val="20"/>
                <w:szCs w:val="20"/>
              </w:rPr>
            </w:pPr>
          </w:p>
        </w:tc>
        <w:tc>
          <w:tcPr>
            <w:tcW w:w="1012" w:type="dxa"/>
            <w:tcBorders>
              <w:bottom w:val="single" w:sz="4" w:space="0" w:color="auto"/>
            </w:tcBorders>
          </w:tcPr>
          <w:p w14:paraId="3CDB79B0" w14:textId="77777777" w:rsidR="00CB34E1" w:rsidRPr="00DF0E4A" w:rsidRDefault="00CB34E1" w:rsidP="0015422D">
            <w:pPr>
              <w:jc w:val="center"/>
              <w:rPr>
                <w:b/>
                <w:sz w:val="20"/>
                <w:szCs w:val="20"/>
              </w:rPr>
            </w:pPr>
            <w:r w:rsidRPr="00DF0E4A">
              <w:rPr>
                <w:b/>
                <w:sz w:val="20"/>
                <w:szCs w:val="20"/>
              </w:rPr>
              <w:t>x</w:t>
            </w:r>
          </w:p>
        </w:tc>
      </w:tr>
    </w:tbl>
    <w:p w14:paraId="622B5E1A" w14:textId="77777777" w:rsidR="006340A8" w:rsidRPr="006322C2" w:rsidRDefault="006340A8" w:rsidP="00F707C0">
      <w:pPr>
        <w:spacing w:line="360" w:lineRule="auto"/>
      </w:pPr>
    </w:p>
    <w:p w14:paraId="34C5F59F" w14:textId="722BECB1" w:rsidR="006340A8" w:rsidRDefault="006340A8" w:rsidP="00F707C0"/>
    <w:p w14:paraId="1A242DD3" w14:textId="5EF38943" w:rsidR="00B64518" w:rsidRDefault="00B64518" w:rsidP="00F707C0"/>
    <w:p w14:paraId="3FE5CB7F" w14:textId="77777777" w:rsidR="00247A38" w:rsidRDefault="00247A38" w:rsidP="00F707C0"/>
    <w:p w14:paraId="296C9700" w14:textId="42568F31" w:rsidR="00FE37B7" w:rsidRPr="00414466" w:rsidRDefault="002D5E3A" w:rsidP="00FE37B7">
      <w:pPr>
        <w:spacing w:line="360" w:lineRule="auto"/>
        <w:rPr>
          <w:b/>
          <w:lang w:val="en-GB"/>
        </w:rPr>
      </w:pPr>
      <w:r w:rsidRPr="00414466">
        <w:rPr>
          <w:b/>
          <w:lang w:val="en-GB"/>
        </w:rPr>
        <w:lastRenderedPageBreak/>
        <w:t xml:space="preserve">3.3 </w:t>
      </w:r>
      <w:r w:rsidR="00FE37B7" w:rsidRPr="00414466">
        <w:rPr>
          <w:b/>
          <w:lang w:val="en-GB"/>
        </w:rPr>
        <w:t>Closing yield gaps of</w:t>
      </w:r>
      <w:r w:rsidR="005242B1" w:rsidRPr="00414466">
        <w:rPr>
          <w:b/>
          <w:lang w:val="en-GB"/>
        </w:rPr>
        <w:t xml:space="preserve"> fodder</w:t>
      </w:r>
      <w:r w:rsidR="00FE37B7" w:rsidRPr="00414466">
        <w:rPr>
          <w:b/>
          <w:lang w:val="en-GB"/>
        </w:rPr>
        <w:t xml:space="preserve"> maize</w:t>
      </w:r>
    </w:p>
    <w:p w14:paraId="45E9A45B" w14:textId="47FB3CD5" w:rsidR="00FE37B7" w:rsidRPr="00583FAA" w:rsidRDefault="00FE37B7" w:rsidP="00FE37B7">
      <w:pPr>
        <w:spacing w:line="360" w:lineRule="auto"/>
        <w:rPr>
          <w:lang w:val="en-GB"/>
        </w:rPr>
      </w:pPr>
      <w:r w:rsidRPr="00583FAA">
        <w:rPr>
          <w:lang w:val="en-GB"/>
        </w:rPr>
        <w:t>Actual maize yields</w:t>
      </w:r>
      <w:r w:rsidR="00BC59D3" w:rsidRPr="00583FAA">
        <w:rPr>
          <w:lang w:val="en-GB"/>
        </w:rPr>
        <w:t xml:space="preserve"> (Ya)</w:t>
      </w:r>
      <w:r w:rsidRPr="00583FAA">
        <w:rPr>
          <w:lang w:val="en-GB"/>
        </w:rPr>
        <w:t xml:space="preserve"> </w:t>
      </w:r>
      <w:r w:rsidR="00BC59D3" w:rsidRPr="00583FAA">
        <w:rPr>
          <w:lang w:val="en-GB"/>
        </w:rPr>
        <w:t>used in the baseline model</w:t>
      </w:r>
      <w:r w:rsidRPr="00583FAA">
        <w:rPr>
          <w:lang w:val="en-GB"/>
        </w:rPr>
        <w:t xml:space="preserve">, </w:t>
      </w:r>
      <w:r w:rsidR="00221277" w:rsidRPr="00583FAA">
        <w:rPr>
          <w:lang w:val="en-GB"/>
        </w:rPr>
        <w:t xml:space="preserve">and Ya, </w:t>
      </w:r>
      <w:r w:rsidRPr="00583FAA">
        <w:rPr>
          <w:lang w:val="en-GB"/>
        </w:rPr>
        <w:t xml:space="preserve">water-limited yield potentials (Yw) and N requirements </w:t>
      </w:r>
      <w:r w:rsidR="00221277" w:rsidRPr="00583FAA">
        <w:rPr>
          <w:lang w:val="en-GB"/>
        </w:rPr>
        <w:t>applied to</w:t>
      </w:r>
      <w:r w:rsidR="004524E7" w:rsidRPr="00583FAA">
        <w:rPr>
          <w:lang w:val="en-GB"/>
        </w:rPr>
        <w:t xml:space="preserve"> feed improvement scenarios</w:t>
      </w:r>
      <w:r w:rsidR="00547BEE" w:rsidRPr="00583FAA">
        <w:rPr>
          <w:lang w:val="en-GB"/>
        </w:rPr>
        <w:t xml:space="preserve"> </w:t>
      </w:r>
      <w:r w:rsidR="006F1A01" w:rsidRPr="00583FAA">
        <w:rPr>
          <w:lang w:val="en-GB"/>
        </w:rPr>
        <w:t xml:space="preserve">that contain the Fe (feed conservation &amp; increased grain content) strategy </w:t>
      </w:r>
      <w:r w:rsidR="00547BEE" w:rsidRPr="00583FAA">
        <w:rPr>
          <w:lang w:val="en-GB"/>
        </w:rPr>
        <w:t>are shown in Table S</w:t>
      </w:r>
      <w:r w:rsidR="00BB1B29" w:rsidRPr="00583FAA">
        <w:rPr>
          <w:lang w:val="en-GB"/>
        </w:rPr>
        <w:t>4</w:t>
      </w:r>
      <w:r w:rsidRPr="00583FAA">
        <w:rPr>
          <w:lang w:val="en-GB"/>
        </w:rPr>
        <w:t xml:space="preserve">. Data </w:t>
      </w:r>
      <w:r w:rsidR="006F1A01" w:rsidRPr="00583FAA">
        <w:rPr>
          <w:lang w:val="en-GB"/>
        </w:rPr>
        <w:t xml:space="preserve">on Yw and N requirements </w:t>
      </w:r>
      <w:r w:rsidRPr="00583FAA">
        <w:rPr>
          <w:lang w:val="en-GB"/>
        </w:rPr>
        <w:t>were obtained from the ‘Global Yield Gap Atlas’ (GYGA).</w:t>
      </w:r>
    </w:p>
    <w:p w14:paraId="2F530A3B" w14:textId="2622DF46" w:rsidR="00FE37B7" w:rsidRPr="00583FAA" w:rsidRDefault="00FE37B7" w:rsidP="00B64518">
      <w:pPr>
        <w:pStyle w:val="Caption"/>
        <w:keepNext/>
        <w:spacing w:line="276" w:lineRule="auto"/>
        <w:jc w:val="both"/>
        <w:rPr>
          <w:lang w:val="en-GB"/>
        </w:rPr>
      </w:pPr>
      <w:r w:rsidRPr="00F90A35">
        <w:rPr>
          <w:lang w:val="en-GB"/>
        </w:rPr>
        <w:t xml:space="preserve">Table </w:t>
      </w:r>
      <w:r w:rsidR="007B628E" w:rsidRPr="00F90A35">
        <w:rPr>
          <w:lang w:val="en-GB"/>
        </w:rPr>
        <w:t>S</w:t>
      </w:r>
      <w:r w:rsidR="00F90A35" w:rsidRPr="00F90A35">
        <w:rPr>
          <w:lang w:val="en-GB"/>
        </w:rPr>
        <w:t>4</w:t>
      </w:r>
      <w:r w:rsidRPr="00F90A35">
        <w:rPr>
          <w:lang w:val="en-GB"/>
        </w:rPr>
        <w:t xml:space="preserve">: Actual yields (Ya), water-limited yield potentials (Yw) of </w:t>
      </w:r>
      <w:r w:rsidR="005242B1" w:rsidRPr="00F90A35">
        <w:rPr>
          <w:lang w:val="en-GB"/>
        </w:rPr>
        <w:t xml:space="preserve">fodder </w:t>
      </w:r>
      <w:r w:rsidRPr="00F90A35">
        <w:rPr>
          <w:lang w:val="en-GB"/>
        </w:rPr>
        <w:t xml:space="preserve">maize realised at 50 % and 80 % and related N requirements. </w:t>
      </w:r>
      <w:r w:rsidRPr="00583FAA">
        <w:rPr>
          <w:lang w:val="en-GB"/>
        </w:rPr>
        <w:t>Abbreviations of livestock production systems (LPS) are: mixed rainfed system in arid areas (MRA), mixed rainfed system in humid areas (MRH), mixed rainfed system in tropical highlands (MRT), mixed irrigated system in arid areas (MIA), mixed irrigated system in humid areas (MIH) and the mixed irrigated system in tropical highlands (MIT)</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1321"/>
        <w:gridCol w:w="1405"/>
        <w:gridCol w:w="261"/>
        <w:gridCol w:w="1584"/>
        <w:gridCol w:w="1725"/>
        <w:gridCol w:w="449"/>
        <w:gridCol w:w="1734"/>
      </w:tblGrid>
      <w:tr w:rsidR="005242B1" w:rsidRPr="002C6E5D" w14:paraId="64723F42" w14:textId="77777777" w:rsidTr="00B64518">
        <w:trPr>
          <w:trHeight w:val="300"/>
        </w:trPr>
        <w:tc>
          <w:tcPr>
            <w:tcW w:w="378" w:type="pct"/>
            <w:tcBorders>
              <w:top w:val="single" w:sz="4" w:space="0" w:color="auto"/>
            </w:tcBorders>
            <w:noWrap/>
            <w:hideMark/>
          </w:tcPr>
          <w:p w14:paraId="1FBC44BD" w14:textId="77777777" w:rsidR="005242B1" w:rsidRPr="00DF3317" w:rsidRDefault="005242B1" w:rsidP="005242B1">
            <w:pPr>
              <w:spacing w:line="360" w:lineRule="auto"/>
              <w:rPr>
                <w:sz w:val="20"/>
                <w:szCs w:val="20"/>
              </w:rPr>
            </w:pPr>
            <w:r w:rsidRPr="00DF3317">
              <w:rPr>
                <w:sz w:val="20"/>
                <w:szCs w:val="20"/>
              </w:rPr>
              <w:t>LPS</w:t>
            </w:r>
          </w:p>
        </w:tc>
        <w:tc>
          <w:tcPr>
            <w:tcW w:w="723" w:type="pct"/>
            <w:tcBorders>
              <w:top w:val="single" w:sz="4" w:space="0" w:color="auto"/>
            </w:tcBorders>
          </w:tcPr>
          <w:p w14:paraId="14A5CF32" w14:textId="77777777" w:rsidR="005242B1" w:rsidRPr="00DF3317" w:rsidRDefault="005242B1" w:rsidP="005242B1">
            <w:pPr>
              <w:spacing w:line="360" w:lineRule="auto"/>
              <w:jc w:val="center"/>
              <w:rPr>
                <w:sz w:val="20"/>
                <w:szCs w:val="20"/>
              </w:rPr>
            </w:pPr>
            <w:r w:rsidRPr="00DF3317">
              <w:rPr>
                <w:sz w:val="20"/>
                <w:szCs w:val="20"/>
              </w:rPr>
              <w:t>Ya maize</w:t>
            </w:r>
          </w:p>
        </w:tc>
        <w:tc>
          <w:tcPr>
            <w:tcW w:w="1760" w:type="pct"/>
            <w:gridSpan w:val="3"/>
            <w:tcBorders>
              <w:top w:val="single" w:sz="4" w:space="0" w:color="auto"/>
              <w:bottom w:val="single" w:sz="4" w:space="0" w:color="auto"/>
            </w:tcBorders>
            <w:noWrap/>
            <w:hideMark/>
          </w:tcPr>
          <w:p w14:paraId="380A5E0C" w14:textId="77777777" w:rsidR="005242B1" w:rsidRPr="00DF3317" w:rsidRDefault="005242B1" w:rsidP="005242B1">
            <w:pPr>
              <w:spacing w:line="360" w:lineRule="auto"/>
              <w:jc w:val="center"/>
              <w:rPr>
                <w:sz w:val="20"/>
                <w:szCs w:val="20"/>
              </w:rPr>
            </w:pPr>
            <w:r w:rsidRPr="00DF3317">
              <w:rPr>
                <w:sz w:val="20"/>
                <w:szCs w:val="20"/>
              </w:rPr>
              <w:t>Yw-50</w:t>
            </w:r>
          </w:p>
        </w:tc>
        <w:tc>
          <w:tcPr>
            <w:tcW w:w="2139" w:type="pct"/>
            <w:gridSpan w:val="3"/>
            <w:tcBorders>
              <w:top w:val="single" w:sz="4" w:space="0" w:color="auto"/>
              <w:bottom w:val="single" w:sz="4" w:space="0" w:color="auto"/>
            </w:tcBorders>
            <w:noWrap/>
            <w:hideMark/>
          </w:tcPr>
          <w:p w14:paraId="00C6C4A3" w14:textId="77777777" w:rsidR="005242B1" w:rsidRPr="00DF3317" w:rsidRDefault="005242B1" w:rsidP="005242B1">
            <w:pPr>
              <w:spacing w:line="360" w:lineRule="auto"/>
              <w:jc w:val="center"/>
              <w:rPr>
                <w:sz w:val="20"/>
                <w:szCs w:val="20"/>
              </w:rPr>
            </w:pPr>
            <w:r w:rsidRPr="00DF3317">
              <w:rPr>
                <w:sz w:val="20"/>
                <w:szCs w:val="20"/>
              </w:rPr>
              <w:t>Yw-80</w:t>
            </w:r>
          </w:p>
        </w:tc>
      </w:tr>
      <w:tr w:rsidR="005242B1" w:rsidRPr="00D56E44" w14:paraId="7A8E8B9A" w14:textId="77777777" w:rsidTr="00B64518">
        <w:trPr>
          <w:trHeight w:val="300"/>
        </w:trPr>
        <w:tc>
          <w:tcPr>
            <w:tcW w:w="378" w:type="pct"/>
            <w:tcBorders>
              <w:bottom w:val="single" w:sz="4" w:space="0" w:color="auto"/>
            </w:tcBorders>
            <w:noWrap/>
            <w:hideMark/>
          </w:tcPr>
          <w:p w14:paraId="0DF1C0F7" w14:textId="77777777" w:rsidR="005242B1" w:rsidRPr="00DF3317" w:rsidRDefault="005242B1" w:rsidP="005242B1">
            <w:pPr>
              <w:spacing w:line="360" w:lineRule="auto"/>
              <w:jc w:val="center"/>
              <w:rPr>
                <w:sz w:val="20"/>
                <w:szCs w:val="20"/>
              </w:rPr>
            </w:pPr>
          </w:p>
        </w:tc>
        <w:tc>
          <w:tcPr>
            <w:tcW w:w="723" w:type="pct"/>
            <w:tcBorders>
              <w:bottom w:val="single" w:sz="4" w:space="0" w:color="auto"/>
            </w:tcBorders>
          </w:tcPr>
          <w:p w14:paraId="0E847796" w14:textId="77777777" w:rsidR="005242B1" w:rsidRPr="00DF3317" w:rsidRDefault="005242B1" w:rsidP="005242B1">
            <w:pPr>
              <w:spacing w:line="360" w:lineRule="auto"/>
              <w:jc w:val="center"/>
              <w:rPr>
                <w:sz w:val="20"/>
                <w:szCs w:val="20"/>
              </w:rPr>
            </w:pPr>
          </w:p>
        </w:tc>
        <w:tc>
          <w:tcPr>
            <w:tcW w:w="914" w:type="pct"/>
            <w:gridSpan w:val="2"/>
            <w:tcBorders>
              <w:top w:val="single" w:sz="4" w:space="0" w:color="auto"/>
              <w:bottom w:val="single" w:sz="4" w:space="0" w:color="auto"/>
            </w:tcBorders>
            <w:noWrap/>
            <w:hideMark/>
          </w:tcPr>
          <w:p w14:paraId="0AEC5D48" w14:textId="77777777" w:rsidR="005242B1" w:rsidRPr="00DF3317" w:rsidRDefault="005242B1" w:rsidP="005242B1">
            <w:pPr>
              <w:spacing w:line="360" w:lineRule="auto"/>
              <w:jc w:val="center"/>
              <w:rPr>
                <w:sz w:val="20"/>
                <w:szCs w:val="20"/>
              </w:rPr>
            </w:pPr>
            <w:r w:rsidRPr="00DF3317">
              <w:rPr>
                <w:sz w:val="20"/>
                <w:szCs w:val="20"/>
              </w:rPr>
              <w:t xml:space="preserve">Yw maize </w:t>
            </w:r>
            <w:r w:rsidRPr="00DF3317">
              <w:rPr>
                <w:sz w:val="20"/>
                <w:szCs w:val="20"/>
              </w:rPr>
              <w:br/>
              <w:t>(kg ha</w:t>
            </w:r>
            <w:r w:rsidRPr="00DF3317">
              <w:rPr>
                <w:sz w:val="20"/>
                <w:szCs w:val="20"/>
                <w:vertAlign w:val="superscript"/>
              </w:rPr>
              <w:t>-1</w:t>
            </w:r>
            <w:r w:rsidRPr="00DF3317">
              <w:rPr>
                <w:sz w:val="20"/>
                <w:szCs w:val="20"/>
              </w:rPr>
              <w:t>)</w:t>
            </w:r>
          </w:p>
        </w:tc>
        <w:tc>
          <w:tcPr>
            <w:tcW w:w="847" w:type="pct"/>
            <w:tcBorders>
              <w:top w:val="single" w:sz="4" w:space="0" w:color="auto"/>
              <w:bottom w:val="single" w:sz="4" w:space="0" w:color="auto"/>
            </w:tcBorders>
            <w:noWrap/>
            <w:hideMark/>
          </w:tcPr>
          <w:p w14:paraId="28C357F1" w14:textId="77777777" w:rsidR="005242B1" w:rsidRPr="00DF3317" w:rsidRDefault="005242B1" w:rsidP="005242B1">
            <w:pPr>
              <w:spacing w:line="360" w:lineRule="auto"/>
              <w:jc w:val="center"/>
              <w:rPr>
                <w:sz w:val="20"/>
                <w:szCs w:val="20"/>
                <w:lang w:val="en-GB"/>
              </w:rPr>
            </w:pPr>
            <w:r w:rsidRPr="00DF3317">
              <w:rPr>
                <w:sz w:val="20"/>
                <w:szCs w:val="20"/>
                <w:lang w:val="en-GB"/>
              </w:rPr>
              <w:t xml:space="preserve">N requirements  </w:t>
            </w:r>
            <w:r w:rsidRPr="00DF3317">
              <w:rPr>
                <w:sz w:val="20"/>
                <w:szCs w:val="20"/>
                <w:lang w:val="en-GB"/>
              </w:rPr>
              <w:br/>
              <w:t>(kg N ha</w:t>
            </w:r>
            <w:r w:rsidRPr="00DF3317">
              <w:rPr>
                <w:sz w:val="20"/>
                <w:szCs w:val="20"/>
                <w:vertAlign w:val="superscript"/>
                <w:lang w:val="en-GB"/>
              </w:rPr>
              <w:t>-1</w:t>
            </w:r>
            <w:r w:rsidRPr="00DF3317">
              <w:rPr>
                <w:sz w:val="20"/>
                <w:szCs w:val="20"/>
                <w:lang w:val="en-GB"/>
              </w:rPr>
              <w:t>)</w:t>
            </w:r>
          </w:p>
        </w:tc>
        <w:tc>
          <w:tcPr>
            <w:tcW w:w="1190" w:type="pct"/>
            <w:gridSpan w:val="2"/>
            <w:tcBorders>
              <w:top w:val="single" w:sz="4" w:space="0" w:color="auto"/>
              <w:bottom w:val="single" w:sz="4" w:space="0" w:color="auto"/>
            </w:tcBorders>
            <w:noWrap/>
            <w:hideMark/>
          </w:tcPr>
          <w:p w14:paraId="691188A6" w14:textId="77777777" w:rsidR="005242B1" w:rsidRPr="00DF3317" w:rsidRDefault="005242B1" w:rsidP="005242B1">
            <w:pPr>
              <w:tabs>
                <w:tab w:val="left" w:pos="326"/>
                <w:tab w:val="center" w:pos="806"/>
              </w:tabs>
              <w:spacing w:line="360" w:lineRule="auto"/>
              <w:jc w:val="center"/>
              <w:rPr>
                <w:sz w:val="20"/>
                <w:szCs w:val="20"/>
              </w:rPr>
            </w:pPr>
            <w:r w:rsidRPr="00DF3317">
              <w:rPr>
                <w:sz w:val="20"/>
                <w:szCs w:val="20"/>
              </w:rPr>
              <w:t xml:space="preserve">Yw maize </w:t>
            </w:r>
            <w:r w:rsidRPr="00DF3317">
              <w:rPr>
                <w:sz w:val="20"/>
                <w:szCs w:val="20"/>
              </w:rPr>
              <w:br/>
              <w:t>(kg ha</w:t>
            </w:r>
            <w:r w:rsidRPr="00DF3317">
              <w:rPr>
                <w:sz w:val="20"/>
                <w:szCs w:val="20"/>
                <w:vertAlign w:val="superscript"/>
              </w:rPr>
              <w:t>-1</w:t>
            </w:r>
            <w:r w:rsidRPr="00DF3317">
              <w:rPr>
                <w:sz w:val="20"/>
                <w:szCs w:val="20"/>
              </w:rPr>
              <w:t>)</w:t>
            </w:r>
          </w:p>
        </w:tc>
        <w:tc>
          <w:tcPr>
            <w:tcW w:w="949" w:type="pct"/>
            <w:tcBorders>
              <w:top w:val="single" w:sz="4" w:space="0" w:color="auto"/>
              <w:bottom w:val="single" w:sz="4" w:space="0" w:color="auto"/>
            </w:tcBorders>
            <w:noWrap/>
            <w:hideMark/>
          </w:tcPr>
          <w:p w14:paraId="60B428D0" w14:textId="77777777" w:rsidR="005242B1" w:rsidRPr="00DF3317" w:rsidRDefault="005242B1" w:rsidP="005242B1">
            <w:pPr>
              <w:spacing w:line="360" w:lineRule="auto"/>
              <w:jc w:val="center"/>
              <w:rPr>
                <w:sz w:val="20"/>
                <w:szCs w:val="20"/>
                <w:lang w:val="en-GB"/>
              </w:rPr>
            </w:pPr>
            <w:r w:rsidRPr="00DF3317">
              <w:rPr>
                <w:sz w:val="20"/>
                <w:szCs w:val="20"/>
                <w:lang w:val="en-GB"/>
              </w:rPr>
              <w:t xml:space="preserve">N requirements </w:t>
            </w:r>
            <w:r w:rsidRPr="00DF3317">
              <w:rPr>
                <w:sz w:val="20"/>
                <w:szCs w:val="20"/>
                <w:lang w:val="en-GB"/>
              </w:rPr>
              <w:br/>
              <w:t>(kg N ha</w:t>
            </w:r>
            <w:r w:rsidRPr="00DF3317">
              <w:rPr>
                <w:sz w:val="20"/>
                <w:szCs w:val="20"/>
                <w:vertAlign w:val="superscript"/>
                <w:lang w:val="en-GB"/>
              </w:rPr>
              <w:t>-1</w:t>
            </w:r>
            <w:r w:rsidRPr="00DF3317">
              <w:rPr>
                <w:sz w:val="20"/>
                <w:szCs w:val="20"/>
                <w:lang w:val="en-GB"/>
              </w:rPr>
              <w:t>)</w:t>
            </w:r>
          </w:p>
        </w:tc>
      </w:tr>
      <w:tr w:rsidR="005242B1" w:rsidRPr="002C6E5D" w14:paraId="25B17FEC" w14:textId="77777777" w:rsidTr="00B64518">
        <w:trPr>
          <w:trHeight w:val="300"/>
        </w:trPr>
        <w:tc>
          <w:tcPr>
            <w:tcW w:w="378" w:type="pct"/>
            <w:tcBorders>
              <w:top w:val="single" w:sz="4" w:space="0" w:color="auto"/>
            </w:tcBorders>
            <w:noWrap/>
            <w:hideMark/>
          </w:tcPr>
          <w:p w14:paraId="498E7D32" w14:textId="77777777" w:rsidR="005242B1" w:rsidRPr="002C6E5D" w:rsidRDefault="005242B1" w:rsidP="005242B1">
            <w:pPr>
              <w:spacing w:line="360" w:lineRule="auto"/>
              <w:rPr>
                <w:sz w:val="20"/>
                <w:szCs w:val="20"/>
              </w:rPr>
            </w:pPr>
            <w:r w:rsidRPr="002C6E5D">
              <w:rPr>
                <w:sz w:val="20"/>
                <w:szCs w:val="20"/>
              </w:rPr>
              <w:t>MRA</w:t>
            </w:r>
          </w:p>
        </w:tc>
        <w:tc>
          <w:tcPr>
            <w:tcW w:w="723" w:type="pct"/>
            <w:tcBorders>
              <w:top w:val="single" w:sz="4" w:space="0" w:color="auto"/>
            </w:tcBorders>
          </w:tcPr>
          <w:p w14:paraId="7A65B084" w14:textId="15C38462" w:rsidR="005242B1" w:rsidRPr="002C6E5D" w:rsidRDefault="005242B1" w:rsidP="002472F0">
            <w:pPr>
              <w:jc w:val="right"/>
              <w:rPr>
                <w:sz w:val="20"/>
                <w:szCs w:val="20"/>
              </w:rPr>
            </w:pPr>
            <w:r w:rsidRPr="002C6E5D">
              <w:rPr>
                <w:sz w:val="20"/>
                <w:szCs w:val="20"/>
              </w:rPr>
              <w:t>1</w:t>
            </w:r>
            <w:r w:rsidR="002472F0">
              <w:rPr>
                <w:sz w:val="20"/>
                <w:szCs w:val="20"/>
              </w:rPr>
              <w:t>,</w:t>
            </w:r>
            <w:r w:rsidRPr="002C6E5D">
              <w:rPr>
                <w:sz w:val="20"/>
                <w:szCs w:val="20"/>
              </w:rPr>
              <w:t>39</w:t>
            </w:r>
            <w:r w:rsidR="002472F0">
              <w:rPr>
                <w:sz w:val="20"/>
                <w:szCs w:val="20"/>
              </w:rPr>
              <w:t>9</w:t>
            </w:r>
          </w:p>
        </w:tc>
        <w:tc>
          <w:tcPr>
            <w:tcW w:w="769" w:type="pct"/>
            <w:tcBorders>
              <w:top w:val="single" w:sz="4" w:space="0" w:color="auto"/>
            </w:tcBorders>
            <w:noWrap/>
            <w:hideMark/>
          </w:tcPr>
          <w:p w14:paraId="2A31B17D" w14:textId="4E2B0A6F" w:rsidR="005242B1" w:rsidRPr="002C6E5D" w:rsidRDefault="005242B1" w:rsidP="002472F0">
            <w:pPr>
              <w:spacing w:line="360" w:lineRule="auto"/>
              <w:jc w:val="right"/>
              <w:rPr>
                <w:sz w:val="20"/>
                <w:szCs w:val="20"/>
              </w:rPr>
            </w:pPr>
            <w:r w:rsidRPr="002C6E5D">
              <w:rPr>
                <w:sz w:val="20"/>
                <w:szCs w:val="20"/>
              </w:rPr>
              <w:t>2</w:t>
            </w:r>
            <w:r w:rsidR="002472F0">
              <w:rPr>
                <w:sz w:val="20"/>
                <w:szCs w:val="20"/>
              </w:rPr>
              <w:t>,</w:t>
            </w:r>
            <w:r w:rsidRPr="002C6E5D">
              <w:rPr>
                <w:sz w:val="20"/>
                <w:szCs w:val="20"/>
              </w:rPr>
              <w:t>187</w:t>
            </w:r>
          </w:p>
        </w:tc>
        <w:tc>
          <w:tcPr>
            <w:tcW w:w="992" w:type="pct"/>
            <w:gridSpan w:val="2"/>
            <w:tcBorders>
              <w:top w:val="single" w:sz="4" w:space="0" w:color="auto"/>
            </w:tcBorders>
            <w:noWrap/>
            <w:hideMark/>
          </w:tcPr>
          <w:p w14:paraId="4F72D3DD" w14:textId="6FD249EA" w:rsidR="005242B1" w:rsidRPr="002C6E5D" w:rsidRDefault="002472F0" w:rsidP="002472F0">
            <w:pPr>
              <w:spacing w:line="360" w:lineRule="auto"/>
              <w:jc w:val="right"/>
              <w:rPr>
                <w:sz w:val="20"/>
                <w:szCs w:val="20"/>
              </w:rPr>
            </w:pPr>
            <w:r>
              <w:rPr>
                <w:sz w:val="20"/>
                <w:szCs w:val="20"/>
              </w:rPr>
              <w:t>38</w:t>
            </w:r>
          </w:p>
        </w:tc>
        <w:tc>
          <w:tcPr>
            <w:tcW w:w="943" w:type="pct"/>
            <w:tcBorders>
              <w:top w:val="single" w:sz="4" w:space="0" w:color="auto"/>
            </w:tcBorders>
            <w:noWrap/>
            <w:hideMark/>
          </w:tcPr>
          <w:p w14:paraId="03369BC2" w14:textId="5A3C2039" w:rsidR="005242B1" w:rsidRPr="002C6E5D" w:rsidRDefault="005242B1" w:rsidP="002472F0">
            <w:pPr>
              <w:spacing w:line="360" w:lineRule="auto"/>
              <w:jc w:val="right"/>
              <w:rPr>
                <w:sz w:val="20"/>
                <w:szCs w:val="20"/>
              </w:rPr>
            </w:pPr>
            <w:r w:rsidRPr="002C6E5D">
              <w:rPr>
                <w:sz w:val="20"/>
                <w:szCs w:val="20"/>
              </w:rPr>
              <w:t>3</w:t>
            </w:r>
            <w:r w:rsidR="002472F0">
              <w:rPr>
                <w:sz w:val="20"/>
                <w:szCs w:val="20"/>
              </w:rPr>
              <w:t>,500</w:t>
            </w:r>
          </w:p>
        </w:tc>
        <w:tc>
          <w:tcPr>
            <w:tcW w:w="1196" w:type="pct"/>
            <w:gridSpan w:val="2"/>
            <w:tcBorders>
              <w:top w:val="single" w:sz="4" w:space="0" w:color="auto"/>
            </w:tcBorders>
            <w:noWrap/>
            <w:hideMark/>
          </w:tcPr>
          <w:p w14:paraId="6102061D" w14:textId="0D5FFB10" w:rsidR="005242B1" w:rsidRPr="002C6E5D" w:rsidRDefault="005242B1" w:rsidP="002472F0">
            <w:pPr>
              <w:spacing w:line="360" w:lineRule="auto"/>
              <w:jc w:val="right"/>
              <w:rPr>
                <w:sz w:val="20"/>
                <w:szCs w:val="20"/>
              </w:rPr>
            </w:pPr>
            <w:r w:rsidRPr="002C6E5D">
              <w:rPr>
                <w:sz w:val="20"/>
                <w:szCs w:val="20"/>
              </w:rPr>
              <w:t>69</w:t>
            </w:r>
          </w:p>
        </w:tc>
      </w:tr>
      <w:tr w:rsidR="005242B1" w:rsidRPr="002C6E5D" w14:paraId="48E48553" w14:textId="77777777" w:rsidTr="00B64518">
        <w:trPr>
          <w:trHeight w:val="300"/>
        </w:trPr>
        <w:tc>
          <w:tcPr>
            <w:tcW w:w="378" w:type="pct"/>
            <w:noWrap/>
            <w:hideMark/>
          </w:tcPr>
          <w:p w14:paraId="2585551B" w14:textId="77777777" w:rsidR="005242B1" w:rsidRPr="002C6E5D" w:rsidRDefault="005242B1" w:rsidP="005242B1">
            <w:pPr>
              <w:spacing w:line="360" w:lineRule="auto"/>
              <w:rPr>
                <w:sz w:val="20"/>
                <w:szCs w:val="20"/>
              </w:rPr>
            </w:pPr>
            <w:r w:rsidRPr="002C6E5D">
              <w:rPr>
                <w:sz w:val="20"/>
                <w:szCs w:val="20"/>
              </w:rPr>
              <w:t>MRH</w:t>
            </w:r>
          </w:p>
        </w:tc>
        <w:tc>
          <w:tcPr>
            <w:tcW w:w="723" w:type="pct"/>
          </w:tcPr>
          <w:p w14:paraId="071EB485" w14:textId="07D14349" w:rsidR="005242B1" w:rsidRPr="002C6E5D" w:rsidRDefault="005242B1" w:rsidP="002472F0">
            <w:pPr>
              <w:jc w:val="right"/>
              <w:rPr>
                <w:sz w:val="20"/>
                <w:szCs w:val="20"/>
              </w:rPr>
            </w:pPr>
            <w:r w:rsidRPr="002C6E5D">
              <w:rPr>
                <w:sz w:val="20"/>
                <w:szCs w:val="20"/>
              </w:rPr>
              <w:t>1</w:t>
            </w:r>
            <w:r w:rsidR="002472F0">
              <w:rPr>
                <w:sz w:val="20"/>
                <w:szCs w:val="20"/>
              </w:rPr>
              <w:t>,</w:t>
            </w:r>
            <w:r w:rsidRPr="002C6E5D">
              <w:rPr>
                <w:sz w:val="20"/>
                <w:szCs w:val="20"/>
              </w:rPr>
              <w:t>485</w:t>
            </w:r>
          </w:p>
        </w:tc>
        <w:tc>
          <w:tcPr>
            <w:tcW w:w="769" w:type="pct"/>
            <w:noWrap/>
            <w:hideMark/>
          </w:tcPr>
          <w:p w14:paraId="3FFFFF46" w14:textId="78D3236A" w:rsidR="005242B1" w:rsidRPr="002C6E5D" w:rsidRDefault="005242B1" w:rsidP="002472F0">
            <w:pPr>
              <w:spacing w:line="360" w:lineRule="auto"/>
              <w:jc w:val="right"/>
              <w:rPr>
                <w:sz w:val="20"/>
                <w:szCs w:val="20"/>
              </w:rPr>
            </w:pPr>
            <w:r w:rsidRPr="002C6E5D">
              <w:rPr>
                <w:sz w:val="20"/>
                <w:szCs w:val="20"/>
              </w:rPr>
              <w:t>4</w:t>
            </w:r>
            <w:r w:rsidR="002472F0">
              <w:rPr>
                <w:sz w:val="20"/>
                <w:szCs w:val="20"/>
              </w:rPr>
              <w:t>,</w:t>
            </w:r>
            <w:r w:rsidRPr="002C6E5D">
              <w:rPr>
                <w:sz w:val="20"/>
                <w:szCs w:val="20"/>
              </w:rPr>
              <w:t>65</w:t>
            </w:r>
            <w:r w:rsidR="002472F0">
              <w:rPr>
                <w:sz w:val="20"/>
                <w:szCs w:val="20"/>
              </w:rPr>
              <w:t>9</w:t>
            </w:r>
          </w:p>
        </w:tc>
        <w:tc>
          <w:tcPr>
            <w:tcW w:w="992" w:type="pct"/>
            <w:gridSpan w:val="2"/>
            <w:noWrap/>
            <w:hideMark/>
          </w:tcPr>
          <w:p w14:paraId="5AF0F9AB" w14:textId="5339AA38" w:rsidR="005242B1" w:rsidRPr="002C6E5D" w:rsidRDefault="005242B1" w:rsidP="002472F0">
            <w:pPr>
              <w:spacing w:line="360" w:lineRule="auto"/>
              <w:jc w:val="right"/>
              <w:rPr>
                <w:sz w:val="20"/>
                <w:szCs w:val="20"/>
              </w:rPr>
            </w:pPr>
            <w:r w:rsidRPr="002C6E5D">
              <w:rPr>
                <w:sz w:val="20"/>
                <w:szCs w:val="20"/>
              </w:rPr>
              <w:t>9</w:t>
            </w:r>
            <w:r w:rsidR="002472F0">
              <w:rPr>
                <w:sz w:val="20"/>
                <w:szCs w:val="20"/>
              </w:rPr>
              <w:t>4</w:t>
            </w:r>
          </w:p>
        </w:tc>
        <w:tc>
          <w:tcPr>
            <w:tcW w:w="943" w:type="pct"/>
            <w:noWrap/>
            <w:hideMark/>
          </w:tcPr>
          <w:p w14:paraId="69A6FBC5" w14:textId="4CD7133F" w:rsidR="005242B1" w:rsidRPr="002C6E5D" w:rsidRDefault="005242B1" w:rsidP="002472F0">
            <w:pPr>
              <w:spacing w:line="360" w:lineRule="auto"/>
              <w:jc w:val="right"/>
              <w:rPr>
                <w:sz w:val="20"/>
                <w:szCs w:val="20"/>
              </w:rPr>
            </w:pPr>
            <w:r w:rsidRPr="002C6E5D">
              <w:rPr>
                <w:sz w:val="20"/>
                <w:szCs w:val="20"/>
              </w:rPr>
              <w:t>7</w:t>
            </w:r>
            <w:r w:rsidR="002472F0">
              <w:rPr>
                <w:sz w:val="20"/>
                <w:szCs w:val="20"/>
              </w:rPr>
              <w:t>,</w:t>
            </w:r>
            <w:r w:rsidRPr="002C6E5D">
              <w:rPr>
                <w:sz w:val="20"/>
                <w:szCs w:val="20"/>
              </w:rPr>
              <w:t>454</w:t>
            </w:r>
          </w:p>
        </w:tc>
        <w:tc>
          <w:tcPr>
            <w:tcW w:w="1196" w:type="pct"/>
            <w:gridSpan w:val="2"/>
            <w:noWrap/>
            <w:hideMark/>
          </w:tcPr>
          <w:p w14:paraId="4615AEED" w14:textId="231B2BB6" w:rsidR="005242B1" w:rsidRPr="002C6E5D" w:rsidRDefault="005242B1" w:rsidP="002472F0">
            <w:pPr>
              <w:spacing w:line="360" w:lineRule="auto"/>
              <w:jc w:val="right"/>
              <w:rPr>
                <w:sz w:val="20"/>
                <w:szCs w:val="20"/>
              </w:rPr>
            </w:pPr>
            <w:r w:rsidRPr="002C6E5D">
              <w:rPr>
                <w:sz w:val="20"/>
                <w:szCs w:val="20"/>
              </w:rPr>
              <w:t>170</w:t>
            </w:r>
          </w:p>
        </w:tc>
      </w:tr>
      <w:tr w:rsidR="005242B1" w:rsidRPr="002C6E5D" w14:paraId="115CF2AA" w14:textId="77777777" w:rsidTr="00B64518">
        <w:trPr>
          <w:trHeight w:val="300"/>
        </w:trPr>
        <w:tc>
          <w:tcPr>
            <w:tcW w:w="378" w:type="pct"/>
            <w:noWrap/>
            <w:hideMark/>
          </w:tcPr>
          <w:p w14:paraId="01DBA915" w14:textId="77777777" w:rsidR="005242B1" w:rsidRPr="002C6E5D" w:rsidRDefault="005242B1" w:rsidP="005242B1">
            <w:pPr>
              <w:spacing w:line="360" w:lineRule="auto"/>
              <w:rPr>
                <w:sz w:val="20"/>
                <w:szCs w:val="20"/>
              </w:rPr>
            </w:pPr>
            <w:r w:rsidRPr="002C6E5D">
              <w:rPr>
                <w:sz w:val="20"/>
                <w:szCs w:val="20"/>
              </w:rPr>
              <w:t>MRT</w:t>
            </w:r>
          </w:p>
        </w:tc>
        <w:tc>
          <w:tcPr>
            <w:tcW w:w="723" w:type="pct"/>
          </w:tcPr>
          <w:p w14:paraId="62F23BA1" w14:textId="6ABEA004" w:rsidR="005242B1" w:rsidRPr="002C6E5D" w:rsidRDefault="005242B1" w:rsidP="002472F0">
            <w:pPr>
              <w:jc w:val="right"/>
              <w:rPr>
                <w:sz w:val="20"/>
                <w:szCs w:val="20"/>
              </w:rPr>
            </w:pPr>
            <w:r w:rsidRPr="002C6E5D">
              <w:rPr>
                <w:sz w:val="20"/>
                <w:szCs w:val="20"/>
              </w:rPr>
              <w:t>1</w:t>
            </w:r>
            <w:r w:rsidR="002472F0">
              <w:rPr>
                <w:sz w:val="20"/>
                <w:szCs w:val="20"/>
              </w:rPr>
              <w:t>,</w:t>
            </w:r>
            <w:r w:rsidRPr="002C6E5D">
              <w:rPr>
                <w:sz w:val="20"/>
                <w:szCs w:val="20"/>
              </w:rPr>
              <w:t>566</w:t>
            </w:r>
          </w:p>
        </w:tc>
        <w:tc>
          <w:tcPr>
            <w:tcW w:w="769" w:type="pct"/>
            <w:noWrap/>
            <w:hideMark/>
          </w:tcPr>
          <w:p w14:paraId="01E687C1" w14:textId="38B1FD06" w:rsidR="005242B1" w:rsidRPr="002C6E5D" w:rsidRDefault="005242B1" w:rsidP="002472F0">
            <w:pPr>
              <w:spacing w:line="360" w:lineRule="auto"/>
              <w:jc w:val="right"/>
              <w:rPr>
                <w:sz w:val="20"/>
                <w:szCs w:val="20"/>
              </w:rPr>
            </w:pPr>
            <w:r w:rsidRPr="002C6E5D">
              <w:rPr>
                <w:sz w:val="20"/>
                <w:szCs w:val="20"/>
              </w:rPr>
              <w:t>4</w:t>
            </w:r>
            <w:r w:rsidR="002472F0">
              <w:rPr>
                <w:sz w:val="20"/>
                <w:szCs w:val="20"/>
              </w:rPr>
              <w:t>,</w:t>
            </w:r>
            <w:r w:rsidRPr="002C6E5D">
              <w:rPr>
                <w:sz w:val="20"/>
                <w:szCs w:val="20"/>
              </w:rPr>
              <w:t>294</w:t>
            </w:r>
          </w:p>
        </w:tc>
        <w:tc>
          <w:tcPr>
            <w:tcW w:w="992" w:type="pct"/>
            <w:gridSpan w:val="2"/>
            <w:noWrap/>
            <w:hideMark/>
          </w:tcPr>
          <w:p w14:paraId="03F2AFB0" w14:textId="40596CDF" w:rsidR="005242B1" w:rsidRPr="002C6E5D" w:rsidRDefault="005242B1" w:rsidP="002472F0">
            <w:pPr>
              <w:spacing w:line="360" w:lineRule="auto"/>
              <w:jc w:val="right"/>
              <w:rPr>
                <w:sz w:val="20"/>
                <w:szCs w:val="20"/>
              </w:rPr>
            </w:pPr>
            <w:r w:rsidRPr="002C6E5D">
              <w:rPr>
                <w:sz w:val="20"/>
                <w:szCs w:val="20"/>
              </w:rPr>
              <w:t>85</w:t>
            </w:r>
          </w:p>
        </w:tc>
        <w:tc>
          <w:tcPr>
            <w:tcW w:w="943" w:type="pct"/>
            <w:noWrap/>
            <w:hideMark/>
          </w:tcPr>
          <w:p w14:paraId="104AABBD" w14:textId="2F41DE9C" w:rsidR="005242B1" w:rsidRPr="002C6E5D" w:rsidRDefault="005242B1" w:rsidP="002472F0">
            <w:pPr>
              <w:spacing w:line="360" w:lineRule="auto"/>
              <w:jc w:val="right"/>
              <w:rPr>
                <w:sz w:val="20"/>
                <w:szCs w:val="20"/>
              </w:rPr>
            </w:pPr>
            <w:r w:rsidRPr="002C6E5D">
              <w:rPr>
                <w:sz w:val="20"/>
                <w:szCs w:val="20"/>
              </w:rPr>
              <w:t>6</w:t>
            </w:r>
            <w:r w:rsidR="002472F0">
              <w:rPr>
                <w:sz w:val="20"/>
                <w:szCs w:val="20"/>
              </w:rPr>
              <w:t>,</w:t>
            </w:r>
            <w:r w:rsidRPr="002C6E5D">
              <w:rPr>
                <w:sz w:val="20"/>
                <w:szCs w:val="20"/>
              </w:rPr>
              <w:t>871</w:t>
            </w:r>
          </w:p>
        </w:tc>
        <w:tc>
          <w:tcPr>
            <w:tcW w:w="1196" w:type="pct"/>
            <w:gridSpan w:val="2"/>
            <w:noWrap/>
            <w:hideMark/>
          </w:tcPr>
          <w:p w14:paraId="1BAB2FFE" w14:textId="344B40BD" w:rsidR="005242B1" w:rsidRPr="002C6E5D" w:rsidRDefault="002472F0" w:rsidP="002472F0">
            <w:pPr>
              <w:spacing w:line="360" w:lineRule="auto"/>
              <w:jc w:val="right"/>
              <w:rPr>
                <w:sz w:val="20"/>
                <w:szCs w:val="20"/>
              </w:rPr>
            </w:pPr>
            <w:r>
              <w:rPr>
                <w:sz w:val="20"/>
                <w:szCs w:val="20"/>
              </w:rPr>
              <w:t>155</w:t>
            </w:r>
          </w:p>
        </w:tc>
      </w:tr>
      <w:tr w:rsidR="005242B1" w:rsidRPr="002C6E5D" w14:paraId="086A5DD0" w14:textId="77777777" w:rsidTr="00B64518">
        <w:trPr>
          <w:trHeight w:val="300"/>
        </w:trPr>
        <w:tc>
          <w:tcPr>
            <w:tcW w:w="378" w:type="pct"/>
            <w:noWrap/>
            <w:hideMark/>
          </w:tcPr>
          <w:p w14:paraId="35D61540" w14:textId="77777777" w:rsidR="005242B1" w:rsidRPr="002C6E5D" w:rsidRDefault="005242B1" w:rsidP="005242B1">
            <w:pPr>
              <w:spacing w:line="360" w:lineRule="auto"/>
              <w:rPr>
                <w:sz w:val="20"/>
                <w:szCs w:val="20"/>
              </w:rPr>
            </w:pPr>
            <w:r w:rsidRPr="002C6E5D">
              <w:rPr>
                <w:sz w:val="20"/>
                <w:szCs w:val="20"/>
              </w:rPr>
              <w:t>MIA</w:t>
            </w:r>
          </w:p>
        </w:tc>
        <w:tc>
          <w:tcPr>
            <w:tcW w:w="723" w:type="pct"/>
          </w:tcPr>
          <w:p w14:paraId="70F9FDE5" w14:textId="7516B6EB" w:rsidR="005242B1" w:rsidRPr="002C6E5D" w:rsidRDefault="002472F0" w:rsidP="002472F0">
            <w:pPr>
              <w:jc w:val="right"/>
              <w:rPr>
                <w:sz w:val="20"/>
                <w:szCs w:val="20"/>
              </w:rPr>
            </w:pPr>
            <w:r>
              <w:rPr>
                <w:sz w:val="20"/>
                <w:szCs w:val="20"/>
              </w:rPr>
              <w:t>1,713</w:t>
            </w:r>
          </w:p>
        </w:tc>
        <w:tc>
          <w:tcPr>
            <w:tcW w:w="769" w:type="pct"/>
            <w:noWrap/>
            <w:hideMark/>
          </w:tcPr>
          <w:p w14:paraId="418E20D8" w14:textId="6FE56798" w:rsidR="005242B1" w:rsidRPr="002C6E5D" w:rsidRDefault="005242B1" w:rsidP="002472F0">
            <w:pPr>
              <w:spacing w:line="360" w:lineRule="auto"/>
              <w:jc w:val="right"/>
              <w:rPr>
                <w:sz w:val="20"/>
                <w:szCs w:val="20"/>
              </w:rPr>
            </w:pPr>
            <w:r w:rsidRPr="002C6E5D">
              <w:rPr>
                <w:sz w:val="20"/>
                <w:szCs w:val="20"/>
              </w:rPr>
              <w:t>2</w:t>
            </w:r>
            <w:r w:rsidR="002472F0">
              <w:rPr>
                <w:sz w:val="20"/>
                <w:szCs w:val="20"/>
              </w:rPr>
              <w:t>,</w:t>
            </w:r>
            <w:r w:rsidRPr="002C6E5D">
              <w:rPr>
                <w:sz w:val="20"/>
                <w:szCs w:val="20"/>
              </w:rPr>
              <w:t>385</w:t>
            </w:r>
          </w:p>
        </w:tc>
        <w:tc>
          <w:tcPr>
            <w:tcW w:w="992" w:type="pct"/>
            <w:gridSpan w:val="2"/>
            <w:noWrap/>
            <w:hideMark/>
          </w:tcPr>
          <w:p w14:paraId="048ED29E" w14:textId="1CFABEBC" w:rsidR="005242B1" w:rsidRPr="002C6E5D" w:rsidRDefault="005242B1" w:rsidP="002472F0">
            <w:pPr>
              <w:spacing w:line="360" w:lineRule="auto"/>
              <w:jc w:val="right"/>
              <w:rPr>
                <w:sz w:val="20"/>
                <w:szCs w:val="20"/>
              </w:rPr>
            </w:pPr>
            <w:r w:rsidRPr="002C6E5D">
              <w:rPr>
                <w:sz w:val="20"/>
                <w:szCs w:val="20"/>
              </w:rPr>
              <w:t>3</w:t>
            </w:r>
            <w:r w:rsidR="002472F0">
              <w:rPr>
                <w:sz w:val="20"/>
                <w:szCs w:val="20"/>
              </w:rPr>
              <w:t>6</w:t>
            </w:r>
          </w:p>
        </w:tc>
        <w:tc>
          <w:tcPr>
            <w:tcW w:w="943" w:type="pct"/>
            <w:noWrap/>
            <w:hideMark/>
          </w:tcPr>
          <w:p w14:paraId="7632AA32" w14:textId="142BFAB6" w:rsidR="005242B1" w:rsidRPr="002C6E5D" w:rsidRDefault="005242B1" w:rsidP="002472F0">
            <w:pPr>
              <w:spacing w:line="360" w:lineRule="auto"/>
              <w:jc w:val="right"/>
              <w:rPr>
                <w:sz w:val="20"/>
                <w:szCs w:val="20"/>
              </w:rPr>
            </w:pPr>
            <w:r w:rsidRPr="002C6E5D">
              <w:rPr>
                <w:sz w:val="20"/>
                <w:szCs w:val="20"/>
              </w:rPr>
              <w:t>3</w:t>
            </w:r>
            <w:r w:rsidR="002472F0">
              <w:rPr>
                <w:sz w:val="20"/>
                <w:szCs w:val="20"/>
              </w:rPr>
              <w:t>,816</w:t>
            </w:r>
          </w:p>
        </w:tc>
        <w:tc>
          <w:tcPr>
            <w:tcW w:w="1196" w:type="pct"/>
            <w:gridSpan w:val="2"/>
            <w:noWrap/>
            <w:hideMark/>
          </w:tcPr>
          <w:p w14:paraId="10B84637" w14:textId="294A9145" w:rsidR="005242B1" w:rsidRPr="002C6E5D" w:rsidRDefault="002472F0" w:rsidP="002472F0">
            <w:pPr>
              <w:spacing w:line="360" w:lineRule="auto"/>
              <w:jc w:val="right"/>
              <w:rPr>
                <w:sz w:val="20"/>
                <w:szCs w:val="20"/>
              </w:rPr>
            </w:pPr>
            <w:r>
              <w:rPr>
                <w:sz w:val="20"/>
                <w:szCs w:val="20"/>
              </w:rPr>
              <w:t>65</w:t>
            </w:r>
          </w:p>
        </w:tc>
      </w:tr>
      <w:tr w:rsidR="005242B1" w:rsidRPr="002C6E5D" w14:paraId="3F42CB3A" w14:textId="77777777" w:rsidTr="00B64518">
        <w:trPr>
          <w:trHeight w:val="300"/>
        </w:trPr>
        <w:tc>
          <w:tcPr>
            <w:tcW w:w="378" w:type="pct"/>
            <w:noWrap/>
            <w:hideMark/>
          </w:tcPr>
          <w:p w14:paraId="739DA005" w14:textId="77777777" w:rsidR="005242B1" w:rsidRPr="002C6E5D" w:rsidRDefault="005242B1" w:rsidP="005242B1">
            <w:pPr>
              <w:spacing w:line="360" w:lineRule="auto"/>
              <w:rPr>
                <w:sz w:val="20"/>
                <w:szCs w:val="20"/>
              </w:rPr>
            </w:pPr>
            <w:r w:rsidRPr="002C6E5D">
              <w:rPr>
                <w:sz w:val="20"/>
                <w:szCs w:val="20"/>
              </w:rPr>
              <w:t>MIH</w:t>
            </w:r>
          </w:p>
        </w:tc>
        <w:tc>
          <w:tcPr>
            <w:tcW w:w="723" w:type="pct"/>
          </w:tcPr>
          <w:p w14:paraId="0110C726" w14:textId="0D4FA0BD" w:rsidR="005242B1" w:rsidRPr="002C6E5D" w:rsidRDefault="002472F0" w:rsidP="002472F0">
            <w:pPr>
              <w:jc w:val="right"/>
              <w:rPr>
                <w:sz w:val="20"/>
                <w:szCs w:val="20"/>
              </w:rPr>
            </w:pPr>
            <w:r>
              <w:rPr>
                <w:sz w:val="20"/>
                <w:szCs w:val="20"/>
              </w:rPr>
              <w:t>1,516</w:t>
            </w:r>
          </w:p>
        </w:tc>
        <w:tc>
          <w:tcPr>
            <w:tcW w:w="769" w:type="pct"/>
            <w:noWrap/>
            <w:hideMark/>
          </w:tcPr>
          <w:p w14:paraId="7BB49C7F" w14:textId="0543E6E4" w:rsidR="005242B1" w:rsidRPr="002C6E5D" w:rsidRDefault="005242B1" w:rsidP="002472F0">
            <w:pPr>
              <w:spacing w:line="360" w:lineRule="auto"/>
              <w:jc w:val="right"/>
              <w:rPr>
                <w:sz w:val="20"/>
                <w:szCs w:val="20"/>
              </w:rPr>
            </w:pPr>
            <w:r w:rsidRPr="002C6E5D">
              <w:rPr>
                <w:sz w:val="20"/>
                <w:szCs w:val="20"/>
              </w:rPr>
              <w:t>4</w:t>
            </w:r>
            <w:r w:rsidR="002472F0">
              <w:rPr>
                <w:sz w:val="20"/>
                <w:szCs w:val="20"/>
              </w:rPr>
              <w:t>,</w:t>
            </w:r>
            <w:r w:rsidRPr="002C6E5D">
              <w:rPr>
                <w:sz w:val="20"/>
                <w:szCs w:val="20"/>
              </w:rPr>
              <w:t>77</w:t>
            </w:r>
            <w:r w:rsidR="002472F0">
              <w:rPr>
                <w:sz w:val="20"/>
                <w:szCs w:val="20"/>
              </w:rPr>
              <w:t>4</w:t>
            </w:r>
          </w:p>
        </w:tc>
        <w:tc>
          <w:tcPr>
            <w:tcW w:w="992" w:type="pct"/>
            <w:gridSpan w:val="2"/>
            <w:noWrap/>
            <w:hideMark/>
          </w:tcPr>
          <w:p w14:paraId="5AE4ADF8" w14:textId="23B015DE" w:rsidR="005242B1" w:rsidRPr="002C6E5D" w:rsidRDefault="005242B1" w:rsidP="002472F0">
            <w:pPr>
              <w:spacing w:line="360" w:lineRule="auto"/>
              <w:jc w:val="right"/>
              <w:rPr>
                <w:sz w:val="20"/>
                <w:szCs w:val="20"/>
              </w:rPr>
            </w:pPr>
            <w:r w:rsidRPr="002C6E5D">
              <w:rPr>
                <w:sz w:val="20"/>
                <w:szCs w:val="20"/>
              </w:rPr>
              <w:t>100</w:t>
            </w:r>
          </w:p>
        </w:tc>
        <w:tc>
          <w:tcPr>
            <w:tcW w:w="943" w:type="pct"/>
            <w:noWrap/>
            <w:hideMark/>
          </w:tcPr>
          <w:p w14:paraId="11F2F5D0" w14:textId="34CDDC69" w:rsidR="005242B1" w:rsidRPr="002C6E5D" w:rsidRDefault="005242B1" w:rsidP="002472F0">
            <w:pPr>
              <w:spacing w:line="360" w:lineRule="auto"/>
              <w:jc w:val="right"/>
              <w:rPr>
                <w:sz w:val="20"/>
                <w:szCs w:val="20"/>
              </w:rPr>
            </w:pPr>
            <w:r w:rsidRPr="002C6E5D">
              <w:rPr>
                <w:sz w:val="20"/>
                <w:szCs w:val="20"/>
              </w:rPr>
              <w:t>7</w:t>
            </w:r>
            <w:r w:rsidR="002472F0">
              <w:rPr>
                <w:sz w:val="20"/>
                <w:szCs w:val="20"/>
              </w:rPr>
              <w:t>,</w:t>
            </w:r>
            <w:r w:rsidRPr="002C6E5D">
              <w:rPr>
                <w:sz w:val="20"/>
                <w:szCs w:val="20"/>
              </w:rPr>
              <w:t>638</w:t>
            </w:r>
          </w:p>
        </w:tc>
        <w:tc>
          <w:tcPr>
            <w:tcW w:w="1196" w:type="pct"/>
            <w:gridSpan w:val="2"/>
            <w:noWrap/>
            <w:hideMark/>
          </w:tcPr>
          <w:p w14:paraId="30CCE390" w14:textId="57FA9AAD" w:rsidR="005242B1" w:rsidRPr="002C6E5D" w:rsidRDefault="005242B1" w:rsidP="002472F0">
            <w:pPr>
              <w:spacing w:line="360" w:lineRule="auto"/>
              <w:jc w:val="right"/>
              <w:rPr>
                <w:sz w:val="20"/>
                <w:szCs w:val="20"/>
              </w:rPr>
            </w:pPr>
            <w:r w:rsidRPr="002C6E5D">
              <w:rPr>
                <w:sz w:val="20"/>
                <w:szCs w:val="20"/>
              </w:rPr>
              <w:t>18</w:t>
            </w:r>
            <w:r w:rsidR="002472F0">
              <w:rPr>
                <w:sz w:val="20"/>
                <w:szCs w:val="20"/>
              </w:rPr>
              <w:t>3</w:t>
            </w:r>
          </w:p>
        </w:tc>
      </w:tr>
      <w:tr w:rsidR="005242B1" w:rsidRPr="002C6E5D" w14:paraId="48B66260" w14:textId="77777777" w:rsidTr="00B64518">
        <w:trPr>
          <w:trHeight w:val="300"/>
        </w:trPr>
        <w:tc>
          <w:tcPr>
            <w:tcW w:w="378" w:type="pct"/>
            <w:tcBorders>
              <w:bottom w:val="single" w:sz="4" w:space="0" w:color="auto"/>
            </w:tcBorders>
            <w:noWrap/>
            <w:hideMark/>
          </w:tcPr>
          <w:p w14:paraId="007B4797" w14:textId="77777777" w:rsidR="005242B1" w:rsidRPr="002C6E5D" w:rsidRDefault="005242B1" w:rsidP="005242B1">
            <w:pPr>
              <w:spacing w:line="360" w:lineRule="auto"/>
              <w:rPr>
                <w:sz w:val="20"/>
                <w:szCs w:val="20"/>
              </w:rPr>
            </w:pPr>
            <w:r w:rsidRPr="002C6E5D">
              <w:rPr>
                <w:sz w:val="20"/>
                <w:szCs w:val="20"/>
              </w:rPr>
              <w:t>MIT</w:t>
            </w:r>
          </w:p>
        </w:tc>
        <w:tc>
          <w:tcPr>
            <w:tcW w:w="723" w:type="pct"/>
            <w:tcBorders>
              <w:bottom w:val="single" w:sz="4" w:space="0" w:color="auto"/>
            </w:tcBorders>
          </w:tcPr>
          <w:p w14:paraId="14762554" w14:textId="3AC5CD37" w:rsidR="005242B1" w:rsidRPr="002C6E5D" w:rsidRDefault="002472F0" w:rsidP="002472F0">
            <w:pPr>
              <w:jc w:val="right"/>
              <w:rPr>
                <w:sz w:val="20"/>
                <w:szCs w:val="20"/>
              </w:rPr>
            </w:pPr>
            <w:r>
              <w:rPr>
                <w:sz w:val="20"/>
                <w:szCs w:val="20"/>
              </w:rPr>
              <w:t>1,644</w:t>
            </w:r>
          </w:p>
        </w:tc>
        <w:tc>
          <w:tcPr>
            <w:tcW w:w="769" w:type="pct"/>
            <w:tcBorders>
              <w:bottom w:val="single" w:sz="4" w:space="0" w:color="auto"/>
            </w:tcBorders>
            <w:noWrap/>
            <w:hideMark/>
          </w:tcPr>
          <w:p w14:paraId="1382C735" w14:textId="1E885BF0" w:rsidR="005242B1" w:rsidRPr="002C6E5D" w:rsidRDefault="005242B1" w:rsidP="002472F0">
            <w:pPr>
              <w:spacing w:line="360" w:lineRule="auto"/>
              <w:jc w:val="right"/>
              <w:rPr>
                <w:sz w:val="20"/>
                <w:szCs w:val="20"/>
              </w:rPr>
            </w:pPr>
            <w:r w:rsidRPr="002C6E5D">
              <w:rPr>
                <w:sz w:val="20"/>
                <w:szCs w:val="20"/>
              </w:rPr>
              <w:t>4</w:t>
            </w:r>
            <w:r w:rsidR="002472F0">
              <w:rPr>
                <w:sz w:val="20"/>
                <w:szCs w:val="20"/>
              </w:rPr>
              <w:t>,</w:t>
            </w:r>
            <w:r w:rsidRPr="002C6E5D">
              <w:rPr>
                <w:sz w:val="20"/>
                <w:szCs w:val="20"/>
              </w:rPr>
              <w:t>98</w:t>
            </w:r>
            <w:r w:rsidR="002472F0">
              <w:rPr>
                <w:sz w:val="20"/>
                <w:szCs w:val="20"/>
              </w:rPr>
              <w:t>4</w:t>
            </w:r>
          </w:p>
        </w:tc>
        <w:tc>
          <w:tcPr>
            <w:tcW w:w="992" w:type="pct"/>
            <w:gridSpan w:val="2"/>
            <w:tcBorders>
              <w:bottom w:val="single" w:sz="4" w:space="0" w:color="auto"/>
            </w:tcBorders>
            <w:noWrap/>
            <w:hideMark/>
          </w:tcPr>
          <w:p w14:paraId="1B210A5F" w14:textId="4C58D957" w:rsidR="005242B1" w:rsidRPr="002C6E5D" w:rsidRDefault="005242B1" w:rsidP="002472F0">
            <w:pPr>
              <w:spacing w:line="360" w:lineRule="auto"/>
              <w:jc w:val="right"/>
              <w:rPr>
                <w:sz w:val="20"/>
                <w:szCs w:val="20"/>
              </w:rPr>
            </w:pPr>
            <w:r w:rsidRPr="002C6E5D">
              <w:rPr>
                <w:sz w:val="20"/>
                <w:szCs w:val="20"/>
              </w:rPr>
              <w:t>102</w:t>
            </w:r>
          </w:p>
        </w:tc>
        <w:tc>
          <w:tcPr>
            <w:tcW w:w="943" w:type="pct"/>
            <w:tcBorders>
              <w:bottom w:val="single" w:sz="4" w:space="0" w:color="auto"/>
            </w:tcBorders>
            <w:noWrap/>
            <w:hideMark/>
          </w:tcPr>
          <w:p w14:paraId="5D978CA1" w14:textId="4019F6B3" w:rsidR="005242B1" w:rsidRPr="002C6E5D" w:rsidRDefault="005242B1" w:rsidP="002472F0">
            <w:pPr>
              <w:spacing w:line="360" w:lineRule="auto"/>
              <w:jc w:val="right"/>
              <w:rPr>
                <w:sz w:val="20"/>
                <w:szCs w:val="20"/>
              </w:rPr>
            </w:pPr>
            <w:r w:rsidRPr="002C6E5D">
              <w:rPr>
                <w:sz w:val="20"/>
                <w:szCs w:val="20"/>
              </w:rPr>
              <w:t>7</w:t>
            </w:r>
            <w:r w:rsidR="002472F0">
              <w:rPr>
                <w:sz w:val="20"/>
                <w:szCs w:val="20"/>
              </w:rPr>
              <w:t>,</w:t>
            </w:r>
            <w:r w:rsidRPr="002C6E5D">
              <w:rPr>
                <w:sz w:val="20"/>
                <w:szCs w:val="20"/>
              </w:rPr>
              <w:t>97</w:t>
            </w:r>
            <w:r w:rsidR="002472F0">
              <w:rPr>
                <w:sz w:val="20"/>
                <w:szCs w:val="20"/>
              </w:rPr>
              <w:t>4</w:t>
            </w:r>
          </w:p>
        </w:tc>
        <w:tc>
          <w:tcPr>
            <w:tcW w:w="1196" w:type="pct"/>
            <w:gridSpan w:val="2"/>
            <w:tcBorders>
              <w:bottom w:val="single" w:sz="4" w:space="0" w:color="auto"/>
            </w:tcBorders>
            <w:noWrap/>
            <w:hideMark/>
          </w:tcPr>
          <w:p w14:paraId="19FAE1D5" w14:textId="637D8E7D" w:rsidR="005242B1" w:rsidRPr="002C6E5D" w:rsidRDefault="005242B1" w:rsidP="002472F0">
            <w:pPr>
              <w:spacing w:line="360" w:lineRule="auto"/>
              <w:jc w:val="right"/>
              <w:rPr>
                <w:sz w:val="20"/>
                <w:szCs w:val="20"/>
              </w:rPr>
            </w:pPr>
            <w:r w:rsidRPr="002C6E5D">
              <w:rPr>
                <w:sz w:val="20"/>
                <w:szCs w:val="20"/>
              </w:rPr>
              <w:t>185</w:t>
            </w:r>
          </w:p>
        </w:tc>
      </w:tr>
    </w:tbl>
    <w:p w14:paraId="17E8C6FB" w14:textId="77777777" w:rsidR="00FE37B7" w:rsidRDefault="00FE37B7" w:rsidP="00FE37B7">
      <w:pPr>
        <w:spacing w:line="360" w:lineRule="auto"/>
      </w:pPr>
    </w:p>
    <w:p w14:paraId="5826574F" w14:textId="77777777" w:rsidR="00FE37B7" w:rsidRPr="00583FAA" w:rsidRDefault="002D5E3A" w:rsidP="00746074">
      <w:pPr>
        <w:spacing w:line="360" w:lineRule="auto"/>
        <w:rPr>
          <w:b/>
          <w:lang w:val="en-GB"/>
        </w:rPr>
      </w:pPr>
      <w:r w:rsidRPr="00583FAA">
        <w:rPr>
          <w:b/>
          <w:lang w:val="en-GB"/>
        </w:rPr>
        <w:t xml:space="preserve">4. </w:t>
      </w:r>
      <w:r w:rsidR="001A6FCC" w:rsidRPr="00583FAA">
        <w:rPr>
          <w:b/>
          <w:lang w:val="en-GB"/>
        </w:rPr>
        <w:t>Land requirements to feed dairy cattle and shortage of available land</w:t>
      </w:r>
    </w:p>
    <w:p w14:paraId="51F06084" w14:textId="6DDCF0A6" w:rsidR="00746074" w:rsidRPr="00583FAA" w:rsidRDefault="00EA5B5A" w:rsidP="00E53627">
      <w:pPr>
        <w:spacing w:line="360" w:lineRule="auto"/>
        <w:jc w:val="both"/>
        <w:rPr>
          <w:lang w:val="en-GB"/>
        </w:rPr>
      </w:pPr>
      <w:r>
        <w:rPr>
          <w:lang w:val="en-GB"/>
        </w:rPr>
        <w:t>We</w:t>
      </w:r>
      <w:r w:rsidRPr="00EA5B5A">
        <w:rPr>
          <w:lang w:val="en-GB"/>
        </w:rPr>
        <w:t xml:space="preserve"> </w:t>
      </w:r>
      <w:r w:rsidR="001A6FCC" w:rsidRPr="00EA5B5A">
        <w:rPr>
          <w:lang w:val="en-GB"/>
        </w:rPr>
        <w:t>calculate</w:t>
      </w:r>
      <w:r>
        <w:rPr>
          <w:lang w:val="en-GB"/>
        </w:rPr>
        <w:t>d</w:t>
      </w:r>
      <w:r w:rsidR="001A6FCC" w:rsidRPr="00EA5B5A">
        <w:rPr>
          <w:lang w:val="en-GB"/>
        </w:rPr>
        <w:t xml:space="preserve"> the requirement of </w:t>
      </w:r>
      <w:r w:rsidR="00491FD4" w:rsidRPr="00EA5B5A">
        <w:rPr>
          <w:lang w:val="en-GB"/>
        </w:rPr>
        <w:t xml:space="preserve">cropland </w:t>
      </w:r>
      <w:r w:rsidR="00B26A90" w:rsidRPr="00EA5B5A">
        <w:rPr>
          <w:lang w:val="en-GB"/>
        </w:rPr>
        <w:t>needed</w:t>
      </w:r>
      <w:r w:rsidR="001A6FCC" w:rsidRPr="00EA5B5A">
        <w:rPr>
          <w:lang w:val="en-GB"/>
        </w:rPr>
        <w:t xml:space="preserve"> to cultivate Napier grass </w:t>
      </w:r>
      <w:r>
        <w:rPr>
          <w:lang w:val="en-GB"/>
        </w:rPr>
        <w:t xml:space="preserve">for the </w:t>
      </w:r>
      <w:r w:rsidR="007679E3" w:rsidRPr="00EA5B5A">
        <w:rPr>
          <w:lang w:val="en-GB"/>
        </w:rPr>
        <w:t xml:space="preserve">feed improvement scenarios that contain </w:t>
      </w:r>
      <w:r w:rsidRPr="00EA5B5A">
        <w:rPr>
          <w:lang w:val="en-GB"/>
        </w:rPr>
        <w:t>the ‘</w:t>
      </w:r>
      <w:r w:rsidR="007679E3" w:rsidRPr="00EA5B5A">
        <w:rPr>
          <w:lang w:val="en-GB"/>
        </w:rPr>
        <w:t>Fo</w:t>
      </w:r>
      <w:r w:rsidR="00E53627" w:rsidRPr="00EA5B5A">
        <w:rPr>
          <w:lang w:val="en-GB"/>
        </w:rPr>
        <w:t>rage quality</w:t>
      </w:r>
      <w:r w:rsidRPr="00EA5B5A">
        <w:rPr>
          <w:lang w:val="en-GB"/>
        </w:rPr>
        <w:t>’</w:t>
      </w:r>
      <w:r w:rsidR="00E53627" w:rsidRPr="00EA5B5A">
        <w:rPr>
          <w:lang w:val="en-GB"/>
        </w:rPr>
        <w:t xml:space="preserve"> (Fo)</w:t>
      </w:r>
      <w:r w:rsidR="007679E3" w:rsidRPr="00EA5B5A">
        <w:rPr>
          <w:lang w:val="en-GB"/>
        </w:rPr>
        <w:t xml:space="preserve"> strategy </w:t>
      </w:r>
      <w:r w:rsidR="001A6FCC" w:rsidRPr="00EA5B5A">
        <w:rPr>
          <w:lang w:val="en-GB"/>
        </w:rPr>
        <w:t xml:space="preserve">and </w:t>
      </w:r>
      <w:r w:rsidR="006B6EF0" w:rsidRPr="00EA5B5A">
        <w:rPr>
          <w:lang w:val="en-GB"/>
        </w:rPr>
        <w:t xml:space="preserve">fodder </w:t>
      </w:r>
      <w:r w:rsidR="001A6FCC" w:rsidRPr="00EA5B5A">
        <w:rPr>
          <w:lang w:val="en-GB"/>
        </w:rPr>
        <w:t>maize</w:t>
      </w:r>
      <w:r w:rsidR="007679E3" w:rsidRPr="00EA5B5A">
        <w:rPr>
          <w:lang w:val="en-GB"/>
        </w:rPr>
        <w:t xml:space="preserve"> </w:t>
      </w:r>
      <w:r>
        <w:rPr>
          <w:lang w:val="en-GB"/>
        </w:rPr>
        <w:t xml:space="preserve">in the </w:t>
      </w:r>
      <w:r w:rsidR="007679E3" w:rsidRPr="00EA5B5A">
        <w:rPr>
          <w:lang w:val="en-GB"/>
        </w:rPr>
        <w:t xml:space="preserve">feed improvement scenarios that contain </w:t>
      </w:r>
      <w:r w:rsidR="00E53627" w:rsidRPr="00EA5B5A">
        <w:rPr>
          <w:lang w:val="en-GB"/>
        </w:rPr>
        <w:t>silage (</w:t>
      </w:r>
      <w:r w:rsidR="007679E3" w:rsidRPr="00EA5B5A">
        <w:rPr>
          <w:lang w:val="en-GB"/>
        </w:rPr>
        <w:t>Fe</w:t>
      </w:r>
      <w:r w:rsidR="00E53627" w:rsidRPr="00EA5B5A">
        <w:rPr>
          <w:lang w:val="en-GB"/>
        </w:rPr>
        <w:t>)</w:t>
      </w:r>
      <w:r w:rsidR="007679E3" w:rsidRPr="00EA5B5A">
        <w:rPr>
          <w:lang w:val="en-GB"/>
        </w:rPr>
        <w:t xml:space="preserve"> strategy</w:t>
      </w:r>
      <w:r w:rsidR="00491FD4" w:rsidRPr="00EA5B5A">
        <w:rPr>
          <w:lang w:val="en-GB"/>
        </w:rPr>
        <w:t xml:space="preserve">. </w:t>
      </w:r>
      <w:r w:rsidR="00491FD4" w:rsidRPr="00583FAA">
        <w:rPr>
          <w:lang w:val="en-GB"/>
        </w:rPr>
        <w:t>The requirement for cropland was estimated based on actual feed crop yields (Ya) and water-limited yield potentials (Yw) for fodder maize, crop-specific feed intake per cow, density of dairy cattle per grid cell (</w:t>
      </w:r>
      <w:r w:rsidR="008C5C6D" w:rsidRPr="00583FAA">
        <w:rPr>
          <w:lang w:val="en-GB"/>
        </w:rPr>
        <w:t xml:space="preserve">Table S4; </w:t>
      </w:r>
      <w:r w:rsidR="00491FD4" w:rsidRPr="00583FAA">
        <w:rPr>
          <w:lang w:val="en-GB"/>
        </w:rPr>
        <w:t xml:space="preserve">SI equations 6-7). </w:t>
      </w:r>
      <w:r w:rsidR="00491FD4" w:rsidRPr="00EA5B5A">
        <w:rPr>
          <w:lang w:val="en-GB"/>
        </w:rPr>
        <w:t xml:space="preserve">The deficit of arable land was estimated for grid cells where the demand for </w:t>
      </w:r>
      <w:r w:rsidR="008C5C6D" w:rsidRPr="00EA5B5A">
        <w:rPr>
          <w:lang w:val="en-GB"/>
        </w:rPr>
        <w:t>cropland</w:t>
      </w:r>
      <w:r w:rsidR="00491FD4" w:rsidRPr="00EA5B5A">
        <w:rPr>
          <w:lang w:val="en-GB"/>
        </w:rPr>
        <w:t xml:space="preserve"> exceed</w:t>
      </w:r>
      <w:r w:rsidRPr="00EA5B5A">
        <w:rPr>
          <w:lang w:val="en-GB"/>
        </w:rPr>
        <w:t>ed</w:t>
      </w:r>
      <w:r w:rsidR="00491FD4" w:rsidRPr="00EA5B5A">
        <w:rPr>
          <w:lang w:val="en-GB"/>
        </w:rPr>
        <w:t xml:space="preserve"> the amount of </w:t>
      </w:r>
      <w:r w:rsidR="008C5C6D" w:rsidRPr="00EA5B5A">
        <w:rPr>
          <w:lang w:val="en-GB"/>
        </w:rPr>
        <w:t xml:space="preserve">available </w:t>
      </w:r>
      <w:r w:rsidR="00491FD4" w:rsidRPr="00EA5B5A">
        <w:rPr>
          <w:lang w:val="en-GB"/>
        </w:rPr>
        <w:t>grazing land.</w:t>
      </w:r>
      <w:r w:rsidR="007B30D0" w:rsidRPr="00EA5B5A">
        <w:rPr>
          <w:lang w:val="en-GB"/>
        </w:rPr>
        <w:t xml:space="preserve"> </w:t>
      </w:r>
      <w:r w:rsidR="007B30D0" w:rsidRPr="00583FAA">
        <w:rPr>
          <w:lang w:val="en-GB"/>
        </w:rPr>
        <w:t>To calculate land demand the following equation was used:</w:t>
      </w:r>
    </w:p>
    <w:p w14:paraId="7CB7CE85" w14:textId="77777777" w:rsidR="007B30D0" w:rsidRPr="00583FAA" w:rsidRDefault="007B30D0" w:rsidP="007B30D0">
      <w:pPr>
        <w:spacing w:line="360" w:lineRule="auto"/>
        <w:rPr>
          <w:rFonts w:eastAsiaTheme="minorEastAsia"/>
          <w:lang w:val="en-GB"/>
        </w:rPr>
      </w:pPr>
      <m:oMath>
        <m:r>
          <m:rPr>
            <m:sty m:val="p"/>
          </m:rPr>
          <w:rPr>
            <w:rFonts w:ascii="Cambria Math" w:hAnsi="Cambria Math"/>
            <w:lang w:val="en-GB"/>
          </w:rPr>
          <m:t xml:space="preserve">Land demand </m:t>
        </m:r>
        <m:d>
          <m:dPr>
            <m:ctrlPr>
              <w:rPr>
                <w:rFonts w:ascii="Cambria Math" w:hAnsi="Cambria Math"/>
              </w:rPr>
            </m:ctrlPr>
          </m:dPr>
          <m:e>
            <m:sSup>
              <m:sSupPr>
                <m:ctrlPr>
                  <w:rPr>
                    <w:rFonts w:ascii="Cambria Math" w:hAnsi="Cambria Math"/>
                  </w:rPr>
                </m:ctrlPr>
              </m:sSupPr>
              <m:e>
                <m:r>
                  <m:rPr>
                    <m:sty m:val="p"/>
                  </m:rPr>
                  <w:rPr>
                    <w:rFonts w:ascii="Cambria Math" w:hAnsi="Cambria Math"/>
                    <w:lang w:val="en-GB"/>
                  </w:rPr>
                  <m:t>ha TLU</m:t>
                </m:r>
              </m:e>
              <m:sup>
                <m:r>
                  <m:rPr>
                    <m:sty m:val="p"/>
                  </m:rPr>
                  <w:rPr>
                    <w:rFonts w:ascii="Cambria Math" w:hAnsi="Cambria Math"/>
                    <w:lang w:val="en-GB"/>
                  </w:rPr>
                  <m:t>-1</m:t>
                </m:r>
              </m:sup>
            </m:sSup>
          </m:e>
        </m:d>
        <m:r>
          <m:rPr>
            <m:sty m:val="p"/>
          </m:rPr>
          <w:rPr>
            <w:rFonts w:ascii="Cambria Math" w:hAnsi="Cambria Math"/>
            <w:lang w:val="en-GB"/>
          </w:rPr>
          <m:t>=</m:t>
        </m:r>
        <m:nary>
          <m:naryPr>
            <m:chr m:val="∑"/>
            <m:limLoc m:val="undOvr"/>
            <m:ctrlPr>
              <w:rPr>
                <w:rFonts w:ascii="Cambria Math" w:hAnsi="Cambria Math"/>
                <w:i/>
              </w:rPr>
            </m:ctrlPr>
          </m:naryPr>
          <m:sub>
            <m:r>
              <w:rPr>
                <w:rFonts w:ascii="Cambria Math" w:hAnsi="Cambria Math"/>
              </w:rPr>
              <m:t>i</m:t>
            </m:r>
            <m:r>
              <w:rPr>
                <w:rFonts w:ascii="Cambria Math" w:hAnsi="Cambria Math"/>
                <w:lang w:val="en-GB"/>
              </w:rPr>
              <m:t>=1</m:t>
            </m:r>
          </m:sub>
          <m:sup>
            <m:r>
              <w:rPr>
                <w:rFonts w:ascii="Cambria Math" w:hAnsi="Cambria Math"/>
              </w:rPr>
              <m:t>n</m:t>
            </m:r>
          </m:sup>
          <m:e>
            <m:f>
              <m:fPr>
                <m:ctrlPr>
                  <w:rPr>
                    <w:rFonts w:ascii="Cambria Math" w:hAnsi="Cambria Math"/>
                    <w:i/>
                  </w:rPr>
                </m:ctrlPr>
              </m:fPr>
              <m:num>
                <m:sSub>
                  <m:sSubPr>
                    <m:ctrlPr>
                      <w:rPr>
                        <w:rFonts w:ascii="Cambria Math" w:hAnsi="Cambria Math"/>
                      </w:rPr>
                    </m:ctrlPr>
                  </m:sSubPr>
                  <m:e>
                    <m:r>
                      <m:rPr>
                        <m:sty m:val="p"/>
                      </m:rPr>
                      <w:rPr>
                        <w:rFonts w:ascii="Cambria Math" w:hAnsi="Cambria Math"/>
                        <w:lang w:val="en-GB"/>
                      </w:rPr>
                      <m:t>feed intake</m:t>
                    </m:r>
                  </m:e>
                  <m:sub>
                    <m:d>
                      <m:dPr>
                        <m:begChr m:val="["/>
                        <m:endChr m:val="]"/>
                        <m:ctrlPr>
                          <w:rPr>
                            <w:rFonts w:ascii="Cambria Math" w:hAnsi="Cambria Math"/>
                          </w:rPr>
                        </m:ctrlPr>
                      </m:dPr>
                      <m:e>
                        <m:r>
                          <m:rPr>
                            <m:sty m:val="p"/>
                          </m:rPr>
                          <w:rPr>
                            <w:rFonts w:ascii="Cambria Math" w:hAnsi="Cambria Math"/>
                            <w:lang w:val="en-GB"/>
                          </w:rPr>
                          <m:t>crop i</m:t>
                        </m:r>
                      </m:e>
                    </m:d>
                  </m:sub>
                </m:sSub>
                <m:d>
                  <m:dPr>
                    <m:ctrlPr>
                      <w:rPr>
                        <w:rFonts w:ascii="Cambria Math" w:hAnsi="Cambria Math"/>
                      </w:rPr>
                    </m:ctrlPr>
                  </m:dPr>
                  <m:e>
                    <m:sSup>
                      <m:sSupPr>
                        <m:ctrlPr>
                          <w:rPr>
                            <w:rFonts w:ascii="Cambria Math" w:hAnsi="Cambria Math"/>
                          </w:rPr>
                        </m:ctrlPr>
                      </m:sSupPr>
                      <m:e>
                        <m:r>
                          <m:rPr>
                            <m:sty m:val="p"/>
                          </m:rPr>
                          <w:rPr>
                            <w:rFonts w:ascii="Cambria Math" w:hAnsi="Cambria Math"/>
                            <w:lang w:val="en-GB"/>
                          </w:rPr>
                          <m:t>kg TLU</m:t>
                        </m:r>
                      </m:e>
                      <m:sup>
                        <m:r>
                          <m:rPr>
                            <m:sty m:val="p"/>
                          </m:rPr>
                          <w:rPr>
                            <w:rFonts w:ascii="Cambria Math" w:hAnsi="Cambria Math"/>
                            <w:lang w:val="en-GB"/>
                          </w:rPr>
                          <m:t>-1</m:t>
                        </m:r>
                      </m:sup>
                    </m:sSup>
                  </m:e>
                </m:d>
              </m:num>
              <m:den>
                <m:sSub>
                  <m:sSubPr>
                    <m:ctrlPr>
                      <w:rPr>
                        <w:rFonts w:ascii="Cambria Math" w:hAnsi="Cambria Math"/>
                      </w:rPr>
                    </m:ctrlPr>
                  </m:sSubPr>
                  <m:e>
                    <m:r>
                      <m:rPr>
                        <m:sty m:val="p"/>
                      </m:rPr>
                      <w:rPr>
                        <w:rFonts w:ascii="Cambria Math" w:hAnsi="Cambria Math"/>
                        <w:lang w:val="en-GB"/>
                      </w:rPr>
                      <m:t>crop yield</m:t>
                    </m:r>
                  </m:e>
                  <m:sub>
                    <m:d>
                      <m:dPr>
                        <m:begChr m:val="["/>
                        <m:endChr m:val="]"/>
                        <m:ctrlPr>
                          <w:rPr>
                            <w:rFonts w:ascii="Cambria Math" w:hAnsi="Cambria Math"/>
                          </w:rPr>
                        </m:ctrlPr>
                      </m:dPr>
                      <m:e>
                        <m:r>
                          <m:rPr>
                            <m:sty m:val="p"/>
                          </m:rPr>
                          <w:rPr>
                            <w:rFonts w:ascii="Cambria Math" w:hAnsi="Cambria Math"/>
                            <w:lang w:val="en-GB"/>
                          </w:rPr>
                          <m:t>crop i</m:t>
                        </m:r>
                      </m:e>
                    </m:d>
                  </m:sub>
                </m:sSub>
                <m:d>
                  <m:dPr>
                    <m:ctrlPr>
                      <w:rPr>
                        <w:rFonts w:ascii="Cambria Math" w:hAnsi="Cambria Math"/>
                      </w:rPr>
                    </m:ctrlPr>
                  </m:dPr>
                  <m:e>
                    <m:sSup>
                      <m:sSupPr>
                        <m:ctrlPr>
                          <w:rPr>
                            <w:rFonts w:ascii="Cambria Math" w:hAnsi="Cambria Math"/>
                          </w:rPr>
                        </m:ctrlPr>
                      </m:sSupPr>
                      <m:e>
                        <m:r>
                          <m:rPr>
                            <m:sty m:val="p"/>
                          </m:rPr>
                          <w:rPr>
                            <w:rFonts w:ascii="Cambria Math" w:hAnsi="Cambria Math"/>
                            <w:lang w:val="en-GB"/>
                          </w:rPr>
                          <m:t>kg ha</m:t>
                        </m:r>
                      </m:e>
                      <m:sup>
                        <m:r>
                          <m:rPr>
                            <m:sty m:val="p"/>
                          </m:rPr>
                          <w:rPr>
                            <w:rFonts w:ascii="Cambria Math" w:hAnsi="Cambria Math"/>
                            <w:lang w:val="en-GB"/>
                          </w:rPr>
                          <m:t>-1</m:t>
                        </m:r>
                      </m:sup>
                    </m:sSup>
                  </m:e>
                </m:d>
              </m:den>
            </m:f>
            <m:r>
              <w:rPr>
                <w:rFonts w:ascii="Cambria Math" w:hAnsi="Cambria Math"/>
                <w:lang w:val="en-GB"/>
              </w:rPr>
              <m:t xml:space="preserve"> </m:t>
            </m:r>
          </m:e>
        </m:nary>
      </m:oMath>
      <w:r w:rsidRPr="00583FAA">
        <w:rPr>
          <w:rFonts w:eastAsiaTheme="minorEastAsia"/>
          <w:lang w:val="en-GB"/>
        </w:rPr>
        <w:tab/>
      </w:r>
      <w:r w:rsidRPr="00583FAA">
        <w:rPr>
          <w:rFonts w:eastAsiaTheme="minorEastAsia"/>
          <w:lang w:val="en-GB"/>
        </w:rPr>
        <w:tab/>
      </w:r>
      <w:r w:rsidRPr="00583FAA">
        <w:rPr>
          <w:rFonts w:eastAsiaTheme="minorEastAsia"/>
          <w:lang w:val="en-GB"/>
        </w:rPr>
        <w:tab/>
      </w:r>
      <w:r w:rsidRPr="00583FAA">
        <w:rPr>
          <w:rFonts w:eastAsiaTheme="minorEastAsia"/>
          <w:lang w:val="en-GB"/>
        </w:rPr>
        <w:tab/>
      </w:r>
      <w:r w:rsidRPr="00583FAA">
        <w:rPr>
          <w:rFonts w:eastAsiaTheme="minorEastAsia"/>
          <w:lang w:val="en-GB"/>
        </w:rPr>
        <w:tab/>
        <w:t xml:space="preserve">    (1)</w:t>
      </w:r>
    </w:p>
    <w:p w14:paraId="04704635" w14:textId="327AAD38" w:rsidR="007B30D0" w:rsidRPr="00970F63" w:rsidRDefault="00D723A3" w:rsidP="007B30D0">
      <w:pPr>
        <w:spacing w:line="360" w:lineRule="auto"/>
        <w:jc w:val="both"/>
      </w:pPr>
      <m:oMathPara>
        <m:oMath>
          <m:sSup>
            <m:sSupPr>
              <m:ctrlPr>
                <w:rPr>
                  <w:rFonts w:ascii="Cambria Math" w:hAnsi="Cambria Math"/>
                  <w:i/>
                </w:rPr>
              </m:ctrlPr>
            </m:sSupPr>
            <m:e>
              <m:r>
                <m:rPr>
                  <m:sty m:val="p"/>
                </m:rPr>
                <w:rPr>
                  <w:rFonts w:ascii="Cambria Math" w:hAnsi="Cambria Math"/>
                </w:rPr>
                <m:t>Land availability (ha km</m:t>
              </m:r>
            </m:e>
            <m:sup>
              <m:r>
                <m:rPr>
                  <m:sty m:val="p"/>
                </m:rPr>
                <w:rPr>
                  <w:rFonts w:ascii="Cambria Math" w:hAnsi="Cambria Math"/>
                </w:rPr>
                <m:t>-2</m:t>
              </m:r>
            </m:sup>
          </m:sSup>
          <m:r>
            <w:rPr>
              <w:rFonts w:ascii="Cambria Math" w:hAnsi="Cambria Math"/>
            </w:rPr>
            <m:t xml:space="preserve">) = </m:t>
          </m:r>
          <m:sSup>
            <m:sSupPr>
              <m:ctrlPr>
                <w:rPr>
                  <w:rFonts w:ascii="Cambria Math" w:hAnsi="Cambria Math"/>
                  <w:i/>
                </w:rPr>
              </m:ctrlPr>
            </m:sSupPr>
            <m:e>
              <m:r>
                <m:rPr>
                  <m:sty m:val="p"/>
                </m:rPr>
                <w:rPr>
                  <w:rFonts w:ascii="Cambria Math" w:hAnsi="Cambria Math"/>
                </w:rPr>
                <m:t>available grazing land (ha km</m:t>
              </m:r>
            </m:e>
            <m:sup>
              <m:r>
                <m:rPr>
                  <m:sty m:val="p"/>
                </m:rPr>
                <w:rPr>
                  <w:rFonts w:ascii="Cambria Math" w:hAnsi="Cambria Math"/>
                </w:rPr>
                <m:t>-2</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Land demand (ha TLU</m:t>
              </m:r>
            </m:e>
            <m:sup>
              <m:r>
                <m:rPr>
                  <m:sty m:val="p"/>
                </m:rPr>
                <w:rPr>
                  <w:rFonts w:ascii="Cambria Math" w:hAnsi="Cambria Math"/>
                </w:rPr>
                <m:t>-1</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dairy cattle density (TLU km</m:t>
              </m:r>
            </m:e>
            <m:sup>
              <m:r>
                <w:rPr>
                  <w:rFonts w:ascii="Cambria Math" w:hAnsi="Cambria Math"/>
                </w:rPr>
                <m:t>-2</m:t>
              </m:r>
            </m:sup>
          </m:sSup>
          <m:r>
            <w:rPr>
              <w:rFonts w:ascii="Cambria Math" w:hAnsi="Cambria Math"/>
            </w:rPr>
            <m:t>)</m:t>
          </m:r>
        </m:oMath>
      </m:oMathPara>
    </w:p>
    <w:p w14:paraId="5C1D2F99" w14:textId="075236F9" w:rsidR="003A5FD9" w:rsidRPr="00EA5B5A" w:rsidRDefault="00EA5B5A" w:rsidP="005658EB">
      <w:pPr>
        <w:spacing w:line="360" w:lineRule="auto"/>
        <w:jc w:val="both"/>
        <w:rPr>
          <w:rFonts w:eastAsia="Times New Roman"/>
          <w:color w:val="000000"/>
          <w:lang w:val="en-GB" w:eastAsia="de-DE"/>
        </w:rPr>
      </w:pPr>
      <w:r w:rsidRPr="00EA5B5A">
        <w:rPr>
          <w:rFonts w:eastAsia="Times New Roman"/>
          <w:color w:val="000000"/>
          <w:lang w:val="en-GB" w:eastAsia="de-DE"/>
        </w:rPr>
        <w:t xml:space="preserve">The </w:t>
      </w:r>
      <w:r w:rsidR="007B30D0" w:rsidRPr="00EA5B5A">
        <w:rPr>
          <w:rFonts w:eastAsia="Times New Roman"/>
          <w:color w:val="000000"/>
          <w:lang w:val="en-GB" w:eastAsia="de-DE"/>
        </w:rPr>
        <w:t>CO</w:t>
      </w:r>
      <w:r w:rsidR="007B30D0" w:rsidRPr="00EA5B5A">
        <w:rPr>
          <w:rFonts w:eastAsia="Times New Roman"/>
          <w:color w:val="000000"/>
          <w:vertAlign w:val="subscript"/>
          <w:lang w:val="en-GB" w:eastAsia="de-DE"/>
        </w:rPr>
        <w:t>2</w:t>
      </w:r>
      <w:r w:rsidR="007B30D0" w:rsidRPr="00EA5B5A">
        <w:rPr>
          <w:rFonts w:eastAsia="Times New Roman"/>
          <w:color w:val="000000"/>
          <w:lang w:val="en-GB" w:eastAsia="de-DE"/>
        </w:rPr>
        <w:t xml:space="preserve"> emissions from land use change </w:t>
      </w:r>
      <w:r>
        <w:rPr>
          <w:rFonts w:eastAsia="Times New Roman"/>
          <w:color w:val="000000"/>
          <w:lang w:val="en-GB" w:eastAsia="de-DE"/>
        </w:rPr>
        <w:t xml:space="preserve">including </w:t>
      </w:r>
      <w:r w:rsidR="007B30D0" w:rsidRPr="00EA5B5A">
        <w:rPr>
          <w:rFonts w:eastAsia="Times New Roman"/>
          <w:color w:val="000000"/>
          <w:lang w:val="en-GB" w:eastAsia="de-DE"/>
        </w:rPr>
        <w:t xml:space="preserve">only </w:t>
      </w:r>
      <w:r>
        <w:rPr>
          <w:rFonts w:eastAsia="Times New Roman"/>
          <w:color w:val="000000"/>
          <w:lang w:val="en-GB" w:eastAsia="de-DE"/>
        </w:rPr>
        <w:t xml:space="preserve">conversion </w:t>
      </w:r>
      <w:r w:rsidR="007B30D0" w:rsidRPr="00EA5B5A">
        <w:rPr>
          <w:rFonts w:eastAsia="Times New Roman"/>
          <w:color w:val="000000"/>
          <w:lang w:val="en-GB" w:eastAsia="de-DE"/>
        </w:rPr>
        <w:t>grazing land to cropland</w:t>
      </w:r>
      <w:r>
        <w:rPr>
          <w:rFonts w:eastAsia="Times New Roman"/>
          <w:color w:val="000000"/>
          <w:lang w:val="en-GB" w:eastAsia="de-DE"/>
        </w:rPr>
        <w:t>,</w:t>
      </w:r>
      <w:r w:rsidR="007B30D0" w:rsidRPr="00EA5B5A">
        <w:rPr>
          <w:rFonts w:eastAsia="Times New Roman"/>
          <w:color w:val="000000"/>
          <w:lang w:val="en-GB" w:eastAsia="de-DE"/>
        </w:rPr>
        <w:t xml:space="preserve"> were </w:t>
      </w:r>
      <w:r w:rsidR="00324942" w:rsidRPr="00EA5B5A">
        <w:rPr>
          <w:rFonts w:eastAsia="Times New Roman"/>
          <w:color w:val="000000"/>
          <w:lang w:val="en-GB" w:eastAsia="de-DE"/>
        </w:rPr>
        <w:t>calculated</w:t>
      </w:r>
      <w:r w:rsidR="007B30D0" w:rsidRPr="00EA5B5A">
        <w:rPr>
          <w:rFonts w:eastAsia="Times New Roman"/>
          <w:color w:val="000000"/>
          <w:lang w:val="en-GB" w:eastAsia="de-DE"/>
        </w:rPr>
        <w:t xml:space="preserve"> using </w:t>
      </w:r>
      <w:r>
        <w:rPr>
          <w:rFonts w:eastAsia="Times New Roman"/>
          <w:color w:val="000000"/>
          <w:lang w:val="en-GB" w:eastAsia="de-DE"/>
        </w:rPr>
        <w:t xml:space="preserve">changes in soil organic carbon (SOC </w:t>
      </w:r>
      <w:r w:rsidR="00324942" w:rsidRPr="00EA5B5A">
        <w:rPr>
          <w:rFonts w:eastAsia="Times New Roman"/>
          <w:color w:val="000000"/>
          <w:lang w:val="en-GB" w:eastAsia="de-DE"/>
        </w:rPr>
        <w:t>data</w:t>
      </w:r>
      <w:r>
        <w:rPr>
          <w:rFonts w:eastAsia="Times New Roman"/>
          <w:color w:val="000000"/>
          <w:lang w:val="en-GB" w:eastAsia="de-DE"/>
        </w:rPr>
        <w:t>)</w:t>
      </w:r>
      <w:r w:rsidR="007B30D0" w:rsidRPr="00EA5B5A">
        <w:rPr>
          <w:rFonts w:eastAsia="Times New Roman"/>
          <w:color w:val="000000"/>
          <w:lang w:val="en-GB" w:eastAsia="de-DE"/>
        </w:rPr>
        <w:t xml:space="preserve"> </w:t>
      </w:r>
      <w:r>
        <w:rPr>
          <w:rFonts w:eastAsia="Times New Roman"/>
          <w:color w:val="000000"/>
          <w:lang w:val="en-GB" w:eastAsia="de-DE"/>
        </w:rPr>
        <w:t xml:space="preserve">for tropical soils </w:t>
      </w:r>
      <w:r w:rsidR="007B30D0" w:rsidRPr="00EA5B5A">
        <w:rPr>
          <w:rFonts w:eastAsia="Times New Roman"/>
          <w:color w:val="000000"/>
          <w:lang w:val="en-GB" w:eastAsia="de-DE"/>
        </w:rPr>
        <w:t xml:space="preserve">from Don et al. </w:t>
      </w:r>
      <w:r w:rsidR="00324942" w:rsidRPr="00EA5B5A">
        <w:rPr>
          <w:rFonts w:eastAsia="Times New Roman"/>
          <w:color w:val="000000"/>
          <w:lang w:val="en-GB" w:eastAsia="de-DE"/>
        </w:rPr>
        <w:lastRenderedPageBreak/>
        <w:t>(2011)</w:t>
      </w:r>
      <w:r w:rsidR="005658EB" w:rsidRPr="00EA5B5A">
        <w:rPr>
          <w:rFonts w:eastAsia="Times New Roman"/>
          <w:color w:val="000000"/>
          <w:lang w:val="en-GB" w:eastAsia="de-DE"/>
        </w:rPr>
        <w:t xml:space="preserve"> and</w:t>
      </w:r>
      <w:r w:rsidR="00324942" w:rsidRPr="00EA5B5A">
        <w:rPr>
          <w:rFonts w:eastAsia="Times New Roman"/>
          <w:color w:val="000000"/>
          <w:lang w:val="en-GB" w:eastAsia="de-DE"/>
        </w:rPr>
        <w:t xml:space="preserve"> </w:t>
      </w:r>
      <w:r w:rsidR="00324942" w:rsidRPr="00EA5B5A">
        <w:rPr>
          <w:lang w:val="en-GB"/>
        </w:rPr>
        <w:t>Hengl et al (2015)</w:t>
      </w:r>
      <w:r w:rsidR="005658EB" w:rsidRPr="00EA5B5A">
        <w:rPr>
          <w:lang w:val="en-GB"/>
        </w:rPr>
        <w:t>,</w:t>
      </w:r>
      <w:r w:rsidR="005658EB" w:rsidRPr="00EA5B5A">
        <w:rPr>
          <w:rFonts w:eastAsia="Times New Roman"/>
          <w:color w:val="000000"/>
          <w:lang w:val="en-GB" w:eastAsia="de-DE"/>
        </w:rPr>
        <w:t xml:space="preserve"> and spatially-explicit dataset on </w:t>
      </w:r>
      <w:r w:rsidRPr="00EA5B5A">
        <w:rPr>
          <w:rFonts w:eastAsia="Times New Roman"/>
          <w:color w:val="000000"/>
          <w:lang w:val="en-GB" w:eastAsia="de-DE"/>
        </w:rPr>
        <w:t xml:space="preserve">the extent of </w:t>
      </w:r>
      <w:r w:rsidR="005658EB" w:rsidRPr="00EA5B5A">
        <w:rPr>
          <w:rFonts w:eastAsia="Times New Roman"/>
          <w:color w:val="000000"/>
          <w:lang w:val="en-GB" w:eastAsia="de-DE"/>
        </w:rPr>
        <w:t>grazing lands by Velthuizen et al. (2007).</w:t>
      </w:r>
      <w:r w:rsidRPr="00EA5B5A">
        <w:rPr>
          <w:rFonts w:eastAsia="Times New Roman"/>
          <w:color w:val="000000"/>
          <w:lang w:val="en-GB" w:eastAsia="de-DE"/>
        </w:rPr>
        <w:t xml:space="preserve"> The data from Don et al. </w:t>
      </w:r>
      <w:r>
        <w:rPr>
          <w:rFonts w:eastAsia="Times New Roman"/>
          <w:color w:val="000000"/>
          <w:lang w:val="en-GB" w:eastAsia="de-DE"/>
        </w:rPr>
        <w:t>(2011) were derived from a comprehensive meta-analysis that collated land use conversions in tropical soils. The dataset does not differentiate crops grown in croplands and therefore we use</w:t>
      </w:r>
      <w:r w:rsidR="00BF23D3">
        <w:rPr>
          <w:rFonts w:eastAsia="Times New Roman"/>
          <w:color w:val="000000"/>
          <w:lang w:val="en-GB" w:eastAsia="de-DE"/>
        </w:rPr>
        <w:t>d</w:t>
      </w:r>
      <w:r>
        <w:rPr>
          <w:rFonts w:eastAsia="Times New Roman"/>
          <w:color w:val="000000"/>
          <w:lang w:val="en-GB" w:eastAsia="de-DE"/>
        </w:rPr>
        <w:t xml:space="preserve"> the same average loss of 6 tonnes of C per ha for the conversion of grasslands to generic cropland and apply it to the conversion of grazing land to cultivate Napier grass and maize. In practice, these land use conversions may differ on </w:t>
      </w:r>
      <w:r w:rsidR="00F90A35">
        <w:rPr>
          <w:rFonts w:eastAsia="Times New Roman"/>
          <w:color w:val="000000"/>
          <w:lang w:val="en-GB" w:eastAsia="de-DE"/>
        </w:rPr>
        <w:t>the cumulative C losses caused.</w:t>
      </w:r>
      <w:r>
        <w:rPr>
          <w:rFonts w:eastAsia="Times New Roman"/>
          <w:color w:val="000000"/>
          <w:lang w:val="en-GB" w:eastAsia="de-DE"/>
        </w:rPr>
        <w:t xml:space="preserve"> </w:t>
      </w:r>
      <w:r w:rsidR="00BF23D3">
        <w:rPr>
          <w:rFonts w:eastAsia="Times New Roman"/>
          <w:color w:val="000000"/>
          <w:lang w:val="en-GB" w:eastAsia="de-DE"/>
        </w:rPr>
        <w:t>We estimated maximum and minimum values for annual C loss (Table S2), and these were used to calculated emissions for land conversion, expressed as CO</w:t>
      </w:r>
      <w:r w:rsidR="00BF23D3" w:rsidRPr="00BF23D3">
        <w:rPr>
          <w:rFonts w:eastAsia="Times New Roman"/>
          <w:color w:val="000000"/>
          <w:vertAlign w:val="subscript"/>
          <w:lang w:val="en-GB" w:eastAsia="de-DE"/>
        </w:rPr>
        <w:t>2</w:t>
      </w:r>
      <w:r w:rsidR="00BF23D3">
        <w:rPr>
          <w:rFonts w:eastAsia="Times New Roman"/>
          <w:color w:val="000000"/>
          <w:lang w:val="en-GB" w:eastAsia="de-DE"/>
        </w:rPr>
        <w:t xml:space="preserve">eq. </w:t>
      </w:r>
      <w:r w:rsidR="00BF55E7" w:rsidRPr="00BF55E7">
        <w:rPr>
          <w:rFonts w:eastAsia="Times New Roman"/>
          <w:color w:val="000000"/>
          <w:lang w:val="en-GB" w:eastAsia="de-DE"/>
        </w:rPr>
        <w:t>We did not distinguish between conversion to Napier grass and maize cultivation. There are often differences between annual and pluri-annual crops in terms of C storage in the soil. However, our previous research in East Africa showed that fields that receive large amounts of organic fertilisers such as Napier grass fields, tend to have much larger non-CO</w:t>
      </w:r>
      <w:r w:rsidR="00BF55E7" w:rsidRPr="00BF55E7">
        <w:rPr>
          <w:rFonts w:eastAsia="Times New Roman"/>
          <w:color w:val="000000"/>
          <w:vertAlign w:val="subscript"/>
          <w:lang w:val="en-GB" w:eastAsia="de-DE"/>
        </w:rPr>
        <w:t>2</w:t>
      </w:r>
      <w:r w:rsidR="00BF55E7" w:rsidRPr="00BF55E7">
        <w:rPr>
          <w:rFonts w:eastAsia="Times New Roman"/>
          <w:color w:val="000000"/>
          <w:lang w:val="en-GB" w:eastAsia="de-DE"/>
        </w:rPr>
        <w:t xml:space="preserve"> GHG emissions than annual crops (Rosenstock et al 2016). So it is likely that the aggregated emissions of the conversion of these two crops are similar</w:t>
      </w:r>
      <w:r w:rsidR="00BF55E7">
        <w:rPr>
          <w:rFonts w:eastAsia="Times New Roman"/>
          <w:color w:val="000000"/>
          <w:lang w:val="en-GB" w:eastAsia="de-DE"/>
        </w:rPr>
        <w:t>, and therefore we assumed the same emission factors</w:t>
      </w:r>
      <w:r w:rsidR="00BF55E7" w:rsidRPr="00BF55E7">
        <w:rPr>
          <w:rFonts w:eastAsia="Times New Roman"/>
          <w:color w:val="000000"/>
          <w:lang w:val="en-GB" w:eastAsia="de-DE"/>
        </w:rPr>
        <w:t>.</w:t>
      </w:r>
    </w:p>
    <w:p w14:paraId="0DB39A99" w14:textId="7813AD8B" w:rsidR="00FE37B7" w:rsidRPr="00F90A35" w:rsidRDefault="00FE37B7" w:rsidP="00296641">
      <w:pPr>
        <w:pStyle w:val="Caption"/>
        <w:keepNext/>
        <w:spacing w:line="276" w:lineRule="auto"/>
        <w:rPr>
          <w:lang w:val="en-GB"/>
        </w:rPr>
      </w:pPr>
      <w:r w:rsidRPr="00EA5B5A">
        <w:rPr>
          <w:lang w:val="en-GB"/>
        </w:rPr>
        <w:t xml:space="preserve">Table </w:t>
      </w:r>
      <w:r w:rsidR="008A3FDF" w:rsidRPr="00EA5B5A">
        <w:rPr>
          <w:lang w:val="en-GB"/>
        </w:rPr>
        <w:t>S</w:t>
      </w:r>
      <w:r w:rsidR="00F90A35">
        <w:rPr>
          <w:lang w:val="en-GB"/>
        </w:rPr>
        <w:t>5</w:t>
      </w:r>
      <w:r w:rsidRPr="00EA5B5A">
        <w:rPr>
          <w:lang w:val="en-GB"/>
        </w:rPr>
        <w:t>: Data used to anal</w:t>
      </w:r>
      <w:r w:rsidR="00950B27" w:rsidRPr="00EA5B5A">
        <w:rPr>
          <w:lang w:val="en-GB"/>
        </w:rPr>
        <w:t>yse land requirements and shortage of available land</w:t>
      </w:r>
      <w:r w:rsidRPr="00EA5B5A">
        <w:rPr>
          <w:lang w:val="en-GB"/>
        </w:rPr>
        <w:t xml:space="preserve"> for feed improvement </w:t>
      </w:r>
      <w:r w:rsidRPr="00F90A35">
        <w:rPr>
          <w:lang w:val="en-GB"/>
        </w:rPr>
        <w:t>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352"/>
        <w:gridCol w:w="3021"/>
      </w:tblGrid>
      <w:tr w:rsidR="00FE37B7" w:rsidRPr="00703415" w14:paraId="41F06991" w14:textId="77777777" w:rsidTr="00B64518">
        <w:tc>
          <w:tcPr>
            <w:tcW w:w="2689" w:type="dxa"/>
            <w:tcBorders>
              <w:top w:val="single" w:sz="4" w:space="0" w:color="auto"/>
              <w:bottom w:val="single" w:sz="4" w:space="0" w:color="auto"/>
            </w:tcBorders>
          </w:tcPr>
          <w:p w14:paraId="3E3E8F9D" w14:textId="77777777" w:rsidR="00FE37B7" w:rsidRPr="00DF3317" w:rsidRDefault="00FE37B7" w:rsidP="009819E2">
            <w:r w:rsidRPr="00DF3317">
              <w:t>Data</w:t>
            </w:r>
          </w:p>
        </w:tc>
        <w:tc>
          <w:tcPr>
            <w:tcW w:w="3352" w:type="dxa"/>
            <w:tcBorders>
              <w:top w:val="single" w:sz="4" w:space="0" w:color="auto"/>
              <w:bottom w:val="single" w:sz="4" w:space="0" w:color="auto"/>
            </w:tcBorders>
          </w:tcPr>
          <w:p w14:paraId="01183E13" w14:textId="77777777" w:rsidR="00FE37B7" w:rsidRPr="00DF3317" w:rsidRDefault="00FE37B7" w:rsidP="009819E2">
            <w:r w:rsidRPr="00DF3317">
              <w:t>Type</w:t>
            </w:r>
          </w:p>
        </w:tc>
        <w:tc>
          <w:tcPr>
            <w:tcW w:w="3021" w:type="dxa"/>
            <w:tcBorders>
              <w:top w:val="single" w:sz="4" w:space="0" w:color="auto"/>
              <w:bottom w:val="single" w:sz="4" w:space="0" w:color="auto"/>
            </w:tcBorders>
          </w:tcPr>
          <w:p w14:paraId="1A120FAF" w14:textId="77777777" w:rsidR="00FE37B7" w:rsidRPr="00DF3317" w:rsidRDefault="00FE37B7" w:rsidP="009819E2">
            <w:r w:rsidRPr="00DF3317">
              <w:t>Reference</w:t>
            </w:r>
          </w:p>
        </w:tc>
      </w:tr>
      <w:tr w:rsidR="00FE37B7" w:rsidRPr="00703415" w14:paraId="4AE6551A" w14:textId="77777777" w:rsidTr="00B64518">
        <w:tc>
          <w:tcPr>
            <w:tcW w:w="2689" w:type="dxa"/>
            <w:tcBorders>
              <w:top w:val="single" w:sz="4" w:space="0" w:color="auto"/>
              <w:bottom w:val="single" w:sz="4" w:space="0" w:color="auto"/>
            </w:tcBorders>
          </w:tcPr>
          <w:p w14:paraId="3F0EBF79" w14:textId="77777777" w:rsidR="00FE37B7" w:rsidRPr="00703415" w:rsidRDefault="00FE37B7" w:rsidP="009819E2">
            <w:r w:rsidRPr="00703415">
              <w:t>Maize yields</w:t>
            </w:r>
          </w:p>
        </w:tc>
        <w:tc>
          <w:tcPr>
            <w:tcW w:w="3352" w:type="dxa"/>
            <w:tcBorders>
              <w:top w:val="single" w:sz="4" w:space="0" w:color="auto"/>
              <w:bottom w:val="single" w:sz="4" w:space="0" w:color="auto"/>
            </w:tcBorders>
          </w:tcPr>
          <w:p w14:paraId="33D45462" w14:textId="5CBF41A7" w:rsidR="00FE37B7" w:rsidRPr="00F90A35" w:rsidRDefault="00FE37B7" w:rsidP="009819E2">
            <w:pPr>
              <w:rPr>
                <w:lang w:val="en-GB"/>
              </w:rPr>
            </w:pPr>
            <w:r w:rsidRPr="00F90A35">
              <w:rPr>
                <w:lang w:val="en-GB"/>
              </w:rPr>
              <w:t>actual yields (Ya): literature and spatially explicit dataset with a grid cell resolution of 10x10 km (kg ha</w:t>
            </w:r>
            <w:r w:rsidRPr="00F90A35">
              <w:rPr>
                <w:vertAlign w:val="superscript"/>
                <w:lang w:val="en-GB"/>
              </w:rPr>
              <w:t xml:space="preserve">-1 </w:t>
            </w:r>
            <w:r w:rsidRPr="00F90A35">
              <w:rPr>
                <w:lang w:val="en-GB"/>
              </w:rPr>
              <w:t>yr</w:t>
            </w:r>
            <w:r w:rsidRPr="00F90A35">
              <w:rPr>
                <w:vertAlign w:val="superscript"/>
                <w:lang w:val="en-GB"/>
              </w:rPr>
              <w:t>-1</w:t>
            </w:r>
            <w:r w:rsidRPr="00F90A35">
              <w:rPr>
                <w:lang w:val="en-GB"/>
              </w:rPr>
              <w:t>)</w:t>
            </w:r>
            <w:r w:rsidR="00EC5DEB" w:rsidRPr="00F90A35">
              <w:rPr>
                <w:lang w:val="en-GB"/>
              </w:rPr>
              <w:t>;</w:t>
            </w:r>
          </w:p>
          <w:p w14:paraId="0ABE242D" w14:textId="12D22164" w:rsidR="00F90A35" w:rsidRPr="00F90A35" w:rsidRDefault="00F90A35" w:rsidP="009819E2">
            <w:pPr>
              <w:rPr>
                <w:lang w:val="en-GB"/>
              </w:rPr>
            </w:pPr>
            <w:r>
              <w:rPr>
                <w:lang w:val="en-GB"/>
              </w:rPr>
              <w:t>mean: 879±130 kg ha</w:t>
            </w:r>
            <w:r w:rsidRPr="00F90A35">
              <w:rPr>
                <w:vertAlign w:val="superscript"/>
                <w:lang w:val="en-GB"/>
              </w:rPr>
              <w:t>-1</w:t>
            </w:r>
          </w:p>
          <w:p w14:paraId="73B5FBC1" w14:textId="77777777" w:rsidR="00FE37B7" w:rsidRPr="00583FAA" w:rsidRDefault="00FE37B7" w:rsidP="009819E2">
            <w:pPr>
              <w:rPr>
                <w:lang w:val="en-GB"/>
              </w:rPr>
            </w:pPr>
            <w:r w:rsidRPr="00583FAA">
              <w:rPr>
                <w:lang w:val="en-GB"/>
              </w:rPr>
              <w:t>water-limited yield potentials (Yw): ‘Global Yield Gap Atlas’ (GYGA)</w:t>
            </w:r>
          </w:p>
        </w:tc>
        <w:tc>
          <w:tcPr>
            <w:tcW w:w="3021" w:type="dxa"/>
            <w:tcBorders>
              <w:top w:val="single" w:sz="4" w:space="0" w:color="auto"/>
              <w:bottom w:val="single" w:sz="4" w:space="0" w:color="auto"/>
            </w:tcBorders>
          </w:tcPr>
          <w:p w14:paraId="2788183F" w14:textId="77777777" w:rsidR="00FE37B7" w:rsidRPr="00703415" w:rsidRDefault="00FE37B7" w:rsidP="009819E2">
            <w:r w:rsidRPr="00A449BE">
              <w:t xml:space="preserve">Castellanos-Navarrete et al. (2015), Monfreda et al. (2008), Weiler et al. </w:t>
            </w:r>
            <w:r w:rsidRPr="00703415">
              <w:t>(2014)</w:t>
            </w:r>
          </w:p>
          <w:p w14:paraId="2B16E98D" w14:textId="77777777" w:rsidR="00FE37B7" w:rsidRPr="00703415" w:rsidRDefault="00FE37B7" w:rsidP="009819E2"/>
          <w:p w14:paraId="290A96B3" w14:textId="77777777" w:rsidR="00FE37B7" w:rsidRPr="00703415" w:rsidRDefault="00FE37B7" w:rsidP="009819E2"/>
          <w:p w14:paraId="164407A7" w14:textId="77777777" w:rsidR="00FE37B7" w:rsidRPr="00703415" w:rsidRDefault="00FE37B7" w:rsidP="009819E2">
            <w:r w:rsidRPr="00703415">
              <w:t>van Ittersum et al. (2013)</w:t>
            </w:r>
          </w:p>
        </w:tc>
      </w:tr>
      <w:tr w:rsidR="00FE37B7" w:rsidRPr="00703415" w14:paraId="1F17E1F8" w14:textId="77777777" w:rsidTr="00B64518">
        <w:tc>
          <w:tcPr>
            <w:tcW w:w="2689" w:type="dxa"/>
            <w:tcBorders>
              <w:top w:val="single" w:sz="4" w:space="0" w:color="auto"/>
              <w:bottom w:val="single" w:sz="4" w:space="0" w:color="auto"/>
            </w:tcBorders>
          </w:tcPr>
          <w:p w14:paraId="015BB292" w14:textId="77777777" w:rsidR="00FE37B7" w:rsidRPr="00703415" w:rsidRDefault="00FE37B7" w:rsidP="009819E2">
            <w:r w:rsidRPr="00703415">
              <w:t>Napier yields</w:t>
            </w:r>
          </w:p>
        </w:tc>
        <w:tc>
          <w:tcPr>
            <w:tcW w:w="3352" w:type="dxa"/>
            <w:tcBorders>
              <w:top w:val="single" w:sz="4" w:space="0" w:color="auto"/>
              <w:bottom w:val="single" w:sz="4" w:space="0" w:color="auto"/>
            </w:tcBorders>
          </w:tcPr>
          <w:p w14:paraId="15C2DCDD" w14:textId="77777777" w:rsidR="00FE37B7" w:rsidRDefault="00FE37B7" w:rsidP="009819E2">
            <w:r w:rsidRPr="00703415">
              <w:t>literature (kg ha</w:t>
            </w:r>
            <w:r w:rsidRPr="00703415">
              <w:rPr>
                <w:vertAlign w:val="superscript"/>
              </w:rPr>
              <w:t xml:space="preserve">-1 </w:t>
            </w:r>
            <w:r w:rsidRPr="00703415">
              <w:t>yr</w:t>
            </w:r>
            <w:r w:rsidRPr="00703415">
              <w:rPr>
                <w:vertAlign w:val="superscript"/>
              </w:rPr>
              <w:t>-1</w:t>
            </w:r>
            <w:r w:rsidRPr="00703415">
              <w:t>)</w:t>
            </w:r>
          </w:p>
          <w:p w14:paraId="4E577981" w14:textId="3B4F23B9" w:rsidR="00F90A35" w:rsidRPr="00F90A35" w:rsidRDefault="00F90A35" w:rsidP="00F90A35">
            <w:pPr>
              <w:rPr>
                <w:lang w:val="en-GB"/>
              </w:rPr>
            </w:pPr>
            <w:r>
              <w:rPr>
                <w:lang w:val="en-GB"/>
              </w:rPr>
              <w:t>mean: 1221±325 kg ha</w:t>
            </w:r>
            <w:r w:rsidRPr="00F90A35">
              <w:rPr>
                <w:vertAlign w:val="superscript"/>
                <w:lang w:val="en-GB"/>
              </w:rPr>
              <w:t>-1</w:t>
            </w:r>
          </w:p>
          <w:p w14:paraId="35DE42A3" w14:textId="651C9D13" w:rsidR="00F90A35" w:rsidRPr="00703415" w:rsidRDefault="00F90A35" w:rsidP="009819E2"/>
        </w:tc>
        <w:tc>
          <w:tcPr>
            <w:tcW w:w="3021" w:type="dxa"/>
            <w:tcBorders>
              <w:top w:val="single" w:sz="4" w:space="0" w:color="auto"/>
              <w:bottom w:val="single" w:sz="4" w:space="0" w:color="auto"/>
            </w:tcBorders>
          </w:tcPr>
          <w:p w14:paraId="2AAF3884" w14:textId="77777777" w:rsidR="00FE37B7" w:rsidRPr="00703415" w:rsidRDefault="00FE37B7" w:rsidP="009819E2">
            <w:r w:rsidRPr="006C68FE">
              <w:rPr>
                <w:lang w:val="fr-FR"/>
              </w:rPr>
              <w:t xml:space="preserve">Katiku et al. (2011), Weiler et al. (2014), Castellanos-Navarrete et al. </w:t>
            </w:r>
            <w:r w:rsidRPr="00703415">
              <w:t>(2015)</w:t>
            </w:r>
          </w:p>
        </w:tc>
      </w:tr>
      <w:tr w:rsidR="00FE37B7" w:rsidRPr="00703415" w14:paraId="137F42F6" w14:textId="77777777" w:rsidTr="00B64518">
        <w:tc>
          <w:tcPr>
            <w:tcW w:w="2689" w:type="dxa"/>
            <w:tcBorders>
              <w:top w:val="single" w:sz="4" w:space="0" w:color="auto"/>
              <w:bottom w:val="single" w:sz="4" w:space="0" w:color="auto"/>
            </w:tcBorders>
          </w:tcPr>
          <w:p w14:paraId="72449B8A" w14:textId="77777777" w:rsidR="00FE37B7" w:rsidRPr="00703415" w:rsidRDefault="00FE37B7" w:rsidP="009819E2">
            <w:r w:rsidRPr="00703415">
              <w:t>Feed intake</w:t>
            </w:r>
          </w:p>
        </w:tc>
        <w:tc>
          <w:tcPr>
            <w:tcW w:w="3352" w:type="dxa"/>
            <w:tcBorders>
              <w:top w:val="single" w:sz="4" w:space="0" w:color="auto"/>
              <w:bottom w:val="single" w:sz="4" w:space="0" w:color="auto"/>
            </w:tcBorders>
          </w:tcPr>
          <w:p w14:paraId="49859576" w14:textId="77777777" w:rsidR="00FE37B7" w:rsidRPr="00583FAA" w:rsidRDefault="00FE37B7" w:rsidP="009819E2">
            <w:pPr>
              <w:rPr>
                <w:lang w:val="en-GB"/>
              </w:rPr>
            </w:pPr>
            <w:r w:rsidRPr="00583FAA">
              <w:rPr>
                <w:lang w:val="en-GB"/>
              </w:rPr>
              <w:t>literature (kg TLU</w:t>
            </w:r>
            <w:r w:rsidRPr="00583FAA">
              <w:rPr>
                <w:vertAlign w:val="superscript"/>
                <w:lang w:val="en-GB"/>
              </w:rPr>
              <w:t>-1</w:t>
            </w:r>
            <w:r w:rsidRPr="00583FAA">
              <w:rPr>
                <w:lang w:val="en-GB"/>
              </w:rPr>
              <w:t xml:space="preserve"> yr</w:t>
            </w:r>
            <w:r w:rsidRPr="00583FAA">
              <w:rPr>
                <w:vertAlign w:val="superscript"/>
                <w:lang w:val="en-GB"/>
              </w:rPr>
              <w:t>-1</w:t>
            </w:r>
            <w:r w:rsidRPr="00583FAA">
              <w:rPr>
                <w:lang w:val="en-GB"/>
              </w:rPr>
              <w:t>)</w:t>
            </w:r>
          </w:p>
          <w:p w14:paraId="4D100307" w14:textId="4C6220D0" w:rsidR="00F90A35" w:rsidRPr="00583FAA" w:rsidRDefault="00F90A35" w:rsidP="009819E2">
            <w:pPr>
              <w:rPr>
                <w:lang w:val="en-GB"/>
              </w:rPr>
            </w:pPr>
            <w:r w:rsidRPr="00583FAA">
              <w:rPr>
                <w:lang w:val="en-GB"/>
              </w:rPr>
              <w:t xml:space="preserve">reported in Table 3 </w:t>
            </w:r>
          </w:p>
        </w:tc>
        <w:tc>
          <w:tcPr>
            <w:tcW w:w="3021" w:type="dxa"/>
            <w:tcBorders>
              <w:top w:val="single" w:sz="4" w:space="0" w:color="auto"/>
              <w:bottom w:val="single" w:sz="4" w:space="0" w:color="auto"/>
            </w:tcBorders>
          </w:tcPr>
          <w:p w14:paraId="7A511428" w14:textId="77777777" w:rsidR="00FE37B7" w:rsidRPr="00703415" w:rsidRDefault="00FE37B7" w:rsidP="009819E2">
            <w:r w:rsidRPr="006C68FE">
              <w:rPr>
                <w:lang w:val="es-ES"/>
              </w:rPr>
              <w:t xml:space="preserve">Rufino et al. (2009), Katiku et al. (2011), Herrero et al. </w:t>
            </w:r>
            <w:r w:rsidRPr="00A449BE">
              <w:t xml:space="preserve">(2013), Weiler et al. </w:t>
            </w:r>
            <w:r w:rsidRPr="00703415">
              <w:t>(2014), Castellanos-Navarrete et al. (2015)</w:t>
            </w:r>
          </w:p>
        </w:tc>
      </w:tr>
      <w:tr w:rsidR="00FE37B7" w:rsidRPr="00703415" w14:paraId="2F0E94B2" w14:textId="77777777" w:rsidTr="00B64518">
        <w:tc>
          <w:tcPr>
            <w:tcW w:w="2689" w:type="dxa"/>
            <w:tcBorders>
              <w:top w:val="single" w:sz="4" w:space="0" w:color="auto"/>
              <w:bottom w:val="single" w:sz="4" w:space="0" w:color="auto"/>
            </w:tcBorders>
          </w:tcPr>
          <w:p w14:paraId="143897BC" w14:textId="77777777" w:rsidR="00FE37B7" w:rsidRPr="00703415" w:rsidRDefault="00FE37B7" w:rsidP="009819E2">
            <w:r w:rsidRPr="00703415">
              <w:t>Dairy cattle density</w:t>
            </w:r>
          </w:p>
        </w:tc>
        <w:tc>
          <w:tcPr>
            <w:tcW w:w="3352" w:type="dxa"/>
            <w:tcBorders>
              <w:top w:val="single" w:sz="4" w:space="0" w:color="auto"/>
              <w:bottom w:val="single" w:sz="4" w:space="0" w:color="auto"/>
            </w:tcBorders>
          </w:tcPr>
          <w:p w14:paraId="5A21BBE5" w14:textId="77777777" w:rsidR="00FE37B7" w:rsidRPr="00583FAA" w:rsidRDefault="00FE37B7" w:rsidP="009819E2">
            <w:pPr>
              <w:rPr>
                <w:lang w:val="en-GB"/>
              </w:rPr>
            </w:pPr>
            <w:r w:rsidRPr="00583FAA">
              <w:rPr>
                <w:lang w:val="en-GB"/>
              </w:rPr>
              <w:t>tabular data at county level (%), spatially explicit dataset with a grid cell resolution of 1 x 1 km (TLU km</w:t>
            </w:r>
            <w:r w:rsidRPr="00583FAA">
              <w:rPr>
                <w:vertAlign w:val="superscript"/>
                <w:lang w:val="en-GB"/>
              </w:rPr>
              <w:t>-2</w:t>
            </w:r>
            <w:r w:rsidRPr="00583FAA">
              <w:rPr>
                <w:lang w:val="en-GB"/>
              </w:rPr>
              <w:t>)</w:t>
            </w:r>
          </w:p>
        </w:tc>
        <w:tc>
          <w:tcPr>
            <w:tcW w:w="3021" w:type="dxa"/>
            <w:tcBorders>
              <w:top w:val="single" w:sz="4" w:space="0" w:color="auto"/>
              <w:bottom w:val="single" w:sz="4" w:space="0" w:color="auto"/>
            </w:tcBorders>
          </w:tcPr>
          <w:p w14:paraId="5B322DA9" w14:textId="77777777" w:rsidR="00FE37B7" w:rsidRPr="00703415" w:rsidRDefault="00FE37B7" w:rsidP="009819E2">
            <w:r w:rsidRPr="00583FAA">
              <w:rPr>
                <w:lang w:val="en-GB"/>
              </w:rPr>
              <w:t xml:space="preserve">Government of Kenya (2014), Robinson et al. </w:t>
            </w:r>
            <w:r w:rsidRPr="00703415">
              <w:t>(2014)</w:t>
            </w:r>
          </w:p>
        </w:tc>
      </w:tr>
      <w:tr w:rsidR="00FE37B7" w:rsidRPr="00703415" w14:paraId="67F467F9" w14:textId="77777777" w:rsidTr="00B64518">
        <w:tc>
          <w:tcPr>
            <w:tcW w:w="2689" w:type="dxa"/>
            <w:tcBorders>
              <w:top w:val="single" w:sz="4" w:space="0" w:color="auto"/>
              <w:bottom w:val="single" w:sz="4" w:space="0" w:color="auto"/>
            </w:tcBorders>
          </w:tcPr>
          <w:p w14:paraId="5D6B4482" w14:textId="77777777" w:rsidR="00FE37B7" w:rsidRPr="00703415" w:rsidRDefault="00FE37B7" w:rsidP="009819E2">
            <w:r w:rsidRPr="00703415">
              <w:t>Grazing land</w:t>
            </w:r>
          </w:p>
        </w:tc>
        <w:tc>
          <w:tcPr>
            <w:tcW w:w="3352" w:type="dxa"/>
            <w:tcBorders>
              <w:top w:val="single" w:sz="4" w:space="0" w:color="auto"/>
              <w:bottom w:val="single" w:sz="4" w:space="0" w:color="auto"/>
            </w:tcBorders>
          </w:tcPr>
          <w:p w14:paraId="773012E1" w14:textId="77777777" w:rsidR="00FE37B7" w:rsidRPr="00F90A35" w:rsidRDefault="00FE37B7" w:rsidP="009819E2">
            <w:pPr>
              <w:rPr>
                <w:lang w:val="en-GB"/>
              </w:rPr>
            </w:pPr>
            <w:r w:rsidRPr="00F90A35">
              <w:rPr>
                <w:lang w:val="en-GB"/>
              </w:rPr>
              <w:t>Spatially explicit dataset with a grid cell resolution of 10 x 10 km (ha km</w:t>
            </w:r>
            <w:r w:rsidRPr="00F90A35">
              <w:rPr>
                <w:vertAlign w:val="superscript"/>
                <w:lang w:val="en-GB"/>
              </w:rPr>
              <w:t>-2</w:t>
            </w:r>
            <w:r w:rsidRPr="00F90A35">
              <w:rPr>
                <w:lang w:val="en-GB"/>
              </w:rPr>
              <w:t>)</w:t>
            </w:r>
          </w:p>
        </w:tc>
        <w:tc>
          <w:tcPr>
            <w:tcW w:w="3021" w:type="dxa"/>
            <w:tcBorders>
              <w:top w:val="single" w:sz="4" w:space="0" w:color="auto"/>
              <w:bottom w:val="single" w:sz="4" w:space="0" w:color="auto"/>
            </w:tcBorders>
          </w:tcPr>
          <w:p w14:paraId="0A5131E9" w14:textId="77777777" w:rsidR="00FE37B7" w:rsidRPr="00703415" w:rsidRDefault="00FE37B7" w:rsidP="009819E2">
            <w:r w:rsidRPr="00703415">
              <w:t>Velthuizen et al. (2007)</w:t>
            </w:r>
          </w:p>
        </w:tc>
      </w:tr>
    </w:tbl>
    <w:p w14:paraId="39A56156" w14:textId="4145FD52" w:rsidR="004F2D11" w:rsidRDefault="004F2D11"/>
    <w:p w14:paraId="351400DE" w14:textId="191DEE06" w:rsidR="00D56E44" w:rsidRDefault="00D56E44"/>
    <w:p w14:paraId="2C412E61" w14:textId="77777777" w:rsidR="00D56E44" w:rsidRDefault="00D56E44"/>
    <w:p w14:paraId="0BAB8D46" w14:textId="2BD94A5B" w:rsidR="00B81F25" w:rsidRPr="00522106" w:rsidRDefault="00B81F25" w:rsidP="00F707C0">
      <w:pPr>
        <w:rPr>
          <w:b/>
          <w:lang w:val="en-GB"/>
        </w:rPr>
      </w:pPr>
      <w:r w:rsidRPr="00522106">
        <w:rPr>
          <w:b/>
          <w:lang w:val="en-GB"/>
        </w:rPr>
        <w:lastRenderedPageBreak/>
        <w:t xml:space="preserve">5. </w:t>
      </w:r>
      <w:r w:rsidR="00AF2637" w:rsidRPr="00522106">
        <w:rPr>
          <w:b/>
          <w:lang w:val="en-GB"/>
        </w:rPr>
        <w:t>GHG emissions from feed scenarios</w:t>
      </w:r>
      <w:r w:rsidR="00522106">
        <w:rPr>
          <w:b/>
          <w:lang w:val="en-GB"/>
        </w:rPr>
        <w:t xml:space="preserve"> for the whole dairy sector</w:t>
      </w:r>
    </w:p>
    <w:p w14:paraId="4B474E86" w14:textId="290C54D1" w:rsidR="00B81F25" w:rsidRPr="00F90A35" w:rsidRDefault="00B81F25" w:rsidP="00B81F25">
      <w:pPr>
        <w:pStyle w:val="Caption"/>
        <w:keepNext/>
        <w:rPr>
          <w:lang w:val="en-GB"/>
        </w:rPr>
      </w:pPr>
      <w:r w:rsidRPr="00F90A35">
        <w:rPr>
          <w:lang w:val="en-GB"/>
        </w:rPr>
        <w:t>Table S</w:t>
      </w:r>
      <w:r w:rsidR="00F90A35" w:rsidRPr="00F90A35">
        <w:rPr>
          <w:lang w:val="en-GB"/>
        </w:rPr>
        <w:t>6</w:t>
      </w:r>
      <w:r w:rsidRPr="00F90A35">
        <w:rPr>
          <w:lang w:val="en-GB"/>
        </w:rPr>
        <w:t xml:space="preserve">: </w:t>
      </w:r>
      <w:r w:rsidR="004D1D94" w:rsidRPr="00F90A35">
        <w:rPr>
          <w:lang w:val="en-GB"/>
        </w:rPr>
        <w:t>GHG emissions per</w:t>
      </w:r>
      <w:r w:rsidR="009E3F38" w:rsidRPr="00F90A35">
        <w:rPr>
          <w:lang w:val="en-GB"/>
        </w:rPr>
        <w:t xml:space="preserve"> emission</w:t>
      </w:r>
      <w:r w:rsidR="004D1D94" w:rsidRPr="00F90A35">
        <w:rPr>
          <w:lang w:val="en-GB"/>
        </w:rPr>
        <w:t xml:space="preserve"> source and scenario as shown in Fig 5A.</w:t>
      </w:r>
      <w:r w:rsidR="00522106">
        <w:rPr>
          <w:lang w:val="en-GB"/>
        </w:rPr>
        <w:t xml:space="preserve"> Emissions from each scenario are the aggregated emissions for all livestock production systems. Land to cultivate feeds include existing land allocated to cultivate Napier grass and maize, and converted grasslands</w:t>
      </w:r>
      <w:r w:rsidR="00DF3317">
        <w:rPr>
          <w:lang w:val="en-GB"/>
        </w:rPr>
        <w:t xml:space="preserve">, </w:t>
      </w:r>
      <w:r w:rsidR="00522106">
        <w:rPr>
          <w:lang w:val="en-GB"/>
        </w:rPr>
        <w:t xml:space="preserve">which result from land shortages. </w:t>
      </w: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560"/>
        <w:gridCol w:w="1417"/>
        <w:gridCol w:w="1427"/>
        <w:gridCol w:w="1266"/>
        <w:gridCol w:w="1276"/>
        <w:gridCol w:w="1417"/>
        <w:gridCol w:w="1277"/>
      </w:tblGrid>
      <w:tr w:rsidR="00B64518" w:rsidRPr="00D56E44" w14:paraId="4BA87715" w14:textId="77777777" w:rsidTr="00B64518">
        <w:trPr>
          <w:trHeight w:val="300"/>
        </w:trPr>
        <w:tc>
          <w:tcPr>
            <w:tcW w:w="1560" w:type="dxa"/>
            <w:tcBorders>
              <w:top w:val="single" w:sz="4" w:space="0" w:color="auto"/>
              <w:bottom w:val="single" w:sz="4" w:space="0" w:color="auto"/>
            </w:tcBorders>
            <w:noWrap/>
            <w:hideMark/>
          </w:tcPr>
          <w:p w14:paraId="48AEB62E" w14:textId="77777777" w:rsidR="00B64518" w:rsidRPr="00522106" w:rsidRDefault="00B64518">
            <w:pPr>
              <w:rPr>
                <w:lang w:val="en-GB"/>
              </w:rPr>
            </w:pPr>
          </w:p>
        </w:tc>
        <w:tc>
          <w:tcPr>
            <w:tcW w:w="1417" w:type="dxa"/>
            <w:tcBorders>
              <w:top w:val="single" w:sz="4" w:space="0" w:color="auto"/>
              <w:bottom w:val="single" w:sz="4" w:space="0" w:color="auto"/>
            </w:tcBorders>
            <w:noWrap/>
            <w:hideMark/>
          </w:tcPr>
          <w:p w14:paraId="718FDAAD" w14:textId="610607A6" w:rsidR="00B64518" w:rsidRPr="00522106" w:rsidRDefault="00B64518" w:rsidP="00522106">
            <w:pPr>
              <w:jc w:val="center"/>
            </w:pPr>
            <w:r w:rsidRPr="00522106">
              <w:t>Emissions from enteric fermentation</w:t>
            </w:r>
          </w:p>
        </w:tc>
        <w:tc>
          <w:tcPr>
            <w:tcW w:w="1427" w:type="dxa"/>
            <w:tcBorders>
              <w:top w:val="single" w:sz="4" w:space="0" w:color="auto"/>
              <w:bottom w:val="single" w:sz="4" w:space="0" w:color="auto"/>
            </w:tcBorders>
            <w:noWrap/>
            <w:hideMark/>
          </w:tcPr>
          <w:p w14:paraId="36C50221" w14:textId="04F5FBA4" w:rsidR="00B64518" w:rsidRPr="00522106" w:rsidRDefault="00B64518" w:rsidP="00522106">
            <w:pPr>
              <w:jc w:val="center"/>
            </w:pPr>
            <w:r w:rsidRPr="00522106">
              <w:t>Emissions from manure management</w:t>
            </w:r>
          </w:p>
        </w:tc>
        <w:tc>
          <w:tcPr>
            <w:tcW w:w="1266" w:type="dxa"/>
            <w:tcBorders>
              <w:top w:val="single" w:sz="4" w:space="0" w:color="auto"/>
              <w:bottom w:val="single" w:sz="4" w:space="0" w:color="auto"/>
            </w:tcBorders>
            <w:noWrap/>
            <w:hideMark/>
          </w:tcPr>
          <w:p w14:paraId="3EEF7964" w14:textId="5C842CB8" w:rsidR="00B64518" w:rsidRPr="00522106" w:rsidRDefault="00B64518" w:rsidP="00522106">
            <w:pPr>
              <w:jc w:val="center"/>
            </w:pPr>
            <w:r w:rsidRPr="00522106">
              <w:t>Emissions from feed cultivation</w:t>
            </w:r>
          </w:p>
        </w:tc>
        <w:tc>
          <w:tcPr>
            <w:tcW w:w="1276" w:type="dxa"/>
            <w:tcBorders>
              <w:top w:val="single" w:sz="4" w:space="0" w:color="auto"/>
              <w:bottom w:val="single" w:sz="4" w:space="0" w:color="auto"/>
            </w:tcBorders>
          </w:tcPr>
          <w:p w14:paraId="3455190F" w14:textId="77777777" w:rsidR="00B64518" w:rsidRPr="00522106" w:rsidRDefault="00B64518" w:rsidP="00522106">
            <w:pPr>
              <w:jc w:val="center"/>
            </w:pPr>
            <w:r w:rsidRPr="00522106">
              <w:t>Converted grasslands</w:t>
            </w:r>
          </w:p>
          <w:p w14:paraId="7B5E80FF" w14:textId="67E99187" w:rsidR="00B64518" w:rsidRPr="00522106" w:rsidRDefault="00B64518" w:rsidP="00522106">
            <w:pPr>
              <w:jc w:val="center"/>
            </w:pPr>
          </w:p>
        </w:tc>
        <w:tc>
          <w:tcPr>
            <w:tcW w:w="1417" w:type="dxa"/>
            <w:tcBorders>
              <w:top w:val="single" w:sz="4" w:space="0" w:color="auto"/>
              <w:bottom w:val="single" w:sz="4" w:space="0" w:color="auto"/>
            </w:tcBorders>
            <w:noWrap/>
            <w:hideMark/>
          </w:tcPr>
          <w:p w14:paraId="0410BD29" w14:textId="17C9C238" w:rsidR="00B64518" w:rsidRPr="00522106" w:rsidRDefault="00B64518" w:rsidP="00522106">
            <w:pPr>
              <w:jc w:val="center"/>
              <w:rPr>
                <w:lang w:val="en-GB"/>
              </w:rPr>
            </w:pPr>
            <w:r w:rsidRPr="00522106">
              <w:rPr>
                <w:lang w:val="en-GB"/>
              </w:rPr>
              <w:t>Emissions from land use change</w:t>
            </w:r>
          </w:p>
        </w:tc>
        <w:tc>
          <w:tcPr>
            <w:tcW w:w="1277" w:type="dxa"/>
            <w:tcBorders>
              <w:top w:val="single" w:sz="4" w:space="0" w:color="auto"/>
              <w:bottom w:val="single" w:sz="4" w:space="0" w:color="auto"/>
            </w:tcBorders>
            <w:noWrap/>
            <w:hideMark/>
          </w:tcPr>
          <w:p w14:paraId="11357A7B" w14:textId="1453B4E5" w:rsidR="00B64518" w:rsidRPr="00522106" w:rsidRDefault="00B64518" w:rsidP="00522106">
            <w:pPr>
              <w:jc w:val="center"/>
              <w:rPr>
                <w:lang w:val="en-GB"/>
              </w:rPr>
            </w:pPr>
            <w:r w:rsidRPr="00522106">
              <w:rPr>
                <w:lang w:val="en-GB"/>
              </w:rPr>
              <w:t>Emissions from forest C change</w:t>
            </w:r>
          </w:p>
        </w:tc>
      </w:tr>
      <w:tr w:rsidR="00B64518" w:rsidRPr="00F90A35" w14:paraId="31E7AB56" w14:textId="77777777" w:rsidTr="00B64518">
        <w:trPr>
          <w:trHeight w:val="300"/>
        </w:trPr>
        <w:tc>
          <w:tcPr>
            <w:tcW w:w="1560" w:type="dxa"/>
            <w:tcBorders>
              <w:top w:val="single" w:sz="4" w:space="0" w:color="auto"/>
              <w:bottom w:val="single" w:sz="4" w:space="0" w:color="auto"/>
            </w:tcBorders>
            <w:noWrap/>
          </w:tcPr>
          <w:p w14:paraId="78AC4DA8" w14:textId="77777777" w:rsidR="00B64518" w:rsidRPr="00F90A35" w:rsidRDefault="00B64518">
            <w:pPr>
              <w:rPr>
                <w:lang w:val="en-GB"/>
              </w:rPr>
            </w:pPr>
          </w:p>
        </w:tc>
        <w:tc>
          <w:tcPr>
            <w:tcW w:w="4110" w:type="dxa"/>
            <w:gridSpan w:val="3"/>
            <w:tcBorders>
              <w:top w:val="single" w:sz="4" w:space="0" w:color="auto"/>
              <w:bottom w:val="single" w:sz="4" w:space="0" w:color="auto"/>
            </w:tcBorders>
            <w:noWrap/>
          </w:tcPr>
          <w:p w14:paraId="661C44D3" w14:textId="26D476BD" w:rsidR="00B64518" w:rsidRPr="00B64518" w:rsidRDefault="00B64518" w:rsidP="00B64518">
            <w:pPr>
              <w:jc w:val="center"/>
              <w:rPr>
                <w:sz w:val="20"/>
                <w:szCs w:val="20"/>
              </w:rPr>
            </w:pPr>
            <w:r w:rsidRPr="00B64518">
              <w:rPr>
                <w:sz w:val="20"/>
                <w:szCs w:val="20"/>
                <w:lang w:val="en-GB"/>
              </w:rPr>
              <w:t>Mg CO</w:t>
            </w:r>
            <w:r w:rsidRPr="00B64518">
              <w:rPr>
                <w:sz w:val="20"/>
                <w:szCs w:val="20"/>
                <w:vertAlign w:val="subscript"/>
                <w:lang w:val="en-GB"/>
              </w:rPr>
              <w:t>2</w:t>
            </w:r>
            <w:r w:rsidRPr="00B64518">
              <w:rPr>
                <w:sz w:val="20"/>
                <w:szCs w:val="20"/>
                <w:lang w:val="en-GB"/>
              </w:rPr>
              <w:t>eq yr</w:t>
            </w:r>
            <w:r w:rsidRPr="00B64518">
              <w:rPr>
                <w:sz w:val="20"/>
                <w:szCs w:val="20"/>
                <w:vertAlign w:val="superscript"/>
                <w:lang w:val="en-GB"/>
              </w:rPr>
              <w:t>-1</w:t>
            </w:r>
          </w:p>
        </w:tc>
        <w:tc>
          <w:tcPr>
            <w:tcW w:w="1276" w:type="dxa"/>
            <w:tcBorders>
              <w:top w:val="single" w:sz="4" w:space="0" w:color="auto"/>
              <w:bottom w:val="single" w:sz="4" w:space="0" w:color="auto"/>
            </w:tcBorders>
          </w:tcPr>
          <w:p w14:paraId="65893EB2" w14:textId="559F0332" w:rsidR="00B64518" w:rsidRPr="00B64518" w:rsidRDefault="00B64518" w:rsidP="00DF3317">
            <w:pPr>
              <w:jc w:val="center"/>
              <w:rPr>
                <w:sz w:val="20"/>
                <w:szCs w:val="20"/>
              </w:rPr>
            </w:pPr>
            <w:r w:rsidRPr="00B64518">
              <w:rPr>
                <w:sz w:val="20"/>
                <w:szCs w:val="20"/>
              </w:rPr>
              <w:t>h</w:t>
            </w:r>
            <w:r w:rsidR="00DF3317">
              <w:rPr>
                <w:sz w:val="20"/>
                <w:szCs w:val="20"/>
              </w:rPr>
              <w:t>ectares</w:t>
            </w:r>
          </w:p>
        </w:tc>
        <w:tc>
          <w:tcPr>
            <w:tcW w:w="2694" w:type="dxa"/>
            <w:gridSpan w:val="2"/>
            <w:tcBorders>
              <w:top w:val="single" w:sz="4" w:space="0" w:color="auto"/>
              <w:bottom w:val="single" w:sz="4" w:space="0" w:color="auto"/>
            </w:tcBorders>
            <w:noWrap/>
          </w:tcPr>
          <w:p w14:paraId="293A053D" w14:textId="18B64F9B" w:rsidR="00B64518" w:rsidRPr="00B64518" w:rsidRDefault="00B64518" w:rsidP="00B64518">
            <w:pPr>
              <w:jc w:val="center"/>
              <w:rPr>
                <w:b/>
                <w:sz w:val="20"/>
                <w:szCs w:val="20"/>
                <w:lang w:val="en-GB"/>
              </w:rPr>
            </w:pPr>
            <w:r w:rsidRPr="00B64518">
              <w:rPr>
                <w:sz w:val="20"/>
                <w:szCs w:val="20"/>
                <w:lang w:val="en-GB"/>
              </w:rPr>
              <w:t>Mg CO</w:t>
            </w:r>
            <w:r w:rsidRPr="00B64518">
              <w:rPr>
                <w:sz w:val="20"/>
                <w:szCs w:val="20"/>
                <w:vertAlign w:val="subscript"/>
                <w:lang w:val="en-GB"/>
              </w:rPr>
              <w:t>2</w:t>
            </w:r>
            <w:r w:rsidRPr="00B64518">
              <w:rPr>
                <w:sz w:val="20"/>
                <w:szCs w:val="20"/>
                <w:lang w:val="en-GB"/>
              </w:rPr>
              <w:t>eq yr</w:t>
            </w:r>
            <w:r w:rsidRPr="00B64518">
              <w:rPr>
                <w:sz w:val="20"/>
                <w:szCs w:val="20"/>
                <w:vertAlign w:val="superscript"/>
                <w:lang w:val="en-GB"/>
              </w:rPr>
              <w:t>-1</w:t>
            </w:r>
          </w:p>
        </w:tc>
      </w:tr>
      <w:tr w:rsidR="00B64518" w:rsidRPr="00B81F25" w14:paraId="1F7DB3C6" w14:textId="77777777" w:rsidTr="00B64518">
        <w:trPr>
          <w:trHeight w:val="300"/>
        </w:trPr>
        <w:tc>
          <w:tcPr>
            <w:tcW w:w="1560" w:type="dxa"/>
            <w:tcBorders>
              <w:top w:val="single" w:sz="4" w:space="0" w:color="auto"/>
            </w:tcBorders>
            <w:noWrap/>
            <w:hideMark/>
          </w:tcPr>
          <w:p w14:paraId="18ED3586" w14:textId="17DA80C5" w:rsidR="00B64518" w:rsidRPr="00B81F25" w:rsidRDefault="00B64518" w:rsidP="0021400D">
            <w:r>
              <w:t>B</w:t>
            </w:r>
            <w:r w:rsidRPr="00B81F25">
              <w:t>aseline</w:t>
            </w:r>
          </w:p>
        </w:tc>
        <w:tc>
          <w:tcPr>
            <w:tcW w:w="1417" w:type="dxa"/>
            <w:tcBorders>
              <w:top w:val="single" w:sz="4" w:space="0" w:color="auto"/>
            </w:tcBorders>
            <w:noWrap/>
            <w:hideMark/>
          </w:tcPr>
          <w:p w14:paraId="5F2B27CD" w14:textId="6C7448C6" w:rsidR="00B64518" w:rsidRPr="00B81F25" w:rsidRDefault="00B64518" w:rsidP="0021400D">
            <w:pPr>
              <w:jc w:val="right"/>
            </w:pPr>
            <w:r w:rsidRPr="00B81F25">
              <w:t>28</w:t>
            </w:r>
            <w:r>
              <w:t>,</w:t>
            </w:r>
            <w:r w:rsidRPr="00B81F25">
              <w:t>76</w:t>
            </w:r>
            <w:r>
              <w:t>4</w:t>
            </w:r>
          </w:p>
        </w:tc>
        <w:tc>
          <w:tcPr>
            <w:tcW w:w="1427" w:type="dxa"/>
            <w:tcBorders>
              <w:top w:val="single" w:sz="4" w:space="0" w:color="auto"/>
            </w:tcBorders>
            <w:noWrap/>
            <w:hideMark/>
          </w:tcPr>
          <w:p w14:paraId="15A2C050" w14:textId="4418CC1D" w:rsidR="00B64518" w:rsidRPr="00B81F25" w:rsidRDefault="00B64518" w:rsidP="0021400D">
            <w:pPr>
              <w:jc w:val="right"/>
            </w:pPr>
            <w:r w:rsidRPr="00B81F25">
              <w:t>3</w:t>
            </w:r>
            <w:r>
              <w:t>,</w:t>
            </w:r>
            <w:r w:rsidRPr="00B81F25">
              <w:t>8</w:t>
            </w:r>
            <w:r>
              <w:t>90</w:t>
            </w:r>
          </w:p>
        </w:tc>
        <w:tc>
          <w:tcPr>
            <w:tcW w:w="1266" w:type="dxa"/>
            <w:tcBorders>
              <w:top w:val="single" w:sz="4" w:space="0" w:color="auto"/>
            </w:tcBorders>
            <w:noWrap/>
            <w:hideMark/>
          </w:tcPr>
          <w:p w14:paraId="1FB87290" w14:textId="065B5BDD" w:rsidR="00B64518" w:rsidRPr="00B81F25" w:rsidRDefault="00B64518" w:rsidP="0021400D">
            <w:pPr>
              <w:jc w:val="right"/>
            </w:pPr>
            <w:r w:rsidRPr="00B81F25">
              <w:t>3</w:t>
            </w:r>
            <w:r>
              <w:t>,</w:t>
            </w:r>
            <w:r w:rsidRPr="00B81F25">
              <w:t>23</w:t>
            </w:r>
            <w:r>
              <w:t>4</w:t>
            </w:r>
          </w:p>
        </w:tc>
        <w:tc>
          <w:tcPr>
            <w:tcW w:w="1276" w:type="dxa"/>
            <w:tcBorders>
              <w:top w:val="single" w:sz="4" w:space="0" w:color="auto"/>
            </w:tcBorders>
          </w:tcPr>
          <w:p w14:paraId="36B23C8C" w14:textId="14E238FE" w:rsidR="00B64518" w:rsidRPr="00B81F25" w:rsidRDefault="00B64518" w:rsidP="0021400D">
            <w:pPr>
              <w:jc w:val="right"/>
            </w:pPr>
            <w:r>
              <w:t>0</w:t>
            </w:r>
          </w:p>
        </w:tc>
        <w:tc>
          <w:tcPr>
            <w:tcW w:w="1417" w:type="dxa"/>
            <w:tcBorders>
              <w:top w:val="single" w:sz="4" w:space="0" w:color="auto"/>
            </w:tcBorders>
            <w:noWrap/>
            <w:hideMark/>
          </w:tcPr>
          <w:p w14:paraId="020FCC51" w14:textId="7387AAD9" w:rsidR="00B64518" w:rsidRPr="00B81F25" w:rsidRDefault="00B64518" w:rsidP="0021400D">
            <w:pPr>
              <w:jc w:val="right"/>
            </w:pPr>
            <w:r w:rsidRPr="00B81F25">
              <w:t>0.00</w:t>
            </w:r>
          </w:p>
        </w:tc>
        <w:tc>
          <w:tcPr>
            <w:tcW w:w="1277" w:type="dxa"/>
            <w:tcBorders>
              <w:top w:val="single" w:sz="4" w:space="0" w:color="auto"/>
            </w:tcBorders>
            <w:noWrap/>
            <w:hideMark/>
          </w:tcPr>
          <w:p w14:paraId="331DF646" w14:textId="79DFF344" w:rsidR="00B64518" w:rsidRPr="00B81F25" w:rsidRDefault="00B64518" w:rsidP="0021400D">
            <w:pPr>
              <w:jc w:val="right"/>
            </w:pPr>
            <w:r w:rsidRPr="00B81F25">
              <w:t>78</w:t>
            </w:r>
            <w:r>
              <w:t>2</w:t>
            </w:r>
          </w:p>
        </w:tc>
      </w:tr>
      <w:tr w:rsidR="00B64518" w:rsidRPr="00B81F25" w14:paraId="26594406" w14:textId="77777777" w:rsidTr="00B64518">
        <w:trPr>
          <w:trHeight w:val="300"/>
        </w:trPr>
        <w:tc>
          <w:tcPr>
            <w:tcW w:w="1560" w:type="dxa"/>
            <w:noWrap/>
            <w:hideMark/>
          </w:tcPr>
          <w:p w14:paraId="34668354" w14:textId="732F43E7" w:rsidR="00B64518" w:rsidRPr="00B81F25" w:rsidRDefault="00B64518" w:rsidP="0021400D">
            <w:r>
              <w:t>FeCo-</w:t>
            </w:r>
            <w:r w:rsidRPr="00B81F25">
              <w:t>Ya</w:t>
            </w:r>
          </w:p>
        </w:tc>
        <w:tc>
          <w:tcPr>
            <w:tcW w:w="1417" w:type="dxa"/>
            <w:noWrap/>
            <w:hideMark/>
          </w:tcPr>
          <w:p w14:paraId="5BC90388" w14:textId="1F846A92" w:rsidR="00B64518" w:rsidRPr="00B81F25" w:rsidRDefault="00B64518" w:rsidP="0021400D">
            <w:pPr>
              <w:jc w:val="right"/>
            </w:pPr>
            <w:r w:rsidRPr="00B81F25">
              <w:t>28</w:t>
            </w:r>
            <w:r>
              <w:t>,</w:t>
            </w:r>
            <w:r w:rsidRPr="00B81F25">
              <w:t>177</w:t>
            </w:r>
          </w:p>
        </w:tc>
        <w:tc>
          <w:tcPr>
            <w:tcW w:w="1427" w:type="dxa"/>
            <w:noWrap/>
            <w:hideMark/>
          </w:tcPr>
          <w:p w14:paraId="49996653" w14:textId="35F9280D" w:rsidR="00B64518" w:rsidRPr="00B81F25" w:rsidRDefault="00B64518" w:rsidP="0021400D">
            <w:pPr>
              <w:jc w:val="right"/>
            </w:pPr>
            <w:r w:rsidRPr="00B81F25">
              <w:t>3</w:t>
            </w:r>
            <w:r>
              <w:t>,</w:t>
            </w:r>
            <w:r w:rsidRPr="00B81F25">
              <w:t>67</w:t>
            </w:r>
            <w:r>
              <w:t>7</w:t>
            </w:r>
          </w:p>
        </w:tc>
        <w:tc>
          <w:tcPr>
            <w:tcW w:w="1266" w:type="dxa"/>
            <w:noWrap/>
            <w:hideMark/>
          </w:tcPr>
          <w:p w14:paraId="1CF769E7" w14:textId="3282395D" w:rsidR="00B64518" w:rsidRPr="00B81F25" w:rsidRDefault="00B64518" w:rsidP="0021400D">
            <w:pPr>
              <w:jc w:val="right"/>
            </w:pPr>
            <w:r w:rsidRPr="00B81F25">
              <w:t>5</w:t>
            </w:r>
            <w:r>
              <w:t>,</w:t>
            </w:r>
            <w:r w:rsidRPr="00B81F25">
              <w:t>803</w:t>
            </w:r>
          </w:p>
        </w:tc>
        <w:tc>
          <w:tcPr>
            <w:tcW w:w="1276" w:type="dxa"/>
          </w:tcPr>
          <w:p w14:paraId="4477EF1E" w14:textId="45B12125" w:rsidR="00B64518" w:rsidRPr="00B81F25" w:rsidRDefault="00B64518" w:rsidP="0021400D">
            <w:pPr>
              <w:jc w:val="right"/>
            </w:pPr>
            <w:r>
              <w:t>775,573</w:t>
            </w:r>
          </w:p>
        </w:tc>
        <w:tc>
          <w:tcPr>
            <w:tcW w:w="1417" w:type="dxa"/>
            <w:noWrap/>
            <w:hideMark/>
          </w:tcPr>
          <w:p w14:paraId="5AA67E09" w14:textId="48DF78EE" w:rsidR="00B64518" w:rsidRPr="00B81F25" w:rsidRDefault="00B64518" w:rsidP="0021400D">
            <w:pPr>
              <w:jc w:val="right"/>
            </w:pPr>
            <w:r w:rsidRPr="00B81F25">
              <w:t>9</w:t>
            </w:r>
            <w:r>
              <w:t>,</w:t>
            </w:r>
            <w:r w:rsidRPr="00B81F25">
              <w:t>88</w:t>
            </w:r>
            <w:r>
              <w:t>6</w:t>
            </w:r>
          </w:p>
        </w:tc>
        <w:tc>
          <w:tcPr>
            <w:tcW w:w="1277" w:type="dxa"/>
            <w:noWrap/>
            <w:hideMark/>
          </w:tcPr>
          <w:p w14:paraId="403E052C" w14:textId="402F1BA0" w:rsidR="00B64518" w:rsidRPr="00B81F25" w:rsidRDefault="00B64518" w:rsidP="0021400D">
            <w:pPr>
              <w:jc w:val="right"/>
            </w:pPr>
            <w:r w:rsidRPr="00B81F25">
              <w:t>5</w:t>
            </w:r>
            <w:r>
              <w:t>1</w:t>
            </w:r>
          </w:p>
        </w:tc>
      </w:tr>
      <w:tr w:rsidR="00B64518" w:rsidRPr="00B81F25" w14:paraId="5EA2FE86" w14:textId="77777777" w:rsidTr="00B64518">
        <w:trPr>
          <w:trHeight w:val="300"/>
        </w:trPr>
        <w:tc>
          <w:tcPr>
            <w:tcW w:w="1560" w:type="dxa"/>
            <w:noWrap/>
            <w:hideMark/>
          </w:tcPr>
          <w:p w14:paraId="49936841" w14:textId="22AB7262" w:rsidR="00B64518" w:rsidRPr="00B81F25" w:rsidRDefault="00B64518" w:rsidP="00B64518">
            <w:r>
              <w:t>FeCo</w:t>
            </w:r>
            <w:r w:rsidRPr="00B81F25">
              <w:t>-Yw50</w:t>
            </w:r>
          </w:p>
        </w:tc>
        <w:tc>
          <w:tcPr>
            <w:tcW w:w="1417" w:type="dxa"/>
            <w:noWrap/>
            <w:hideMark/>
          </w:tcPr>
          <w:p w14:paraId="371369CB" w14:textId="6A43A8CE" w:rsidR="00B64518" w:rsidRPr="00B81F25" w:rsidRDefault="00B64518" w:rsidP="0021400D">
            <w:pPr>
              <w:jc w:val="right"/>
            </w:pPr>
            <w:r w:rsidRPr="00B81F25">
              <w:t>28</w:t>
            </w:r>
            <w:r>
              <w:t>,</w:t>
            </w:r>
            <w:r w:rsidRPr="00B81F25">
              <w:t>212</w:t>
            </w:r>
          </w:p>
        </w:tc>
        <w:tc>
          <w:tcPr>
            <w:tcW w:w="1427" w:type="dxa"/>
            <w:noWrap/>
            <w:hideMark/>
          </w:tcPr>
          <w:p w14:paraId="7ECE64F6" w14:textId="40AFE551" w:rsidR="00B64518" w:rsidRPr="00B81F25" w:rsidRDefault="00B64518" w:rsidP="0021400D">
            <w:pPr>
              <w:jc w:val="right"/>
            </w:pPr>
            <w:r w:rsidRPr="00B81F25">
              <w:t>2</w:t>
            </w:r>
            <w:r>
              <w:t>,</w:t>
            </w:r>
            <w:r w:rsidRPr="00B81F25">
              <w:t>880</w:t>
            </w:r>
          </w:p>
        </w:tc>
        <w:tc>
          <w:tcPr>
            <w:tcW w:w="1266" w:type="dxa"/>
            <w:noWrap/>
            <w:hideMark/>
          </w:tcPr>
          <w:p w14:paraId="4F0437DD" w14:textId="36FD1F48" w:rsidR="00B64518" w:rsidRPr="00B81F25" w:rsidRDefault="00B64518" w:rsidP="0021400D">
            <w:pPr>
              <w:jc w:val="right"/>
            </w:pPr>
            <w:r>
              <w:t>10,260</w:t>
            </w:r>
          </w:p>
        </w:tc>
        <w:tc>
          <w:tcPr>
            <w:tcW w:w="1276" w:type="dxa"/>
          </w:tcPr>
          <w:p w14:paraId="23713455" w14:textId="37515D1C" w:rsidR="00B64518" w:rsidRPr="00B81F25" w:rsidRDefault="00B64518" w:rsidP="0021400D">
            <w:pPr>
              <w:jc w:val="right"/>
            </w:pPr>
            <w:r w:rsidRPr="004B1EDE">
              <w:t>308</w:t>
            </w:r>
            <w:r>
              <w:t>,</w:t>
            </w:r>
            <w:r w:rsidRPr="004B1EDE">
              <w:t>346</w:t>
            </w:r>
          </w:p>
        </w:tc>
        <w:tc>
          <w:tcPr>
            <w:tcW w:w="1417" w:type="dxa"/>
            <w:noWrap/>
            <w:hideMark/>
          </w:tcPr>
          <w:p w14:paraId="6FDFF4EB" w14:textId="27A5D23E" w:rsidR="00B64518" w:rsidRPr="00B81F25" w:rsidRDefault="00B64518" w:rsidP="0021400D">
            <w:pPr>
              <w:jc w:val="right"/>
            </w:pPr>
            <w:r w:rsidRPr="00B81F25">
              <w:t>3</w:t>
            </w:r>
            <w:r>
              <w:t>,</w:t>
            </w:r>
            <w:r w:rsidRPr="00B81F25">
              <w:t>941</w:t>
            </w:r>
          </w:p>
        </w:tc>
        <w:tc>
          <w:tcPr>
            <w:tcW w:w="1277" w:type="dxa"/>
            <w:noWrap/>
            <w:hideMark/>
          </w:tcPr>
          <w:p w14:paraId="7DC3E131" w14:textId="1F7F5A22" w:rsidR="00B64518" w:rsidRPr="00B81F25" w:rsidRDefault="00B64518" w:rsidP="0021400D">
            <w:pPr>
              <w:jc w:val="right"/>
            </w:pPr>
            <w:r w:rsidRPr="00B81F25">
              <w:t>-693</w:t>
            </w:r>
          </w:p>
        </w:tc>
      </w:tr>
      <w:tr w:rsidR="00B64518" w:rsidRPr="00B81F25" w14:paraId="375A2E37" w14:textId="77777777" w:rsidTr="00B64518">
        <w:trPr>
          <w:trHeight w:val="300"/>
        </w:trPr>
        <w:tc>
          <w:tcPr>
            <w:tcW w:w="1560" w:type="dxa"/>
            <w:noWrap/>
            <w:hideMark/>
          </w:tcPr>
          <w:p w14:paraId="2E0B3FE9" w14:textId="536BD727" w:rsidR="00B64518" w:rsidRPr="00B81F25" w:rsidRDefault="00B64518" w:rsidP="00B64518">
            <w:r>
              <w:t>FeCo</w:t>
            </w:r>
            <w:r w:rsidRPr="00B81F25">
              <w:t>-Yw80</w:t>
            </w:r>
          </w:p>
        </w:tc>
        <w:tc>
          <w:tcPr>
            <w:tcW w:w="1417" w:type="dxa"/>
            <w:noWrap/>
            <w:hideMark/>
          </w:tcPr>
          <w:p w14:paraId="009F9056" w14:textId="7F7C2E69" w:rsidR="00B64518" w:rsidRPr="00B81F25" w:rsidRDefault="00B64518" w:rsidP="0021400D">
            <w:pPr>
              <w:jc w:val="right"/>
            </w:pPr>
            <w:r w:rsidRPr="00B81F25">
              <w:t>28</w:t>
            </w:r>
            <w:r>
              <w:t>,</w:t>
            </w:r>
            <w:r w:rsidRPr="00B81F25">
              <w:t>067</w:t>
            </w:r>
          </w:p>
        </w:tc>
        <w:tc>
          <w:tcPr>
            <w:tcW w:w="1427" w:type="dxa"/>
            <w:noWrap/>
            <w:hideMark/>
          </w:tcPr>
          <w:p w14:paraId="0470D9AF" w14:textId="5A0D74BE" w:rsidR="00B64518" w:rsidRPr="00B81F25" w:rsidRDefault="00B64518" w:rsidP="0021400D">
            <w:pPr>
              <w:jc w:val="right"/>
            </w:pPr>
            <w:r w:rsidRPr="00B81F25">
              <w:t>2</w:t>
            </w:r>
            <w:r>
              <w:t>,</w:t>
            </w:r>
            <w:r w:rsidRPr="00B81F25">
              <w:t>558</w:t>
            </w:r>
          </w:p>
        </w:tc>
        <w:tc>
          <w:tcPr>
            <w:tcW w:w="1266" w:type="dxa"/>
            <w:noWrap/>
            <w:hideMark/>
          </w:tcPr>
          <w:p w14:paraId="785BC904" w14:textId="51448DF1" w:rsidR="00B64518" w:rsidRPr="00B81F25" w:rsidRDefault="00B64518" w:rsidP="0021400D">
            <w:pPr>
              <w:jc w:val="right"/>
            </w:pPr>
            <w:r>
              <w:t>11,641</w:t>
            </w:r>
          </w:p>
        </w:tc>
        <w:tc>
          <w:tcPr>
            <w:tcW w:w="1276" w:type="dxa"/>
          </w:tcPr>
          <w:p w14:paraId="704615CF" w14:textId="476DDEC0" w:rsidR="00B64518" w:rsidRPr="00B81F25" w:rsidRDefault="00B64518" w:rsidP="0021400D">
            <w:pPr>
              <w:jc w:val="right"/>
            </w:pPr>
            <w:r>
              <w:t>191,071</w:t>
            </w:r>
          </w:p>
        </w:tc>
        <w:tc>
          <w:tcPr>
            <w:tcW w:w="1417" w:type="dxa"/>
            <w:noWrap/>
            <w:hideMark/>
          </w:tcPr>
          <w:p w14:paraId="743B9DDC" w14:textId="4E062620" w:rsidR="00B64518" w:rsidRPr="00B81F25" w:rsidRDefault="00B64518" w:rsidP="0021400D">
            <w:pPr>
              <w:jc w:val="right"/>
            </w:pPr>
            <w:r w:rsidRPr="00B81F25">
              <w:t>2</w:t>
            </w:r>
            <w:r>
              <w:t>,</w:t>
            </w:r>
            <w:r w:rsidRPr="00B81F25">
              <w:t>44</w:t>
            </w:r>
            <w:r>
              <w:t>3</w:t>
            </w:r>
          </w:p>
        </w:tc>
        <w:tc>
          <w:tcPr>
            <w:tcW w:w="1277" w:type="dxa"/>
            <w:noWrap/>
            <w:hideMark/>
          </w:tcPr>
          <w:p w14:paraId="2E24082B" w14:textId="5CF16FB7" w:rsidR="00B64518" w:rsidRPr="00B81F25" w:rsidRDefault="00B64518" w:rsidP="0021400D">
            <w:pPr>
              <w:jc w:val="right"/>
            </w:pPr>
            <w:r w:rsidRPr="00B81F25">
              <w:t>-980</w:t>
            </w:r>
          </w:p>
        </w:tc>
      </w:tr>
      <w:tr w:rsidR="00B64518" w:rsidRPr="00B81F25" w14:paraId="49CD91EA" w14:textId="77777777" w:rsidTr="00B64518">
        <w:trPr>
          <w:trHeight w:val="300"/>
        </w:trPr>
        <w:tc>
          <w:tcPr>
            <w:tcW w:w="1560" w:type="dxa"/>
            <w:noWrap/>
            <w:hideMark/>
          </w:tcPr>
          <w:p w14:paraId="19ABD098" w14:textId="50DBB331" w:rsidR="00B64518" w:rsidRPr="00B81F25" w:rsidRDefault="00B64518" w:rsidP="00B64518">
            <w:r>
              <w:t>FoFeCo</w:t>
            </w:r>
            <w:r w:rsidRPr="00B81F25">
              <w:t>-Ya</w:t>
            </w:r>
          </w:p>
        </w:tc>
        <w:tc>
          <w:tcPr>
            <w:tcW w:w="1417" w:type="dxa"/>
            <w:noWrap/>
            <w:hideMark/>
          </w:tcPr>
          <w:p w14:paraId="6F6E1E2C" w14:textId="3557B45F" w:rsidR="00B64518" w:rsidRPr="00B81F25" w:rsidRDefault="00B64518" w:rsidP="0021400D">
            <w:pPr>
              <w:jc w:val="right"/>
            </w:pPr>
            <w:r w:rsidRPr="00B81F25">
              <w:t>22</w:t>
            </w:r>
            <w:r>
              <w:t>,</w:t>
            </w:r>
            <w:r w:rsidRPr="00B81F25">
              <w:t>70</w:t>
            </w:r>
            <w:r>
              <w:t>1</w:t>
            </w:r>
          </w:p>
        </w:tc>
        <w:tc>
          <w:tcPr>
            <w:tcW w:w="1427" w:type="dxa"/>
            <w:noWrap/>
            <w:hideMark/>
          </w:tcPr>
          <w:p w14:paraId="6E887EB5" w14:textId="00AF61C7" w:rsidR="00B64518" w:rsidRPr="00B81F25" w:rsidRDefault="00B64518" w:rsidP="0021400D">
            <w:pPr>
              <w:jc w:val="right"/>
            </w:pPr>
            <w:r w:rsidRPr="00B81F25">
              <w:t>7</w:t>
            </w:r>
            <w:r>
              <w:t>,</w:t>
            </w:r>
            <w:r w:rsidRPr="00B81F25">
              <w:t>824</w:t>
            </w:r>
          </w:p>
        </w:tc>
        <w:tc>
          <w:tcPr>
            <w:tcW w:w="1266" w:type="dxa"/>
            <w:noWrap/>
            <w:hideMark/>
          </w:tcPr>
          <w:p w14:paraId="0571E85C" w14:textId="6346CAC9" w:rsidR="00B64518" w:rsidRPr="00B81F25" w:rsidRDefault="00B64518" w:rsidP="0021400D">
            <w:pPr>
              <w:jc w:val="right"/>
            </w:pPr>
            <w:r w:rsidRPr="00B81F25">
              <w:t>8</w:t>
            </w:r>
            <w:r>
              <w:t>,</w:t>
            </w:r>
            <w:r w:rsidRPr="00B81F25">
              <w:t>86</w:t>
            </w:r>
            <w:r>
              <w:t>2</w:t>
            </w:r>
          </w:p>
        </w:tc>
        <w:tc>
          <w:tcPr>
            <w:tcW w:w="1276" w:type="dxa"/>
          </w:tcPr>
          <w:p w14:paraId="12489034" w14:textId="5D0754F3" w:rsidR="00B64518" w:rsidRPr="00B81F25" w:rsidRDefault="00B64518" w:rsidP="0021400D">
            <w:pPr>
              <w:jc w:val="right"/>
            </w:pPr>
            <w:r w:rsidRPr="004B1EDE">
              <w:t>1</w:t>
            </w:r>
            <w:r>
              <w:t>,</w:t>
            </w:r>
            <w:r w:rsidRPr="004B1EDE">
              <w:t>685</w:t>
            </w:r>
            <w:r>
              <w:t>,</w:t>
            </w:r>
            <w:r w:rsidRPr="004B1EDE">
              <w:t>556</w:t>
            </w:r>
          </w:p>
        </w:tc>
        <w:tc>
          <w:tcPr>
            <w:tcW w:w="1417" w:type="dxa"/>
            <w:noWrap/>
            <w:hideMark/>
          </w:tcPr>
          <w:p w14:paraId="7DEBB59C" w14:textId="2DDE6367" w:rsidR="00B64518" w:rsidRPr="00B81F25" w:rsidRDefault="00B64518" w:rsidP="0021400D">
            <w:pPr>
              <w:jc w:val="right"/>
            </w:pPr>
            <w:r w:rsidRPr="00B81F25">
              <w:t>21</w:t>
            </w:r>
            <w:r>
              <w:t>,</w:t>
            </w:r>
            <w:r w:rsidRPr="00B81F25">
              <w:t>397</w:t>
            </w:r>
          </w:p>
        </w:tc>
        <w:tc>
          <w:tcPr>
            <w:tcW w:w="1277" w:type="dxa"/>
            <w:noWrap/>
            <w:hideMark/>
          </w:tcPr>
          <w:p w14:paraId="56A3179C" w14:textId="47983851" w:rsidR="00B64518" w:rsidRPr="00B81F25" w:rsidRDefault="00B64518" w:rsidP="0021400D">
            <w:pPr>
              <w:jc w:val="right"/>
            </w:pPr>
            <w:r w:rsidRPr="00B81F25">
              <w:t>407</w:t>
            </w:r>
          </w:p>
        </w:tc>
      </w:tr>
      <w:tr w:rsidR="00B64518" w:rsidRPr="00B81F25" w14:paraId="0C6D996B" w14:textId="77777777" w:rsidTr="00B64518">
        <w:trPr>
          <w:trHeight w:val="300"/>
        </w:trPr>
        <w:tc>
          <w:tcPr>
            <w:tcW w:w="1560" w:type="dxa"/>
            <w:noWrap/>
            <w:hideMark/>
          </w:tcPr>
          <w:p w14:paraId="6E639A78" w14:textId="00CB56C2" w:rsidR="00B64518" w:rsidRPr="00B81F25" w:rsidRDefault="00B64518" w:rsidP="00B64518">
            <w:r>
              <w:t>FoFeCo</w:t>
            </w:r>
            <w:r w:rsidRPr="00B81F25">
              <w:t>-Yw50</w:t>
            </w:r>
          </w:p>
        </w:tc>
        <w:tc>
          <w:tcPr>
            <w:tcW w:w="1417" w:type="dxa"/>
            <w:noWrap/>
            <w:hideMark/>
          </w:tcPr>
          <w:p w14:paraId="7E29CCF9" w14:textId="35B5435C" w:rsidR="00B64518" w:rsidRPr="00B81F25" w:rsidRDefault="00B64518" w:rsidP="0021400D">
            <w:pPr>
              <w:jc w:val="right"/>
            </w:pPr>
            <w:r w:rsidRPr="00B81F25">
              <w:t>22</w:t>
            </w:r>
            <w:r>
              <w:t>,</w:t>
            </w:r>
            <w:r w:rsidRPr="00B81F25">
              <w:t>75</w:t>
            </w:r>
            <w:r>
              <w:t>8</w:t>
            </w:r>
          </w:p>
        </w:tc>
        <w:tc>
          <w:tcPr>
            <w:tcW w:w="1427" w:type="dxa"/>
            <w:noWrap/>
            <w:hideMark/>
          </w:tcPr>
          <w:p w14:paraId="24A97581" w14:textId="05E5E24A" w:rsidR="00B64518" w:rsidRPr="00B81F25" w:rsidRDefault="00B64518" w:rsidP="0021400D">
            <w:pPr>
              <w:jc w:val="right"/>
            </w:pPr>
            <w:r w:rsidRPr="00B81F25">
              <w:t>7</w:t>
            </w:r>
            <w:r>
              <w:t>,</w:t>
            </w:r>
            <w:r w:rsidRPr="00B81F25">
              <w:t>810</w:t>
            </w:r>
          </w:p>
        </w:tc>
        <w:tc>
          <w:tcPr>
            <w:tcW w:w="1266" w:type="dxa"/>
            <w:noWrap/>
            <w:hideMark/>
          </w:tcPr>
          <w:p w14:paraId="140D91E2" w14:textId="5F26D765" w:rsidR="00B64518" w:rsidRPr="00B81F25" w:rsidRDefault="00B64518" w:rsidP="0021400D">
            <w:pPr>
              <w:jc w:val="right"/>
            </w:pPr>
            <w:r>
              <w:t>14,736</w:t>
            </w:r>
          </w:p>
        </w:tc>
        <w:tc>
          <w:tcPr>
            <w:tcW w:w="1276" w:type="dxa"/>
          </w:tcPr>
          <w:p w14:paraId="59B4DBE1" w14:textId="7D52C903" w:rsidR="00B64518" w:rsidRPr="00B81F25" w:rsidRDefault="00B64518" w:rsidP="0021400D">
            <w:pPr>
              <w:jc w:val="right"/>
            </w:pPr>
            <w:r>
              <w:t>748,689</w:t>
            </w:r>
          </w:p>
        </w:tc>
        <w:tc>
          <w:tcPr>
            <w:tcW w:w="1417" w:type="dxa"/>
            <w:noWrap/>
            <w:hideMark/>
          </w:tcPr>
          <w:p w14:paraId="67A25188" w14:textId="70222577" w:rsidR="00B64518" w:rsidRPr="00B81F25" w:rsidRDefault="00B64518" w:rsidP="0021400D">
            <w:pPr>
              <w:jc w:val="right"/>
            </w:pPr>
            <w:r w:rsidRPr="00B81F25">
              <w:t>9</w:t>
            </w:r>
            <w:r>
              <w:t>,</w:t>
            </w:r>
            <w:r w:rsidRPr="00B81F25">
              <w:t>568</w:t>
            </w:r>
          </w:p>
        </w:tc>
        <w:tc>
          <w:tcPr>
            <w:tcW w:w="1277" w:type="dxa"/>
            <w:noWrap/>
            <w:hideMark/>
          </w:tcPr>
          <w:p w14:paraId="591EC4B8" w14:textId="69043605" w:rsidR="00B64518" w:rsidRPr="00B81F25" w:rsidRDefault="00B64518" w:rsidP="0021400D">
            <w:pPr>
              <w:jc w:val="right"/>
            </w:pPr>
            <w:r w:rsidRPr="00B81F25">
              <w:t>-</w:t>
            </w:r>
            <w:r>
              <w:t>8</w:t>
            </w:r>
          </w:p>
        </w:tc>
      </w:tr>
      <w:tr w:rsidR="00B64518" w:rsidRPr="00B81F25" w14:paraId="2113D739" w14:textId="77777777" w:rsidTr="00B64518">
        <w:trPr>
          <w:trHeight w:val="300"/>
        </w:trPr>
        <w:tc>
          <w:tcPr>
            <w:tcW w:w="1560" w:type="dxa"/>
            <w:noWrap/>
            <w:hideMark/>
          </w:tcPr>
          <w:p w14:paraId="63A357CA" w14:textId="3EA263E8" w:rsidR="00B64518" w:rsidRPr="00B81F25" w:rsidRDefault="00B64518" w:rsidP="00B64518">
            <w:r>
              <w:t>FoFeCo</w:t>
            </w:r>
            <w:r w:rsidRPr="00B81F25">
              <w:t>-Yw80</w:t>
            </w:r>
          </w:p>
        </w:tc>
        <w:tc>
          <w:tcPr>
            <w:tcW w:w="1417" w:type="dxa"/>
            <w:noWrap/>
            <w:hideMark/>
          </w:tcPr>
          <w:p w14:paraId="0C6BC9E3" w14:textId="61995E51" w:rsidR="00B64518" w:rsidRPr="00B81F25" w:rsidRDefault="00B64518" w:rsidP="0021400D">
            <w:pPr>
              <w:jc w:val="right"/>
            </w:pPr>
            <w:r w:rsidRPr="00B81F25">
              <w:t>22</w:t>
            </w:r>
            <w:r>
              <w:t>,</w:t>
            </w:r>
            <w:r w:rsidRPr="00B81F25">
              <w:t>7</w:t>
            </w:r>
            <w:r>
              <w:t>60</w:t>
            </w:r>
          </w:p>
        </w:tc>
        <w:tc>
          <w:tcPr>
            <w:tcW w:w="1427" w:type="dxa"/>
            <w:noWrap/>
            <w:hideMark/>
          </w:tcPr>
          <w:p w14:paraId="1E2CB35A" w14:textId="53C436F8" w:rsidR="00B64518" w:rsidRPr="00B81F25" w:rsidRDefault="00B64518" w:rsidP="0021400D">
            <w:pPr>
              <w:jc w:val="right"/>
            </w:pPr>
            <w:r w:rsidRPr="00B81F25">
              <w:t>7</w:t>
            </w:r>
            <w:r>
              <w:t>,</w:t>
            </w:r>
            <w:r w:rsidRPr="00B81F25">
              <w:t>81</w:t>
            </w:r>
            <w:r>
              <w:t>1</w:t>
            </w:r>
          </w:p>
        </w:tc>
        <w:tc>
          <w:tcPr>
            <w:tcW w:w="1266" w:type="dxa"/>
            <w:noWrap/>
            <w:hideMark/>
          </w:tcPr>
          <w:p w14:paraId="33E94BC7" w14:textId="297DB75D" w:rsidR="00B64518" w:rsidRPr="00B81F25" w:rsidRDefault="00B64518" w:rsidP="0021400D">
            <w:pPr>
              <w:jc w:val="right"/>
            </w:pPr>
            <w:r w:rsidRPr="000F14AD">
              <w:t>16</w:t>
            </w:r>
            <w:r>
              <w:t>,</w:t>
            </w:r>
            <w:r w:rsidRPr="000F14AD">
              <w:t>86</w:t>
            </w:r>
            <w:r>
              <w:t>7</w:t>
            </w:r>
          </w:p>
        </w:tc>
        <w:tc>
          <w:tcPr>
            <w:tcW w:w="1276" w:type="dxa"/>
          </w:tcPr>
          <w:p w14:paraId="406D667A" w14:textId="6BF67704" w:rsidR="00B64518" w:rsidRPr="00B81F25" w:rsidRDefault="00B64518" w:rsidP="0021400D">
            <w:pPr>
              <w:jc w:val="right"/>
            </w:pPr>
            <w:r>
              <w:t>518,162</w:t>
            </w:r>
          </w:p>
        </w:tc>
        <w:tc>
          <w:tcPr>
            <w:tcW w:w="1417" w:type="dxa"/>
            <w:noWrap/>
            <w:hideMark/>
          </w:tcPr>
          <w:p w14:paraId="180CE118" w14:textId="56F03A82" w:rsidR="00B64518" w:rsidRPr="00B81F25" w:rsidRDefault="00B64518" w:rsidP="0021400D">
            <w:pPr>
              <w:jc w:val="right"/>
            </w:pPr>
            <w:r w:rsidRPr="00B81F25">
              <w:t>6</w:t>
            </w:r>
            <w:r>
              <w:t>,</w:t>
            </w:r>
            <w:r w:rsidRPr="00B81F25">
              <w:t>623</w:t>
            </w:r>
          </w:p>
        </w:tc>
        <w:tc>
          <w:tcPr>
            <w:tcW w:w="1277" w:type="dxa"/>
            <w:noWrap/>
            <w:hideMark/>
          </w:tcPr>
          <w:p w14:paraId="41241A5A" w14:textId="59017141" w:rsidR="00B64518" w:rsidRPr="00B81F25" w:rsidRDefault="00B64518" w:rsidP="0021400D">
            <w:pPr>
              <w:jc w:val="right"/>
            </w:pPr>
            <w:r w:rsidRPr="00B81F25">
              <w:t>-44</w:t>
            </w:r>
            <w:r>
              <w:t>9</w:t>
            </w:r>
          </w:p>
        </w:tc>
      </w:tr>
      <w:tr w:rsidR="00B64518" w:rsidRPr="00B81F25" w14:paraId="58F24C92" w14:textId="77777777" w:rsidTr="00B64518">
        <w:trPr>
          <w:trHeight w:val="300"/>
        </w:trPr>
        <w:tc>
          <w:tcPr>
            <w:tcW w:w="1560" w:type="dxa"/>
            <w:tcBorders>
              <w:bottom w:val="single" w:sz="4" w:space="0" w:color="auto"/>
            </w:tcBorders>
            <w:noWrap/>
            <w:hideMark/>
          </w:tcPr>
          <w:p w14:paraId="11346819" w14:textId="21FE6C95" w:rsidR="00B64518" w:rsidRPr="00B81F25" w:rsidRDefault="00B64518" w:rsidP="0021400D">
            <w:r>
              <w:t>FoCo-</w:t>
            </w:r>
            <w:r w:rsidRPr="00B81F25">
              <w:t>Ya</w:t>
            </w:r>
          </w:p>
        </w:tc>
        <w:tc>
          <w:tcPr>
            <w:tcW w:w="1417" w:type="dxa"/>
            <w:tcBorders>
              <w:bottom w:val="single" w:sz="4" w:space="0" w:color="auto"/>
            </w:tcBorders>
            <w:noWrap/>
            <w:hideMark/>
          </w:tcPr>
          <w:p w14:paraId="228A3803" w14:textId="2762B743" w:rsidR="00B64518" w:rsidRPr="00B81F25" w:rsidRDefault="00B64518" w:rsidP="0021400D">
            <w:pPr>
              <w:jc w:val="right"/>
            </w:pPr>
            <w:r w:rsidRPr="00B81F25">
              <w:t>27</w:t>
            </w:r>
            <w:r>
              <w:t>,</w:t>
            </w:r>
            <w:r w:rsidRPr="00B81F25">
              <w:t>018</w:t>
            </w:r>
          </w:p>
        </w:tc>
        <w:tc>
          <w:tcPr>
            <w:tcW w:w="1427" w:type="dxa"/>
            <w:tcBorders>
              <w:bottom w:val="single" w:sz="4" w:space="0" w:color="auto"/>
            </w:tcBorders>
            <w:noWrap/>
            <w:hideMark/>
          </w:tcPr>
          <w:p w14:paraId="2B939605" w14:textId="111D475B" w:rsidR="00B64518" w:rsidRPr="00B81F25" w:rsidRDefault="00B64518" w:rsidP="0021400D">
            <w:pPr>
              <w:jc w:val="right"/>
            </w:pPr>
            <w:r w:rsidRPr="00B81F25">
              <w:t>4</w:t>
            </w:r>
            <w:r>
              <w:t>,</w:t>
            </w:r>
            <w:r w:rsidRPr="00B81F25">
              <w:t>319</w:t>
            </w:r>
          </w:p>
        </w:tc>
        <w:tc>
          <w:tcPr>
            <w:tcW w:w="1266" w:type="dxa"/>
            <w:tcBorders>
              <w:bottom w:val="single" w:sz="4" w:space="0" w:color="auto"/>
            </w:tcBorders>
            <w:noWrap/>
            <w:hideMark/>
          </w:tcPr>
          <w:p w14:paraId="57EF09DE" w14:textId="2B472283" w:rsidR="00B64518" w:rsidRPr="00B81F25" w:rsidRDefault="00B64518" w:rsidP="0021400D">
            <w:pPr>
              <w:jc w:val="right"/>
            </w:pPr>
            <w:r w:rsidRPr="00B81F25">
              <w:t>4</w:t>
            </w:r>
            <w:r>
              <w:t>,</w:t>
            </w:r>
            <w:r w:rsidRPr="00B81F25">
              <w:t>79</w:t>
            </w:r>
            <w:r>
              <w:t>8</w:t>
            </w:r>
          </w:p>
        </w:tc>
        <w:tc>
          <w:tcPr>
            <w:tcW w:w="1276" w:type="dxa"/>
            <w:tcBorders>
              <w:bottom w:val="single" w:sz="4" w:space="0" w:color="auto"/>
            </w:tcBorders>
          </w:tcPr>
          <w:p w14:paraId="0A19F5A1" w14:textId="6940C944" w:rsidR="00B64518" w:rsidRPr="00B81F25" w:rsidRDefault="00B64518" w:rsidP="0021400D">
            <w:pPr>
              <w:jc w:val="right"/>
            </w:pPr>
            <w:r w:rsidRPr="004B1EDE">
              <w:t>155</w:t>
            </w:r>
            <w:r>
              <w:t>,</w:t>
            </w:r>
            <w:r w:rsidRPr="004B1EDE">
              <w:t>149</w:t>
            </w:r>
          </w:p>
        </w:tc>
        <w:tc>
          <w:tcPr>
            <w:tcW w:w="1417" w:type="dxa"/>
            <w:tcBorders>
              <w:bottom w:val="single" w:sz="4" w:space="0" w:color="auto"/>
            </w:tcBorders>
            <w:noWrap/>
            <w:hideMark/>
          </w:tcPr>
          <w:p w14:paraId="085A7181" w14:textId="6303B4C2" w:rsidR="00B64518" w:rsidRPr="00B81F25" w:rsidRDefault="00B64518" w:rsidP="0021400D">
            <w:pPr>
              <w:jc w:val="right"/>
            </w:pPr>
            <w:r w:rsidRPr="00B81F25">
              <w:t>935</w:t>
            </w:r>
          </w:p>
        </w:tc>
        <w:tc>
          <w:tcPr>
            <w:tcW w:w="1277" w:type="dxa"/>
            <w:tcBorders>
              <w:bottom w:val="single" w:sz="4" w:space="0" w:color="auto"/>
            </w:tcBorders>
            <w:noWrap/>
            <w:hideMark/>
          </w:tcPr>
          <w:p w14:paraId="10C10BE7" w14:textId="203A6705" w:rsidR="00B64518" w:rsidRPr="00B81F25" w:rsidRDefault="00B64518" w:rsidP="0021400D">
            <w:pPr>
              <w:jc w:val="right"/>
            </w:pPr>
            <w:r w:rsidRPr="00B81F25">
              <w:t>-1</w:t>
            </w:r>
            <w:r>
              <w:t>,</w:t>
            </w:r>
            <w:r w:rsidRPr="00B81F25">
              <w:t>33</w:t>
            </w:r>
            <w:r>
              <w:t>2</w:t>
            </w:r>
          </w:p>
        </w:tc>
      </w:tr>
    </w:tbl>
    <w:p w14:paraId="0AFB4A2B" w14:textId="34016B37" w:rsidR="00B81F25" w:rsidRDefault="00B81F25" w:rsidP="00F707C0"/>
    <w:p w14:paraId="4148B560" w14:textId="5A99C7B3" w:rsidR="004D1D94" w:rsidRPr="00F90A35" w:rsidRDefault="004D1D94" w:rsidP="004D1D94">
      <w:pPr>
        <w:pStyle w:val="Caption"/>
        <w:keepNext/>
        <w:rPr>
          <w:lang w:val="en-GB"/>
        </w:rPr>
      </w:pPr>
      <w:r w:rsidRPr="00F90A35">
        <w:rPr>
          <w:lang w:val="en-GB"/>
        </w:rPr>
        <w:t>Table S</w:t>
      </w:r>
      <w:r w:rsidR="00F90A35" w:rsidRPr="00F90A35">
        <w:rPr>
          <w:lang w:val="en-GB"/>
        </w:rPr>
        <w:t>7</w:t>
      </w:r>
      <w:r w:rsidRPr="00F90A35">
        <w:rPr>
          <w:lang w:val="en-GB"/>
        </w:rPr>
        <w:t>: GHG</w:t>
      </w:r>
      <w:r w:rsidR="009E3F38" w:rsidRPr="00F90A35">
        <w:rPr>
          <w:lang w:val="en-GB"/>
        </w:rPr>
        <w:t xml:space="preserve"> emission intensities</w:t>
      </w:r>
      <w:r w:rsidRPr="00F90A35">
        <w:rPr>
          <w:lang w:val="en-GB"/>
        </w:rPr>
        <w:t xml:space="preserve"> (kg CO</w:t>
      </w:r>
      <w:r w:rsidRPr="00F90A35">
        <w:rPr>
          <w:vertAlign w:val="subscript"/>
          <w:lang w:val="en-GB"/>
        </w:rPr>
        <w:t>2</w:t>
      </w:r>
      <w:r w:rsidRPr="00F90A35">
        <w:rPr>
          <w:lang w:val="en-GB"/>
        </w:rPr>
        <w:t xml:space="preserve">eq kg </w:t>
      </w:r>
      <w:r w:rsidR="00DB39DE" w:rsidRPr="00F90A35">
        <w:rPr>
          <w:lang w:val="en-GB"/>
        </w:rPr>
        <w:t>fat and protein corrected milk (</w:t>
      </w:r>
      <w:r w:rsidRPr="00F90A35">
        <w:rPr>
          <w:lang w:val="en-GB"/>
        </w:rPr>
        <w:t>FPCM</w:t>
      </w:r>
      <w:r w:rsidR="00DB39DE" w:rsidRPr="00F90A35">
        <w:rPr>
          <w:lang w:val="en-GB"/>
        </w:rPr>
        <w:t>)</w:t>
      </w:r>
      <w:r w:rsidRPr="00F90A35">
        <w:rPr>
          <w:vertAlign w:val="superscript"/>
          <w:lang w:val="en-GB"/>
        </w:rPr>
        <w:t>-1</w:t>
      </w:r>
      <w:r w:rsidRPr="00F90A35">
        <w:rPr>
          <w:lang w:val="en-GB"/>
        </w:rPr>
        <w:t>) per</w:t>
      </w:r>
      <w:r w:rsidR="009E3F38" w:rsidRPr="00F90A35">
        <w:rPr>
          <w:lang w:val="en-GB"/>
        </w:rPr>
        <w:t xml:space="preserve"> emission</w:t>
      </w:r>
      <w:r w:rsidRPr="00F90A35">
        <w:rPr>
          <w:lang w:val="en-GB"/>
        </w:rPr>
        <w:t xml:space="preserve"> source and scenario as shown in Fig 5B.</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549"/>
        <w:gridCol w:w="1574"/>
        <w:gridCol w:w="1317"/>
        <w:gridCol w:w="1362"/>
        <w:gridCol w:w="1082"/>
        <w:gridCol w:w="62"/>
      </w:tblGrid>
      <w:tr w:rsidR="00B81F25" w:rsidRPr="00B81F25" w14:paraId="668801C7" w14:textId="77777777" w:rsidTr="00E76A75">
        <w:trPr>
          <w:trHeight w:val="300"/>
        </w:trPr>
        <w:tc>
          <w:tcPr>
            <w:tcW w:w="1843" w:type="dxa"/>
            <w:tcBorders>
              <w:top w:val="single" w:sz="4" w:space="0" w:color="auto"/>
              <w:bottom w:val="single" w:sz="4" w:space="0" w:color="auto"/>
            </w:tcBorders>
            <w:noWrap/>
            <w:hideMark/>
          </w:tcPr>
          <w:p w14:paraId="4D399033" w14:textId="77777777" w:rsidR="00B81F25" w:rsidRPr="00DF3317" w:rsidRDefault="00B81F25">
            <w:pPr>
              <w:rPr>
                <w:lang w:val="en-GB"/>
              </w:rPr>
            </w:pPr>
          </w:p>
        </w:tc>
        <w:tc>
          <w:tcPr>
            <w:tcW w:w="1549" w:type="dxa"/>
            <w:tcBorders>
              <w:top w:val="single" w:sz="4" w:space="0" w:color="auto"/>
              <w:bottom w:val="single" w:sz="4" w:space="0" w:color="auto"/>
            </w:tcBorders>
            <w:noWrap/>
            <w:hideMark/>
          </w:tcPr>
          <w:p w14:paraId="345DCDFF" w14:textId="33162B33" w:rsidR="00B81F25" w:rsidRPr="00DF3317" w:rsidRDefault="00E76A75" w:rsidP="00E76A75">
            <w:r w:rsidRPr="00DF3317">
              <w:t>E</w:t>
            </w:r>
            <w:r w:rsidR="00B81F25" w:rsidRPr="00DF3317">
              <w:t>nteric fermentation</w:t>
            </w:r>
          </w:p>
        </w:tc>
        <w:tc>
          <w:tcPr>
            <w:tcW w:w="1574" w:type="dxa"/>
            <w:tcBorders>
              <w:top w:val="single" w:sz="4" w:space="0" w:color="auto"/>
              <w:bottom w:val="single" w:sz="4" w:space="0" w:color="auto"/>
            </w:tcBorders>
            <w:noWrap/>
            <w:hideMark/>
          </w:tcPr>
          <w:p w14:paraId="0DB47579" w14:textId="55CB3DBE" w:rsidR="00B81F25" w:rsidRPr="00DF3317" w:rsidRDefault="00E76A75" w:rsidP="00E76A75">
            <w:r w:rsidRPr="00DF3317">
              <w:t>M</w:t>
            </w:r>
            <w:r w:rsidR="00B81F25" w:rsidRPr="00DF3317">
              <w:t>anure management</w:t>
            </w:r>
          </w:p>
        </w:tc>
        <w:tc>
          <w:tcPr>
            <w:tcW w:w="1317" w:type="dxa"/>
            <w:tcBorders>
              <w:top w:val="single" w:sz="4" w:space="0" w:color="auto"/>
              <w:bottom w:val="single" w:sz="4" w:space="0" w:color="auto"/>
            </w:tcBorders>
            <w:noWrap/>
            <w:hideMark/>
          </w:tcPr>
          <w:p w14:paraId="5F0B6185" w14:textId="76FE1B8B" w:rsidR="00B81F25" w:rsidRPr="00DF3317" w:rsidRDefault="00E76A75" w:rsidP="00E76A75">
            <w:r w:rsidRPr="00DF3317">
              <w:t>F</w:t>
            </w:r>
            <w:r w:rsidR="00B81F25" w:rsidRPr="00DF3317">
              <w:t>eed cultivation</w:t>
            </w:r>
          </w:p>
        </w:tc>
        <w:tc>
          <w:tcPr>
            <w:tcW w:w="1362" w:type="dxa"/>
            <w:tcBorders>
              <w:top w:val="single" w:sz="4" w:space="0" w:color="auto"/>
              <w:bottom w:val="single" w:sz="4" w:space="0" w:color="auto"/>
            </w:tcBorders>
            <w:noWrap/>
            <w:hideMark/>
          </w:tcPr>
          <w:p w14:paraId="52A91EDB" w14:textId="6AB378D7" w:rsidR="00B81F25" w:rsidRPr="00DF3317" w:rsidRDefault="00E76A75" w:rsidP="00E76A75">
            <w:r w:rsidRPr="00DF3317">
              <w:t>L</w:t>
            </w:r>
            <w:r w:rsidR="00B81F25" w:rsidRPr="00DF3317">
              <w:t>and use change</w:t>
            </w:r>
          </w:p>
        </w:tc>
        <w:tc>
          <w:tcPr>
            <w:tcW w:w="1144" w:type="dxa"/>
            <w:gridSpan w:val="2"/>
            <w:tcBorders>
              <w:top w:val="single" w:sz="4" w:space="0" w:color="auto"/>
              <w:bottom w:val="single" w:sz="4" w:space="0" w:color="auto"/>
            </w:tcBorders>
            <w:noWrap/>
            <w:hideMark/>
          </w:tcPr>
          <w:p w14:paraId="3D1194D8" w14:textId="54895664" w:rsidR="00B81F25" w:rsidRPr="00DF3317" w:rsidRDefault="00E76A75" w:rsidP="00E76A75">
            <w:r w:rsidRPr="00DF3317">
              <w:t>F</w:t>
            </w:r>
            <w:r w:rsidR="00B81F25" w:rsidRPr="00DF3317">
              <w:t>orest C change</w:t>
            </w:r>
          </w:p>
        </w:tc>
      </w:tr>
      <w:tr w:rsidR="00B81F25" w:rsidRPr="00B81F25" w14:paraId="7338E079" w14:textId="77777777" w:rsidTr="00E76A75">
        <w:trPr>
          <w:gridAfter w:val="1"/>
          <w:wAfter w:w="62" w:type="dxa"/>
          <w:trHeight w:val="300"/>
        </w:trPr>
        <w:tc>
          <w:tcPr>
            <w:tcW w:w="1843" w:type="dxa"/>
            <w:tcBorders>
              <w:top w:val="single" w:sz="4" w:space="0" w:color="auto"/>
            </w:tcBorders>
            <w:noWrap/>
            <w:hideMark/>
          </w:tcPr>
          <w:p w14:paraId="0AB90AEF" w14:textId="5B44B120" w:rsidR="00B81F25" w:rsidRPr="00B81F25" w:rsidRDefault="00DF3317">
            <w:r>
              <w:t>B</w:t>
            </w:r>
            <w:r w:rsidR="00B81F25" w:rsidRPr="00B81F25">
              <w:t>aseline</w:t>
            </w:r>
          </w:p>
        </w:tc>
        <w:tc>
          <w:tcPr>
            <w:tcW w:w="1549" w:type="dxa"/>
            <w:tcBorders>
              <w:top w:val="single" w:sz="4" w:space="0" w:color="auto"/>
            </w:tcBorders>
            <w:noWrap/>
            <w:hideMark/>
          </w:tcPr>
          <w:p w14:paraId="77E52BEB" w14:textId="77777777" w:rsidR="00B81F25" w:rsidRPr="00B81F25" w:rsidRDefault="00B81F25" w:rsidP="0079773E">
            <w:pPr>
              <w:jc w:val="right"/>
            </w:pPr>
            <w:r w:rsidRPr="00B81F25">
              <w:t>1.89</w:t>
            </w:r>
          </w:p>
        </w:tc>
        <w:tc>
          <w:tcPr>
            <w:tcW w:w="1574" w:type="dxa"/>
            <w:tcBorders>
              <w:top w:val="single" w:sz="4" w:space="0" w:color="auto"/>
            </w:tcBorders>
            <w:noWrap/>
            <w:hideMark/>
          </w:tcPr>
          <w:p w14:paraId="2DD2BFF2" w14:textId="77777777" w:rsidR="00B81F25" w:rsidRPr="00B81F25" w:rsidRDefault="00B81F25" w:rsidP="0079773E">
            <w:pPr>
              <w:jc w:val="right"/>
            </w:pPr>
            <w:r w:rsidRPr="00B81F25">
              <w:t>0.26</w:t>
            </w:r>
          </w:p>
        </w:tc>
        <w:tc>
          <w:tcPr>
            <w:tcW w:w="1317" w:type="dxa"/>
            <w:tcBorders>
              <w:top w:val="single" w:sz="4" w:space="0" w:color="auto"/>
            </w:tcBorders>
            <w:noWrap/>
            <w:hideMark/>
          </w:tcPr>
          <w:p w14:paraId="091A7E36" w14:textId="77777777" w:rsidR="00B81F25" w:rsidRPr="00B81F25" w:rsidRDefault="00B81F25" w:rsidP="0079773E">
            <w:pPr>
              <w:jc w:val="right"/>
            </w:pPr>
            <w:r w:rsidRPr="00B81F25">
              <w:t>0.21</w:t>
            </w:r>
          </w:p>
        </w:tc>
        <w:tc>
          <w:tcPr>
            <w:tcW w:w="1362" w:type="dxa"/>
            <w:tcBorders>
              <w:top w:val="single" w:sz="4" w:space="0" w:color="auto"/>
            </w:tcBorders>
            <w:noWrap/>
            <w:hideMark/>
          </w:tcPr>
          <w:p w14:paraId="5868822E" w14:textId="77777777" w:rsidR="00B81F25" w:rsidRPr="00B81F25" w:rsidRDefault="00B81F25" w:rsidP="0079773E">
            <w:pPr>
              <w:jc w:val="right"/>
            </w:pPr>
            <w:r w:rsidRPr="00B81F25">
              <w:t>0.00</w:t>
            </w:r>
          </w:p>
        </w:tc>
        <w:tc>
          <w:tcPr>
            <w:tcW w:w="1082" w:type="dxa"/>
            <w:tcBorders>
              <w:top w:val="single" w:sz="4" w:space="0" w:color="auto"/>
            </w:tcBorders>
            <w:noWrap/>
            <w:hideMark/>
          </w:tcPr>
          <w:p w14:paraId="3C571121" w14:textId="77777777" w:rsidR="00B81F25" w:rsidRPr="00B81F25" w:rsidRDefault="00B81F25" w:rsidP="0079773E">
            <w:pPr>
              <w:jc w:val="right"/>
            </w:pPr>
            <w:r w:rsidRPr="00B81F25">
              <w:t>0.05</w:t>
            </w:r>
          </w:p>
        </w:tc>
      </w:tr>
      <w:tr w:rsidR="00B81F25" w:rsidRPr="00B81F25" w14:paraId="2C2C27BD" w14:textId="77777777" w:rsidTr="00E76A75">
        <w:trPr>
          <w:gridAfter w:val="1"/>
          <w:wAfter w:w="62" w:type="dxa"/>
          <w:trHeight w:val="300"/>
        </w:trPr>
        <w:tc>
          <w:tcPr>
            <w:tcW w:w="1843" w:type="dxa"/>
            <w:noWrap/>
            <w:hideMark/>
          </w:tcPr>
          <w:p w14:paraId="680878B7" w14:textId="77777777" w:rsidR="00B81F25" w:rsidRPr="00B81F25" w:rsidRDefault="00B81F25">
            <w:r w:rsidRPr="00B81F25">
              <w:t>FeCo - Ya</w:t>
            </w:r>
          </w:p>
        </w:tc>
        <w:tc>
          <w:tcPr>
            <w:tcW w:w="1549" w:type="dxa"/>
            <w:noWrap/>
            <w:hideMark/>
          </w:tcPr>
          <w:p w14:paraId="280C00F0" w14:textId="77777777" w:rsidR="00B81F25" w:rsidRPr="00B81F25" w:rsidRDefault="00B81F25" w:rsidP="0079773E">
            <w:pPr>
              <w:jc w:val="right"/>
            </w:pPr>
            <w:r w:rsidRPr="00B81F25">
              <w:t>1.28</w:t>
            </w:r>
          </w:p>
        </w:tc>
        <w:tc>
          <w:tcPr>
            <w:tcW w:w="1574" w:type="dxa"/>
            <w:noWrap/>
            <w:hideMark/>
          </w:tcPr>
          <w:p w14:paraId="6F8CC5B6" w14:textId="77777777" w:rsidR="00B81F25" w:rsidRPr="00B81F25" w:rsidRDefault="00B81F25" w:rsidP="0079773E">
            <w:pPr>
              <w:jc w:val="right"/>
            </w:pPr>
            <w:r w:rsidRPr="00B81F25">
              <w:t>0.17</w:t>
            </w:r>
          </w:p>
        </w:tc>
        <w:tc>
          <w:tcPr>
            <w:tcW w:w="1317" w:type="dxa"/>
            <w:noWrap/>
            <w:hideMark/>
          </w:tcPr>
          <w:p w14:paraId="0689BEBF" w14:textId="77777777" w:rsidR="00B81F25" w:rsidRPr="00B81F25" w:rsidRDefault="00B81F25" w:rsidP="0079773E">
            <w:pPr>
              <w:jc w:val="right"/>
            </w:pPr>
            <w:r w:rsidRPr="00B81F25">
              <w:t>0.26</w:t>
            </w:r>
          </w:p>
        </w:tc>
        <w:tc>
          <w:tcPr>
            <w:tcW w:w="1362" w:type="dxa"/>
            <w:noWrap/>
            <w:hideMark/>
          </w:tcPr>
          <w:p w14:paraId="6D6760F4" w14:textId="77777777" w:rsidR="00B81F25" w:rsidRPr="00B81F25" w:rsidRDefault="00B81F25" w:rsidP="0079773E">
            <w:pPr>
              <w:jc w:val="right"/>
            </w:pPr>
            <w:r w:rsidRPr="00B81F25">
              <w:t>0.45</w:t>
            </w:r>
          </w:p>
        </w:tc>
        <w:tc>
          <w:tcPr>
            <w:tcW w:w="1082" w:type="dxa"/>
            <w:noWrap/>
            <w:hideMark/>
          </w:tcPr>
          <w:p w14:paraId="31FF59FE" w14:textId="77777777" w:rsidR="00B81F25" w:rsidRPr="00B81F25" w:rsidRDefault="00B81F25" w:rsidP="0079773E">
            <w:pPr>
              <w:jc w:val="right"/>
            </w:pPr>
            <w:r w:rsidRPr="00B81F25">
              <w:t>0.00</w:t>
            </w:r>
          </w:p>
        </w:tc>
      </w:tr>
      <w:tr w:rsidR="00B81F25" w:rsidRPr="00B81F25" w14:paraId="59708DC6" w14:textId="77777777" w:rsidTr="00E76A75">
        <w:trPr>
          <w:gridAfter w:val="1"/>
          <w:wAfter w:w="62" w:type="dxa"/>
          <w:trHeight w:val="300"/>
        </w:trPr>
        <w:tc>
          <w:tcPr>
            <w:tcW w:w="1843" w:type="dxa"/>
            <w:noWrap/>
            <w:hideMark/>
          </w:tcPr>
          <w:p w14:paraId="34FD358F" w14:textId="77777777" w:rsidR="00B81F25" w:rsidRPr="00B81F25" w:rsidRDefault="00B81F25">
            <w:r w:rsidRPr="00B81F25">
              <w:t>FeCo - Yw50</w:t>
            </w:r>
          </w:p>
        </w:tc>
        <w:tc>
          <w:tcPr>
            <w:tcW w:w="1549" w:type="dxa"/>
            <w:noWrap/>
            <w:hideMark/>
          </w:tcPr>
          <w:p w14:paraId="70FC75C1" w14:textId="77777777" w:rsidR="00B81F25" w:rsidRPr="00B81F25" w:rsidRDefault="00B81F25" w:rsidP="0079773E">
            <w:pPr>
              <w:jc w:val="right"/>
            </w:pPr>
            <w:r w:rsidRPr="00B81F25">
              <w:t>1.28</w:t>
            </w:r>
          </w:p>
        </w:tc>
        <w:tc>
          <w:tcPr>
            <w:tcW w:w="1574" w:type="dxa"/>
            <w:noWrap/>
            <w:hideMark/>
          </w:tcPr>
          <w:p w14:paraId="203E5FE8" w14:textId="77777777" w:rsidR="00B81F25" w:rsidRPr="00B81F25" w:rsidRDefault="00B81F25" w:rsidP="0079773E">
            <w:pPr>
              <w:jc w:val="right"/>
            </w:pPr>
            <w:r w:rsidRPr="00B81F25">
              <w:t>0.13</w:t>
            </w:r>
          </w:p>
        </w:tc>
        <w:tc>
          <w:tcPr>
            <w:tcW w:w="1317" w:type="dxa"/>
            <w:noWrap/>
            <w:hideMark/>
          </w:tcPr>
          <w:p w14:paraId="13F20540" w14:textId="5157C82A" w:rsidR="00B81F25" w:rsidRPr="00B81F25" w:rsidRDefault="0079773E" w:rsidP="0079773E">
            <w:pPr>
              <w:jc w:val="right"/>
            </w:pPr>
            <w:r>
              <w:t>0.47</w:t>
            </w:r>
          </w:p>
        </w:tc>
        <w:tc>
          <w:tcPr>
            <w:tcW w:w="1362" w:type="dxa"/>
            <w:noWrap/>
            <w:hideMark/>
          </w:tcPr>
          <w:p w14:paraId="46C0240B" w14:textId="77777777" w:rsidR="00B81F25" w:rsidRPr="00B81F25" w:rsidRDefault="00B81F25" w:rsidP="0079773E">
            <w:pPr>
              <w:jc w:val="right"/>
            </w:pPr>
            <w:r w:rsidRPr="00B81F25">
              <w:t>0.18</w:t>
            </w:r>
          </w:p>
        </w:tc>
        <w:tc>
          <w:tcPr>
            <w:tcW w:w="1082" w:type="dxa"/>
            <w:noWrap/>
            <w:hideMark/>
          </w:tcPr>
          <w:p w14:paraId="543391E3" w14:textId="77777777" w:rsidR="00B81F25" w:rsidRPr="00B81F25" w:rsidRDefault="00B81F25" w:rsidP="0079773E">
            <w:pPr>
              <w:jc w:val="right"/>
            </w:pPr>
            <w:r w:rsidRPr="00B81F25">
              <w:t>-0.03</w:t>
            </w:r>
          </w:p>
        </w:tc>
      </w:tr>
      <w:tr w:rsidR="00B81F25" w:rsidRPr="00B81F25" w14:paraId="3D2DF744" w14:textId="77777777" w:rsidTr="00E76A75">
        <w:trPr>
          <w:gridAfter w:val="1"/>
          <w:wAfter w:w="62" w:type="dxa"/>
          <w:trHeight w:val="300"/>
        </w:trPr>
        <w:tc>
          <w:tcPr>
            <w:tcW w:w="1843" w:type="dxa"/>
            <w:noWrap/>
            <w:hideMark/>
          </w:tcPr>
          <w:p w14:paraId="4DFBDCBD" w14:textId="77777777" w:rsidR="00B81F25" w:rsidRPr="00B81F25" w:rsidRDefault="00B81F25">
            <w:r w:rsidRPr="00B81F25">
              <w:t>FeCo - Yw80</w:t>
            </w:r>
          </w:p>
        </w:tc>
        <w:tc>
          <w:tcPr>
            <w:tcW w:w="1549" w:type="dxa"/>
            <w:noWrap/>
            <w:hideMark/>
          </w:tcPr>
          <w:p w14:paraId="52502982" w14:textId="77777777" w:rsidR="00B81F25" w:rsidRPr="00B81F25" w:rsidRDefault="00B81F25" w:rsidP="0079773E">
            <w:pPr>
              <w:jc w:val="right"/>
            </w:pPr>
            <w:r w:rsidRPr="00B81F25">
              <w:t>1.28</w:t>
            </w:r>
          </w:p>
        </w:tc>
        <w:tc>
          <w:tcPr>
            <w:tcW w:w="1574" w:type="dxa"/>
            <w:noWrap/>
            <w:hideMark/>
          </w:tcPr>
          <w:p w14:paraId="68553AD0" w14:textId="77777777" w:rsidR="00B81F25" w:rsidRPr="00B81F25" w:rsidRDefault="00B81F25" w:rsidP="0079773E">
            <w:pPr>
              <w:jc w:val="right"/>
            </w:pPr>
            <w:r w:rsidRPr="00B81F25">
              <w:t>0.12</w:t>
            </w:r>
          </w:p>
        </w:tc>
        <w:tc>
          <w:tcPr>
            <w:tcW w:w="1317" w:type="dxa"/>
            <w:noWrap/>
            <w:hideMark/>
          </w:tcPr>
          <w:p w14:paraId="28BE2E8E" w14:textId="50F6320D" w:rsidR="00B81F25" w:rsidRPr="00B81F25" w:rsidRDefault="0079773E" w:rsidP="0079773E">
            <w:pPr>
              <w:jc w:val="right"/>
            </w:pPr>
            <w:r>
              <w:t>0.53</w:t>
            </w:r>
          </w:p>
        </w:tc>
        <w:tc>
          <w:tcPr>
            <w:tcW w:w="1362" w:type="dxa"/>
            <w:noWrap/>
            <w:hideMark/>
          </w:tcPr>
          <w:p w14:paraId="230CD421" w14:textId="77777777" w:rsidR="00B81F25" w:rsidRPr="00B81F25" w:rsidRDefault="00B81F25" w:rsidP="0079773E">
            <w:pPr>
              <w:jc w:val="right"/>
            </w:pPr>
            <w:r w:rsidRPr="00B81F25">
              <w:t>0.11</w:t>
            </w:r>
          </w:p>
        </w:tc>
        <w:tc>
          <w:tcPr>
            <w:tcW w:w="1082" w:type="dxa"/>
            <w:noWrap/>
            <w:hideMark/>
          </w:tcPr>
          <w:p w14:paraId="3E32C7F6" w14:textId="77777777" w:rsidR="00B81F25" w:rsidRPr="00B81F25" w:rsidRDefault="00B81F25" w:rsidP="0079773E">
            <w:pPr>
              <w:jc w:val="right"/>
            </w:pPr>
            <w:r w:rsidRPr="00B81F25">
              <w:t>-0.04</w:t>
            </w:r>
          </w:p>
        </w:tc>
      </w:tr>
      <w:tr w:rsidR="00B81F25" w:rsidRPr="00B81F25" w14:paraId="59F4180E" w14:textId="77777777" w:rsidTr="00E76A75">
        <w:trPr>
          <w:gridAfter w:val="1"/>
          <w:wAfter w:w="62" w:type="dxa"/>
          <w:trHeight w:val="300"/>
        </w:trPr>
        <w:tc>
          <w:tcPr>
            <w:tcW w:w="1843" w:type="dxa"/>
            <w:noWrap/>
            <w:hideMark/>
          </w:tcPr>
          <w:p w14:paraId="2773CFCF" w14:textId="77777777" w:rsidR="00B81F25" w:rsidRPr="00B81F25" w:rsidRDefault="00B81F25">
            <w:r w:rsidRPr="00B81F25">
              <w:t>FoFeCo - Ya</w:t>
            </w:r>
          </w:p>
        </w:tc>
        <w:tc>
          <w:tcPr>
            <w:tcW w:w="1549" w:type="dxa"/>
            <w:noWrap/>
            <w:hideMark/>
          </w:tcPr>
          <w:p w14:paraId="20F80574" w14:textId="77777777" w:rsidR="00B81F25" w:rsidRPr="00B81F25" w:rsidRDefault="00B81F25" w:rsidP="0079773E">
            <w:pPr>
              <w:jc w:val="right"/>
            </w:pPr>
            <w:r w:rsidRPr="00B81F25">
              <w:t>0.99</w:t>
            </w:r>
          </w:p>
        </w:tc>
        <w:tc>
          <w:tcPr>
            <w:tcW w:w="1574" w:type="dxa"/>
            <w:noWrap/>
            <w:hideMark/>
          </w:tcPr>
          <w:p w14:paraId="65F5F108" w14:textId="77777777" w:rsidR="00B81F25" w:rsidRPr="00B81F25" w:rsidRDefault="00B81F25" w:rsidP="0079773E">
            <w:pPr>
              <w:jc w:val="right"/>
            </w:pPr>
            <w:r w:rsidRPr="00B81F25">
              <w:t>0.34</w:t>
            </w:r>
          </w:p>
        </w:tc>
        <w:tc>
          <w:tcPr>
            <w:tcW w:w="1317" w:type="dxa"/>
            <w:noWrap/>
            <w:hideMark/>
          </w:tcPr>
          <w:p w14:paraId="272C9B19" w14:textId="77777777" w:rsidR="00B81F25" w:rsidRPr="00B81F25" w:rsidRDefault="00B81F25" w:rsidP="0079773E">
            <w:pPr>
              <w:jc w:val="right"/>
            </w:pPr>
            <w:r w:rsidRPr="00B81F25">
              <w:t>0.39</w:t>
            </w:r>
          </w:p>
        </w:tc>
        <w:tc>
          <w:tcPr>
            <w:tcW w:w="1362" w:type="dxa"/>
            <w:noWrap/>
            <w:hideMark/>
          </w:tcPr>
          <w:p w14:paraId="7546C3BA" w14:textId="77777777" w:rsidR="00B81F25" w:rsidRPr="00B81F25" w:rsidRDefault="00B81F25" w:rsidP="0079773E">
            <w:pPr>
              <w:jc w:val="right"/>
            </w:pPr>
            <w:r w:rsidRPr="00B81F25">
              <w:t>0.93</w:t>
            </w:r>
          </w:p>
        </w:tc>
        <w:tc>
          <w:tcPr>
            <w:tcW w:w="1082" w:type="dxa"/>
            <w:noWrap/>
            <w:hideMark/>
          </w:tcPr>
          <w:p w14:paraId="36CFB8DF" w14:textId="77777777" w:rsidR="00B81F25" w:rsidRPr="00B81F25" w:rsidRDefault="00B81F25" w:rsidP="0079773E">
            <w:pPr>
              <w:jc w:val="right"/>
            </w:pPr>
            <w:r w:rsidRPr="00B81F25">
              <w:t>0.02</w:t>
            </w:r>
          </w:p>
        </w:tc>
      </w:tr>
      <w:tr w:rsidR="00B81F25" w:rsidRPr="00B81F25" w14:paraId="1139001B" w14:textId="77777777" w:rsidTr="00E76A75">
        <w:trPr>
          <w:gridAfter w:val="1"/>
          <w:wAfter w:w="62" w:type="dxa"/>
          <w:trHeight w:val="300"/>
        </w:trPr>
        <w:tc>
          <w:tcPr>
            <w:tcW w:w="1843" w:type="dxa"/>
            <w:noWrap/>
            <w:hideMark/>
          </w:tcPr>
          <w:p w14:paraId="044BB126" w14:textId="77777777" w:rsidR="00B81F25" w:rsidRPr="00B81F25" w:rsidRDefault="00B81F25">
            <w:r w:rsidRPr="00B81F25">
              <w:t>FoFeCo - Yw50</w:t>
            </w:r>
          </w:p>
        </w:tc>
        <w:tc>
          <w:tcPr>
            <w:tcW w:w="1549" w:type="dxa"/>
            <w:noWrap/>
            <w:hideMark/>
          </w:tcPr>
          <w:p w14:paraId="66D7AD09" w14:textId="77777777" w:rsidR="00B81F25" w:rsidRPr="00B81F25" w:rsidRDefault="00B81F25" w:rsidP="0079773E">
            <w:pPr>
              <w:jc w:val="right"/>
            </w:pPr>
            <w:r w:rsidRPr="00B81F25">
              <w:t>0.99</w:t>
            </w:r>
          </w:p>
        </w:tc>
        <w:tc>
          <w:tcPr>
            <w:tcW w:w="1574" w:type="dxa"/>
            <w:noWrap/>
            <w:hideMark/>
          </w:tcPr>
          <w:p w14:paraId="7B160EE1" w14:textId="77777777" w:rsidR="00B81F25" w:rsidRPr="00B81F25" w:rsidRDefault="00B81F25" w:rsidP="0079773E">
            <w:pPr>
              <w:jc w:val="right"/>
            </w:pPr>
            <w:r w:rsidRPr="00B81F25">
              <w:t>0.34</w:t>
            </w:r>
          </w:p>
        </w:tc>
        <w:tc>
          <w:tcPr>
            <w:tcW w:w="1317" w:type="dxa"/>
            <w:noWrap/>
            <w:hideMark/>
          </w:tcPr>
          <w:p w14:paraId="1845BB10" w14:textId="59FE6390" w:rsidR="00B81F25" w:rsidRPr="00B81F25" w:rsidRDefault="0079773E" w:rsidP="0079773E">
            <w:pPr>
              <w:jc w:val="right"/>
            </w:pPr>
            <w:r>
              <w:t>0.64</w:t>
            </w:r>
          </w:p>
        </w:tc>
        <w:tc>
          <w:tcPr>
            <w:tcW w:w="1362" w:type="dxa"/>
            <w:noWrap/>
            <w:hideMark/>
          </w:tcPr>
          <w:p w14:paraId="462608E3" w14:textId="77777777" w:rsidR="00B81F25" w:rsidRPr="00B81F25" w:rsidRDefault="00B81F25" w:rsidP="0079773E">
            <w:pPr>
              <w:jc w:val="right"/>
            </w:pPr>
            <w:r w:rsidRPr="00B81F25">
              <w:t>0.42</w:t>
            </w:r>
          </w:p>
        </w:tc>
        <w:tc>
          <w:tcPr>
            <w:tcW w:w="1082" w:type="dxa"/>
            <w:noWrap/>
            <w:hideMark/>
          </w:tcPr>
          <w:p w14:paraId="3C2FCF85" w14:textId="77777777" w:rsidR="00B81F25" w:rsidRPr="00B81F25" w:rsidRDefault="00B81F25" w:rsidP="0079773E">
            <w:pPr>
              <w:jc w:val="right"/>
            </w:pPr>
            <w:r w:rsidRPr="00B81F25">
              <w:t>0.00</w:t>
            </w:r>
          </w:p>
        </w:tc>
      </w:tr>
      <w:tr w:rsidR="00B81F25" w:rsidRPr="00B81F25" w14:paraId="1D6F1E81" w14:textId="77777777" w:rsidTr="00E76A75">
        <w:trPr>
          <w:gridAfter w:val="1"/>
          <w:wAfter w:w="62" w:type="dxa"/>
          <w:trHeight w:val="300"/>
        </w:trPr>
        <w:tc>
          <w:tcPr>
            <w:tcW w:w="1843" w:type="dxa"/>
            <w:noWrap/>
            <w:hideMark/>
          </w:tcPr>
          <w:p w14:paraId="52C5B6AB" w14:textId="77777777" w:rsidR="00B81F25" w:rsidRPr="00B81F25" w:rsidRDefault="00B81F25">
            <w:r w:rsidRPr="00B81F25">
              <w:t>FoFeCo - Yw80</w:t>
            </w:r>
          </w:p>
        </w:tc>
        <w:tc>
          <w:tcPr>
            <w:tcW w:w="1549" w:type="dxa"/>
            <w:noWrap/>
            <w:hideMark/>
          </w:tcPr>
          <w:p w14:paraId="05FD9411" w14:textId="77777777" w:rsidR="00B81F25" w:rsidRPr="00B81F25" w:rsidRDefault="00B81F25" w:rsidP="0079773E">
            <w:pPr>
              <w:jc w:val="right"/>
            </w:pPr>
            <w:r w:rsidRPr="00B81F25">
              <w:t>0.99</w:t>
            </w:r>
          </w:p>
        </w:tc>
        <w:tc>
          <w:tcPr>
            <w:tcW w:w="1574" w:type="dxa"/>
            <w:noWrap/>
            <w:hideMark/>
          </w:tcPr>
          <w:p w14:paraId="6C2610C3" w14:textId="77777777" w:rsidR="00B81F25" w:rsidRPr="00B81F25" w:rsidRDefault="00B81F25" w:rsidP="0079773E">
            <w:pPr>
              <w:jc w:val="right"/>
            </w:pPr>
            <w:r w:rsidRPr="00B81F25">
              <w:t>0.34</w:t>
            </w:r>
          </w:p>
        </w:tc>
        <w:tc>
          <w:tcPr>
            <w:tcW w:w="1317" w:type="dxa"/>
            <w:noWrap/>
            <w:hideMark/>
          </w:tcPr>
          <w:p w14:paraId="0B5DF8B6" w14:textId="03A5A174" w:rsidR="00B81F25" w:rsidRPr="00B81F25" w:rsidRDefault="0079773E" w:rsidP="0079773E">
            <w:pPr>
              <w:jc w:val="right"/>
            </w:pPr>
            <w:r>
              <w:t>0.74</w:t>
            </w:r>
          </w:p>
        </w:tc>
        <w:tc>
          <w:tcPr>
            <w:tcW w:w="1362" w:type="dxa"/>
            <w:noWrap/>
            <w:hideMark/>
          </w:tcPr>
          <w:p w14:paraId="2F1B18F0" w14:textId="77777777" w:rsidR="00B81F25" w:rsidRPr="00B81F25" w:rsidRDefault="00B81F25" w:rsidP="0079773E">
            <w:pPr>
              <w:jc w:val="right"/>
            </w:pPr>
            <w:r w:rsidRPr="00B81F25">
              <w:t>0.29</w:t>
            </w:r>
          </w:p>
        </w:tc>
        <w:tc>
          <w:tcPr>
            <w:tcW w:w="1082" w:type="dxa"/>
            <w:noWrap/>
            <w:hideMark/>
          </w:tcPr>
          <w:p w14:paraId="3D987938" w14:textId="77777777" w:rsidR="00B81F25" w:rsidRPr="00B81F25" w:rsidRDefault="00B81F25" w:rsidP="0079773E">
            <w:pPr>
              <w:jc w:val="right"/>
            </w:pPr>
            <w:r w:rsidRPr="00B81F25">
              <w:t>-0.02</w:t>
            </w:r>
          </w:p>
        </w:tc>
      </w:tr>
      <w:tr w:rsidR="00B81F25" w:rsidRPr="00B81F25" w14:paraId="4674728F" w14:textId="77777777" w:rsidTr="00E76A75">
        <w:trPr>
          <w:gridAfter w:val="1"/>
          <w:wAfter w:w="62" w:type="dxa"/>
          <w:trHeight w:val="300"/>
        </w:trPr>
        <w:tc>
          <w:tcPr>
            <w:tcW w:w="1843" w:type="dxa"/>
            <w:tcBorders>
              <w:bottom w:val="single" w:sz="4" w:space="0" w:color="auto"/>
            </w:tcBorders>
            <w:noWrap/>
            <w:hideMark/>
          </w:tcPr>
          <w:p w14:paraId="4AF20771" w14:textId="77777777" w:rsidR="00B81F25" w:rsidRPr="00B81F25" w:rsidRDefault="00B81F25">
            <w:r w:rsidRPr="00B81F25">
              <w:t>FoCo - Ya</w:t>
            </w:r>
          </w:p>
        </w:tc>
        <w:tc>
          <w:tcPr>
            <w:tcW w:w="1549" w:type="dxa"/>
            <w:tcBorders>
              <w:bottom w:val="single" w:sz="4" w:space="0" w:color="auto"/>
            </w:tcBorders>
            <w:noWrap/>
            <w:hideMark/>
          </w:tcPr>
          <w:p w14:paraId="421445F4" w14:textId="77777777" w:rsidR="00B81F25" w:rsidRPr="00B81F25" w:rsidRDefault="00B81F25" w:rsidP="0079773E">
            <w:pPr>
              <w:jc w:val="right"/>
            </w:pPr>
            <w:r w:rsidRPr="00B81F25">
              <w:t>1.22</w:t>
            </w:r>
          </w:p>
        </w:tc>
        <w:tc>
          <w:tcPr>
            <w:tcW w:w="1574" w:type="dxa"/>
            <w:tcBorders>
              <w:bottom w:val="single" w:sz="4" w:space="0" w:color="auto"/>
            </w:tcBorders>
            <w:noWrap/>
            <w:hideMark/>
          </w:tcPr>
          <w:p w14:paraId="1ECC7B8F" w14:textId="77777777" w:rsidR="00B81F25" w:rsidRPr="00B81F25" w:rsidRDefault="00B81F25" w:rsidP="0079773E">
            <w:pPr>
              <w:jc w:val="right"/>
            </w:pPr>
            <w:r w:rsidRPr="00B81F25">
              <w:t>0.20</w:t>
            </w:r>
          </w:p>
        </w:tc>
        <w:tc>
          <w:tcPr>
            <w:tcW w:w="1317" w:type="dxa"/>
            <w:tcBorders>
              <w:bottom w:val="single" w:sz="4" w:space="0" w:color="auto"/>
            </w:tcBorders>
            <w:noWrap/>
            <w:hideMark/>
          </w:tcPr>
          <w:p w14:paraId="25ACCF3A" w14:textId="77777777" w:rsidR="00B81F25" w:rsidRPr="00B81F25" w:rsidRDefault="00B81F25" w:rsidP="0079773E">
            <w:pPr>
              <w:jc w:val="right"/>
            </w:pPr>
            <w:r w:rsidRPr="00B81F25">
              <w:t>0.22</w:t>
            </w:r>
          </w:p>
        </w:tc>
        <w:tc>
          <w:tcPr>
            <w:tcW w:w="1362" w:type="dxa"/>
            <w:tcBorders>
              <w:bottom w:val="single" w:sz="4" w:space="0" w:color="auto"/>
            </w:tcBorders>
            <w:noWrap/>
            <w:hideMark/>
          </w:tcPr>
          <w:p w14:paraId="7196B956" w14:textId="77777777" w:rsidR="00B81F25" w:rsidRPr="00B81F25" w:rsidRDefault="00B81F25" w:rsidP="0079773E">
            <w:pPr>
              <w:jc w:val="right"/>
            </w:pPr>
            <w:r w:rsidRPr="00B81F25">
              <w:t>0.04</w:t>
            </w:r>
          </w:p>
        </w:tc>
        <w:tc>
          <w:tcPr>
            <w:tcW w:w="1082" w:type="dxa"/>
            <w:tcBorders>
              <w:bottom w:val="single" w:sz="4" w:space="0" w:color="auto"/>
            </w:tcBorders>
            <w:noWrap/>
            <w:hideMark/>
          </w:tcPr>
          <w:p w14:paraId="3E510D35" w14:textId="77777777" w:rsidR="00B81F25" w:rsidRPr="00B81F25" w:rsidRDefault="00B81F25" w:rsidP="0079773E">
            <w:pPr>
              <w:jc w:val="right"/>
            </w:pPr>
            <w:r w:rsidRPr="00B81F25">
              <w:t>-0.06</w:t>
            </w:r>
          </w:p>
        </w:tc>
      </w:tr>
    </w:tbl>
    <w:p w14:paraId="00B4CDE4" w14:textId="77777777" w:rsidR="00B81F25" w:rsidRDefault="00B81F25" w:rsidP="00F707C0"/>
    <w:p w14:paraId="1AF5E683" w14:textId="77777777" w:rsidR="00B912A4" w:rsidRDefault="00B912A4" w:rsidP="00F707C0">
      <w:pPr>
        <w:rPr>
          <w:b/>
        </w:rPr>
      </w:pPr>
      <w:r w:rsidRPr="00B912A4">
        <w:rPr>
          <w:b/>
        </w:rPr>
        <w:t>References</w:t>
      </w:r>
    </w:p>
    <w:p w14:paraId="6698EAA2" w14:textId="77777777" w:rsidR="008C5C6D" w:rsidRPr="00583FAA" w:rsidRDefault="008C5C6D" w:rsidP="008C5C6D">
      <w:pPr>
        <w:spacing w:line="360" w:lineRule="auto"/>
        <w:ind w:left="709" w:hanging="709"/>
        <w:rPr>
          <w:lang w:val="en-GB"/>
        </w:rPr>
      </w:pPr>
      <w:r w:rsidRPr="00583FAA">
        <w:rPr>
          <w:lang w:val="en-GB"/>
        </w:rPr>
        <w:t>Anindo, D. O., Said, A. N., &amp; Lahlou-Kassi, A. (1994). Chemical Composition and Nutritive value of Feedstuffs for Ruminant Livestock in sub-Saharan Africa. Retrieved from International Livestock Centre for Africa website: http://192.156.137.110/ssafeed/</w:t>
      </w:r>
    </w:p>
    <w:p w14:paraId="136E27CA" w14:textId="77777777" w:rsidR="008C5C6D" w:rsidRPr="00583FAA" w:rsidRDefault="008C5C6D" w:rsidP="008C5C6D">
      <w:pPr>
        <w:spacing w:line="360" w:lineRule="auto"/>
        <w:ind w:left="709" w:hanging="709"/>
        <w:rPr>
          <w:lang w:val="en-GB"/>
        </w:rPr>
      </w:pPr>
      <w:r w:rsidRPr="00583FAA">
        <w:rPr>
          <w:lang w:val="en-GB"/>
        </w:rPr>
        <w:t>Bebe, B. O., Udo, H. M. J., &amp; Thorpe, W. (2002). Development of smallholder dairy systems in the Kenya highlands. Outlook on Agriculture, 31(2), 113–120. https://doi.org/10.5367/000000002101293958</w:t>
      </w:r>
    </w:p>
    <w:p w14:paraId="03F9292F" w14:textId="77777777" w:rsidR="008C5C6D" w:rsidRPr="00583FAA" w:rsidRDefault="008C5C6D" w:rsidP="008C5C6D">
      <w:pPr>
        <w:spacing w:line="360" w:lineRule="auto"/>
        <w:ind w:left="709" w:hanging="709"/>
        <w:rPr>
          <w:lang w:val="en-GB"/>
        </w:rPr>
      </w:pPr>
      <w:r w:rsidRPr="00583FAA">
        <w:rPr>
          <w:lang w:val="en-GB"/>
        </w:rPr>
        <w:t>Brandt, P., Herold, M., &amp; Rufino, M. C. (2018). The contribution of sectoral climate change mitigation options to national targets: a quantitative assessment of dairy production in Kenya. Environmental Research Letters, 13(3), 034016. https://doi.org/10.1088/1748-9326/aaac84</w:t>
      </w:r>
    </w:p>
    <w:p w14:paraId="08AD976A" w14:textId="77777777" w:rsidR="008C5C6D" w:rsidRPr="00583FAA" w:rsidRDefault="008C5C6D" w:rsidP="008C5C6D">
      <w:pPr>
        <w:spacing w:line="360" w:lineRule="auto"/>
        <w:ind w:left="709" w:hanging="709"/>
        <w:rPr>
          <w:lang w:val="en-GB"/>
        </w:rPr>
      </w:pPr>
      <w:r w:rsidRPr="00583FAA">
        <w:rPr>
          <w:lang w:val="en-GB"/>
        </w:rPr>
        <w:t>Castellanos-Navarrete, A., Tittonell, P., Rufino, M. C., &amp; Giller, K. E. (2015). Feeding, crop residue and manure management for integrated soil fertility management - A case study from Kenya. Agricultural Systems, 134, 24–35. https://doi.org/10.1016/j.agsy.2014.03.001</w:t>
      </w:r>
    </w:p>
    <w:p w14:paraId="06967ED9" w14:textId="77777777" w:rsidR="008C5C6D" w:rsidRPr="00583FAA" w:rsidRDefault="008C5C6D" w:rsidP="008C5C6D">
      <w:pPr>
        <w:spacing w:line="360" w:lineRule="auto"/>
        <w:ind w:left="709" w:hanging="709"/>
        <w:rPr>
          <w:lang w:val="en-GB"/>
        </w:rPr>
      </w:pPr>
      <w:r w:rsidRPr="00583FAA">
        <w:rPr>
          <w:lang w:val="en-GB"/>
        </w:rPr>
        <w:t>Don, A., Schumacher, J., &amp; Freibauer, A. (2011). Impact of tropical land-use change on soil organic carbon stocks - a meta-analysis. Global Change Biology, 17(4), 1658–1670. https://doi.org/10.1111/j.1365-2486.2010.02336.x</w:t>
      </w:r>
    </w:p>
    <w:p w14:paraId="568D0D4B" w14:textId="77777777" w:rsidR="008C5C6D" w:rsidRPr="00583FAA" w:rsidRDefault="008C5C6D" w:rsidP="008C5C6D">
      <w:pPr>
        <w:spacing w:line="360" w:lineRule="auto"/>
        <w:ind w:left="709" w:hanging="709"/>
        <w:rPr>
          <w:lang w:val="en-GB"/>
        </w:rPr>
      </w:pPr>
      <w:r w:rsidRPr="00583FAA">
        <w:rPr>
          <w:lang w:val="en-GB"/>
        </w:rPr>
        <w:t>Government of Kenya. (2014). Livestock numbers and production dataset. Nairobi (Kenya): Ministry of Agriculture, Livestock and Fisheries.</w:t>
      </w:r>
    </w:p>
    <w:p w14:paraId="7C43D481" w14:textId="77777777" w:rsidR="008C5C6D" w:rsidRPr="00583FAA" w:rsidRDefault="008C5C6D" w:rsidP="008C5C6D">
      <w:pPr>
        <w:spacing w:line="360" w:lineRule="auto"/>
        <w:ind w:left="709" w:hanging="709"/>
        <w:rPr>
          <w:lang w:val="en-GB"/>
        </w:rPr>
      </w:pPr>
      <w:r w:rsidRPr="00583FAA">
        <w:rPr>
          <w:lang w:val="en-GB"/>
        </w:rPr>
        <w:t>Government of Kenya. (2015). Kenya’s Intended Nationally Determined Contribution (INDC). Retrieved from Ministry of Environment and Natural Resources website: http://www4.unfccc.int/ndcregistry/Pages/Party.aspx?party=KEN</w:t>
      </w:r>
    </w:p>
    <w:p w14:paraId="513C4608" w14:textId="4ABAEF52" w:rsidR="008C5C6D" w:rsidRPr="00583FAA" w:rsidRDefault="008C5C6D" w:rsidP="008C5C6D">
      <w:pPr>
        <w:spacing w:line="360" w:lineRule="auto"/>
        <w:ind w:left="709" w:hanging="709"/>
        <w:rPr>
          <w:lang w:val="en-GB"/>
        </w:rPr>
      </w:pPr>
      <w:r w:rsidRPr="00583FAA">
        <w:rPr>
          <w:lang w:val="en-GB"/>
        </w:rPr>
        <w:t xml:space="preserve">Hengl, T., Heuvelink, G. B. M., Kempen, B., Leenaars, J. G. B., Walsh, M. G., </w:t>
      </w:r>
      <w:r w:rsidR="0089723A">
        <w:rPr>
          <w:lang w:val="en-GB"/>
        </w:rPr>
        <w:t>et al.</w:t>
      </w:r>
      <w:r w:rsidRPr="00BF23D3">
        <w:rPr>
          <w:lang w:val="en-GB"/>
        </w:rPr>
        <w:t xml:space="preserve"> (2015). </w:t>
      </w:r>
      <w:r w:rsidRPr="00583FAA">
        <w:rPr>
          <w:lang w:val="en-GB"/>
        </w:rPr>
        <w:t>Mapping soil properties of Africa at 250 m resolution: Random forests significantly improve current predictions. PLoS ONE, 10(6). https://doi.org/10.1371/journal.pone.0125814</w:t>
      </w:r>
    </w:p>
    <w:p w14:paraId="105793C6" w14:textId="1DB4A9DD" w:rsidR="008C5C6D" w:rsidRPr="00583FAA" w:rsidRDefault="008C5C6D" w:rsidP="008C5C6D">
      <w:pPr>
        <w:spacing w:line="360" w:lineRule="auto"/>
        <w:ind w:left="709" w:hanging="709"/>
        <w:rPr>
          <w:lang w:val="en-GB"/>
        </w:rPr>
      </w:pPr>
      <w:r w:rsidRPr="00583FAA">
        <w:rPr>
          <w:lang w:val="en-GB"/>
        </w:rPr>
        <w:t>Herrero, M., Havlík, P., Valin, H., Notenbaert, A., Rufino, M. C., Thornton, P. K.,</w:t>
      </w:r>
      <w:r w:rsidR="0089723A">
        <w:rPr>
          <w:lang w:val="en-GB"/>
        </w:rPr>
        <w:t xml:space="preserve"> et al.</w:t>
      </w:r>
      <w:r w:rsidRPr="00BF23D3">
        <w:rPr>
          <w:lang w:val="en-GB"/>
        </w:rPr>
        <w:t xml:space="preserve"> (2013). </w:t>
      </w:r>
      <w:r w:rsidRPr="00583FAA">
        <w:rPr>
          <w:lang w:val="en-GB"/>
        </w:rPr>
        <w:t>Biomass use, production, feed efficiencies, and greenhouse gas emissions from global livestock systems. Proceedings of the National Academy of Sciences of the United States of America, 110(52), 20888–20893. https://doi.org/10.1073/pnas.1308149110</w:t>
      </w:r>
    </w:p>
    <w:p w14:paraId="0ACCD7DE" w14:textId="213C64C2" w:rsidR="008C5C6D" w:rsidRPr="00583FAA" w:rsidRDefault="008C5C6D" w:rsidP="008C5C6D">
      <w:pPr>
        <w:spacing w:line="360" w:lineRule="auto"/>
        <w:ind w:left="709" w:hanging="709"/>
        <w:rPr>
          <w:lang w:val="en-GB"/>
        </w:rPr>
      </w:pPr>
      <w:r w:rsidRPr="0089723A">
        <w:rPr>
          <w:lang w:val="en-GB"/>
        </w:rPr>
        <w:t>Herrero, M., Thornton, P. K., Bernués, A., Baltenweck, I., Vervoort, J., van de Steeg, J.</w:t>
      </w:r>
      <w:r w:rsidR="0089723A" w:rsidRPr="0089723A">
        <w:rPr>
          <w:lang w:val="en-GB"/>
        </w:rPr>
        <w:t xml:space="preserve"> et al.</w:t>
      </w:r>
      <w:r w:rsidR="0089723A">
        <w:rPr>
          <w:lang w:val="en-GB"/>
        </w:rPr>
        <w:t xml:space="preserve"> </w:t>
      </w:r>
      <w:r w:rsidRPr="00BF23D3">
        <w:rPr>
          <w:lang w:val="en-GB"/>
        </w:rPr>
        <w:t xml:space="preserve">(2014). </w:t>
      </w:r>
      <w:r w:rsidRPr="00583FAA">
        <w:rPr>
          <w:lang w:val="en-GB"/>
        </w:rPr>
        <w:t>Exploring future changes in smallholder farming systems by linking socio-economic scenarios with regional and household models. Global Environmental Change, 24(1), 165–182. https://doi.org/10.1016/j.gloenvcha.2013.12.008</w:t>
      </w:r>
    </w:p>
    <w:p w14:paraId="6F821751" w14:textId="77777777" w:rsidR="008C5C6D" w:rsidRPr="00583FAA" w:rsidRDefault="008C5C6D" w:rsidP="008C5C6D">
      <w:pPr>
        <w:spacing w:line="360" w:lineRule="auto"/>
        <w:ind w:left="709" w:hanging="709"/>
        <w:rPr>
          <w:lang w:val="en-GB"/>
        </w:rPr>
      </w:pPr>
      <w:r w:rsidRPr="00583FAA">
        <w:rPr>
          <w:lang w:val="en-GB"/>
        </w:rPr>
        <w:t>Hickman, J. E., Huang, Y., Wu, S., Diru, W., Groffman, P. M., Tully, K. L., &amp; Palm, C. A. (2017). Nonlinear response of nitric oxide fluxes to fertilizer inputs and the impacts of agricultural intensification on tropospheric ozone pollution in Kenya. Global Change Biology, 23(8), 3193–3204. https://doi.org/10.1111/gcb.13644</w:t>
      </w:r>
    </w:p>
    <w:p w14:paraId="6CC57D0D" w14:textId="77777777" w:rsidR="008C5C6D" w:rsidRPr="00583FAA" w:rsidRDefault="008C5C6D" w:rsidP="008C5C6D">
      <w:pPr>
        <w:spacing w:line="360" w:lineRule="auto"/>
        <w:ind w:left="709" w:hanging="709"/>
        <w:rPr>
          <w:lang w:val="en-GB"/>
        </w:rPr>
      </w:pPr>
      <w:r w:rsidRPr="00583FAA">
        <w:rPr>
          <w:lang w:val="en-GB"/>
        </w:rPr>
        <w:t>IPCC. (2006). IPCC Guidelines for National Greenhouse Gas Inventories, Prepared by the National Greenhouse Gas Inventories Programme (H. S. Eggleston, L. Buendia, K. Miwa, T. Ngara, &amp; K. Tanabe, eds.). Retrieved from https://www.ipcc-nggip.iges.or.jp/public/2006gl/</w:t>
      </w:r>
    </w:p>
    <w:p w14:paraId="6F5B5B06" w14:textId="10F8424F" w:rsidR="008C5C6D" w:rsidRPr="00583FAA" w:rsidRDefault="008C5C6D" w:rsidP="008C5C6D">
      <w:pPr>
        <w:spacing w:line="360" w:lineRule="auto"/>
        <w:ind w:left="709" w:hanging="709"/>
        <w:rPr>
          <w:lang w:val="en-GB"/>
        </w:rPr>
      </w:pPr>
      <w:r w:rsidRPr="00583FAA">
        <w:rPr>
          <w:lang w:val="en-GB"/>
        </w:rPr>
        <w:t>IPCC. (2014). Summary for Policymakers. In: Climate Change 2013: The Physical Science Basis. Contribution of Working Group I to the Fifth Assessment Report of the Intergovernmental Panel on Climate Change [Ed</w:t>
      </w:r>
      <w:r w:rsidR="00B427C3">
        <w:rPr>
          <w:lang w:val="en-GB"/>
        </w:rPr>
        <w:t>s</w:t>
      </w:r>
      <w:r w:rsidRPr="00583FAA">
        <w:rPr>
          <w:lang w:val="en-GB"/>
        </w:rPr>
        <w:t xml:space="preserve"> Stocker, T.F., D. Qin, G.-K. Plattner, M. Tignor, S. K. Allen, J. Boschung, A. Nauels, Y. Xia, V. Bex and P.M. Midgley]. Retrieved from Intergovernmental Panel on Climate Change website: http://www.ipcc.ch/report/ar5/wg1</w:t>
      </w:r>
    </w:p>
    <w:p w14:paraId="1EBFE666" w14:textId="77777777" w:rsidR="008C5C6D" w:rsidRPr="00583FAA" w:rsidRDefault="008C5C6D" w:rsidP="008C5C6D">
      <w:pPr>
        <w:spacing w:line="360" w:lineRule="auto"/>
        <w:ind w:left="709" w:hanging="709"/>
        <w:rPr>
          <w:lang w:val="en-GB"/>
        </w:rPr>
      </w:pPr>
      <w:r w:rsidRPr="00583FAA">
        <w:rPr>
          <w:lang w:val="en-GB"/>
        </w:rPr>
        <w:t>Katiku, P. N., Gachuiri, C. K., &amp; Mbugua, P. N. (2011). Characterization of Dairy Cattle Farming in Mbeere District of Eastern Kenya. Livestock Research for Rural Development, 23(11). Retrieved from http://www.lrrd.org/lrrd23/11/kati23236.htm</w:t>
      </w:r>
    </w:p>
    <w:p w14:paraId="42F69C37" w14:textId="77777777" w:rsidR="008C5C6D" w:rsidRPr="00583FAA" w:rsidRDefault="008C5C6D" w:rsidP="008C5C6D">
      <w:pPr>
        <w:spacing w:line="360" w:lineRule="auto"/>
        <w:ind w:left="709" w:hanging="709"/>
        <w:rPr>
          <w:lang w:val="en-GB"/>
        </w:rPr>
      </w:pPr>
      <w:r w:rsidRPr="00583FAA">
        <w:rPr>
          <w:lang w:val="en-GB"/>
        </w:rPr>
        <w:t xml:space="preserve">Monfreda, C., Ramankutty, N., &amp; Foley, J. A. (2008). Farming the planet: 2. </w:t>
      </w:r>
      <w:r w:rsidRPr="00BF23D3">
        <w:rPr>
          <w:lang w:val="en-GB"/>
        </w:rPr>
        <w:t xml:space="preserve">Geographic distribution of crop areas, yields, physiological types, and net primary production in the year 2000. </w:t>
      </w:r>
      <w:r w:rsidRPr="00583FAA">
        <w:rPr>
          <w:lang w:val="en-GB"/>
        </w:rPr>
        <w:t>Global Biogeochemical Cycles, 22(1), 1–19. https://doi.org/10.1029/2007GB002947</w:t>
      </w:r>
    </w:p>
    <w:p w14:paraId="09D3B690" w14:textId="77777777" w:rsidR="008C5C6D" w:rsidRPr="00583FAA" w:rsidRDefault="008C5C6D" w:rsidP="008C5C6D">
      <w:pPr>
        <w:spacing w:line="360" w:lineRule="auto"/>
        <w:ind w:left="709" w:hanging="709"/>
        <w:rPr>
          <w:lang w:val="en-GB"/>
        </w:rPr>
      </w:pPr>
      <w:r w:rsidRPr="00583FAA">
        <w:rPr>
          <w:lang w:val="en-GB"/>
        </w:rPr>
        <w:t>Potter, P., Ramankutty, N., Bennett, E. M., &amp; Donner, S. D. (2010). Characterizing the spatial patterns of global fertilizer application and manure production. Earth Interactions, 14(2). https://doi.org/10.1175/2009EI288.1</w:t>
      </w:r>
    </w:p>
    <w:p w14:paraId="1A0F57DB" w14:textId="23842936" w:rsidR="008C5C6D" w:rsidRPr="00583FAA" w:rsidRDefault="008C5C6D" w:rsidP="008C5C6D">
      <w:pPr>
        <w:spacing w:line="360" w:lineRule="auto"/>
        <w:ind w:left="709" w:hanging="709"/>
        <w:rPr>
          <w:lang w:val="en-GB"/>
        </w:rPr>
      </w:pPr>
      <w:r w:rsidRPr="0089723A">
        <w:rPr>
          <w:lang w:val="en-GB"/>
        </w:rPr>
        <w:t xml:space="preserve">Robinson, T. P., Thornton, P. K., Franceschini, G., Kruska, R. L., Chiozza, F., </w:t>
      </w:r>
      <w:r w:rsidR="0089723A" w:rsidRPr="0089723A">
        <w:rPr>
          <w:lang w:val="en-GB"/>
        </w:rPr>
        <w:t>et al.</w:t>
      </w:r>
      <w:r w:rsidRPr="00BF23D3">
        <w:rPr>
          <w:lang w:val="en-GB"/>
        </w:rPr>
        <w:t xml:space="preserve"> (2011). </w:t>
      </w:r>
      <w:r w:rsidRPr="00583FAA">
        <w:rPr>
          <w:lang w:val="en-GB"/>
        </w:rPr>
        <w:t>Global Livestock Production Systems. Retrieved from Food and Agriculture Organization of the United Nations, International Livestock Research Institute website: http://www.fao.org/docrep/014/i2414e/i2414e.pdf</w:t>
      </w:r>
    </w:p>
    <w:p w14:paraId="59AA201C" w14:textId="0905E315" w:rsidR="008C5C6D" w:rsidRPr="00583FAA" w:rsidRDefault="008C5C6D" w:rsidP="008C5C6D">
      <w:pPr>
        <w:spacing w:line="360" w:lineRule="auto"/>
        <w:ind w:left="709" w:hanging="709"/>
        <w:rPr>
          <w:lang w:val="en-GB"/>
        </w:rPr>
      </w:pPr>
      <w:r w:rsidRPr="00583FAA">
        <w:rPr>
          <w:lang w:val="en-GB"/>
        </w:rPr>
        <w:t xml:space="preserve">Robinson, T. P., William Wint, G. R., Conchedda, G., Van Boeckel, T. P., Ercoli, V., </w:t>
      </w:r>
      <w:r w:rsidR="0089723A">
        <w:rPr>
          <w:lang w:val="en-GB"/>
        </w:rPr>
        <w:t>et al.</w:t>
      </w:r>
      <w:r w:rsidRPr="00BF23D3">
        <w:rPr>
          <w:lang w:val="en-GB"/>
        </w:rPr>
        <w:t xml:space="preserve"> (2014). </w:t>
      </w:r>
      <w:r w:rsidRPr="00583FAA">
        <w:rPr>
          <w:lang w:val="en-GB"/>
        </w:rPr>
        <w:t>Mapping the global distribution of livestock. PLoS ONE, 9(5). https://doi.org/10.1371/journal.pone.0096084</w:t>
      </w:r>
    </w:p>
    <w:p w14:paraId="6E9EAACF" w14:textId="0E581C89" w:rsidR="008C5C6D" w:rsidRPr="00583FAA" w:rsidRDefault="008C5C6D" w:rsidP="008C5C6D">
      <w:pPr>
        <w:spacing w:line="360" w:lineRule="auto"/>
        <w:ind w:left="709" w:hanging="709"/>
        <w:rPr>
          <w:lang w:val="en-GB"/>
        </w:rPr>
      </w:pPr>
      <w:r w:rsidRPr="00F86830">
        <w:t xml:space="preserve">Rosenstock, T. S., Mpanda, M., Pelster, D. E., Butterbach-Bahl, K., Rufino, M. C., </w:t>
      </w:r>
      <w:r w:rsidR="00F86830" w:rsidRPr="00F86830">
        <w:t>et al.</w:t>
      </w:r>
      <w:r w:rsidRPr="00F86830">
        <w:t xml:space="preserve"> </w:t>
      </w:r>
      <w:r w:rsidRPr="00BF23D3">
        <w:rPr>
          <w:lang w:val="en-GB"/>
        </w:rPr>
        <w:t xml:space="preserve">(2016). </w:t>
      </w:r>
      <w:r w:rsidRPr="00583FAA">
        <w:rPr>
          <w:lang w:val="en-GB"/>
        </w:rPr>
        <w:t>Greenhouse gas fluxes from agricultural soils of Kenya and Tanzania. Journal of Geophysical Research G: Biogeosciences, 121(6), 1568–1580. https://doi.org/10.1002/2016JG003341</w:t>
      </w:r>
    </w:p>
    <w:p w14:paraId="580BC2D4" w14:textId="77777777" w:rsidR="008C5C6D" w:rsidRPr="006C68FE" w:rsidRDefault="008C5C6D" w:rsidP="008C5C6D">
      <w:pPr>
        <w:spacing w:line="360" w:lineRule="auto"/>
        <w:ind w:left="709" w:hanging="709"/>
        <w:rPr>
          <w:lang w:val="es-ES"/>
        </w:rPr>
      </w:pPr>
      <w:r w:rsidRPr="00583FAA">
        <w:rPr>
          <w:lang w:val="en-GB"/>
        </w:rPr>
        <w:t xml:space="preserve">Rufino, M. C., Herrero, M., Van Wijk, M. T., Hemerik, L., De Ridder, N., &amp; Giller, K. E. (2009). Lifetime productivity of dairy cows in smallholder farming systems of the central highlands of Kenya. </w:t>
      </w:r>
      <w:r w:rsidRPr="006C68FE">
        <w:rPr>
          <w:lang w:val="es-ES"/>
        </w:rPr>
        <w:t>Animal, 3(7), 1044–1056. https://doi.org/10.1017/S1751731109004248</w:t>
      </w:r>
    </w:p>
    <w:p w14:paraId="563E3421" w14:textId="48857AC4" w:rsidR="008C5C6D" w:rsidRPr="00583FAA" w:rsidRDefault="008C5C6D" w:rsidP="008C5C6D">
      <w:pPr>
        <w:spacing w:line="360" w:lineRule="auto"/>
        <w:ind w:left="709" w:hanging="709"/>
        <w:rPr>
          <w:lang w:val="en-GB"/>
        </w:rPr>
      </w:pPr>
      <w:r w:rsidRPr="006C68FE">
        <w:rPr>
          <w:lang w:val="es-ES"/>
        </w:rPr>
        <w:t xml:space="preserve">Rufino, M. C., Tittonell, P., van, W., Castellanos-Navarrete, A., Delve, R. J., </w:t>
      </w:r>
      <w:r w:rsidR="0089723A">
        <w:rPr>
          <w:lang w:val="es-ES"/>
        </w:rPr>
        <w:t xml:space="preserve">et al. </w:t>
      </w:r>
      <w:r w:rsidRPr="00B64518">
        <w:rPr>
          <w:lang w:val="en-GB"/>
        </w:rPr>
        <w:t xml:space="preserve">(2007). </w:t>
      </w:r>
      <w:r w:rsidRPr="00583FAA">
        <w:rPr>
          <w:lang w:val="en-GB"/>
        </w:rPr>
        <w:t>Manure as a key resource within smallholder farming systems: Analysing farm-scale nutrient cycling efficiencies with the NUANCES framework. Livestock Science, 112(3), 273–287. https://doi.org/10.1016/j.livsci.2007.09.011</w:t>
      </w:r>
    </w:p>
    <w:p w14:paraId="2B62AC28" w14:textId="77777777" w:rsidR="008C5C6D" w:rsidRPr="00583FAA" w:rsidRDefault="008C5C6D" w:rsidP="008C5C6D">
      <w:pPr>
        <w:spacing w:line="360" w:lineRule="auto"/>
        <w:ind w:left="709" w:hanging="709"/>
        <w:rPr>
          <w:lang w:val="en-GB"/>
        </w:rPr>
      </w:pPr>
      <w:r w:rsidRPr="00583FAA">
        <w:rPr>
          <w:lang w:val="en-GB"/>
        </w:rPr>
        <w:t>van Ittersum, M. K., Cassman, K. G., Grassini, P., Wolf, J., Tittonell, P., &amp; Hochman, Z. (2013). Yield gap analysis with local to global relevance—A review. Field Crops Research, 143, 4–17. https://doi.org/10.1016/j.fcr.2012.09.009</w:t>
      </w:r>
    </w:p>
    <w:p w14:paraId="03735007" w14:textId="71C51817" w:rsidR="008C5C6D" w:rsidRPr="00583FAA" w:rsidRDefault="008C5C6D" w:rsidP="008C5C6D">
      <w:pPr>
        <w:spacing w:line="360" w:lineRule="auto"/>
        <w:ind w:left="709" w:hanging="709"/>
        <w:rPr>
          <w:lang w:val="en-GB"/>
        </w:rPr>
      </w:pPr>
      <w:r w:rsidRPr="00B64518">
        <w:rPr>
          <w:lang w:val="en-GB"/>
        </w:rPr>
        <w:t xml:space="preserve">Velthuizen, H. van, Huddleston, B., Fischer, G., Salvatore, M., </w:t>
      </w:r>
      <w:r w:rsidR="0089723A" w:rsidRPr="00B64518">
        <w:rPr>
          <w:lang w:val="en-GB"/>
        </w:rPr>
        <w:t>et al.</w:t>
      </w:r>
      <w:r w:rsidRPr="00B64518">
        <w:rPr>
          <w:lang w:val="en-GB"/>
        </w:rPr>
        <w:t xml:space="preserve"> </w:t>
      </w:r>
      <w:r w:rsidRPr="00BF23D3">
        <w:rPr>
          <w:lang w:val="en-GB"/>
        </w:rPr>
        <w:t xml:space="preserve">(2007). </w:t>
      </w:r>
      <w:r w:rsidRPr="00583FAA">
        <w:rPr>
          <w:lang w:val="en-GB"/>
        </w:rPr>
        <w:t>Mapping biophysical factors that influence agricultural production and rural vulnerability. Retrieved from Food and Agriculture Organization of the United Nations website: http://www.fao.org/docrep/pdf/010/a1075e/a1075e00.pdf</w:t>
      </w:r>
    </w:p>
    <w:p w14:paraId="79D1D9AE" w14:textId="3C362485" w:rsidR="00B912A4" w:rsidRPr="00B912A4" w:rsidRDefault="008C5C6D" w:rsidP="008C5C6D">
      <w:pPr>
        <w:spacing w:line="360" w:lineRule="auto"/>
        <w:ind w:left="709" w:hanging="709"/>
      </w:pPr>
      <w:r w:rsidRPr="006C68FE">
        <w:rPr>
          <w:lang w:val="fr-FR"/>
        </w:rPr>
        <w:t>Weiler, V., Udo, H. M. J., Viets, T., Crane, T. A., &amp; De, B</w:t>
      </w:r>
      <w:r w:rsidR="00B427C3">
        <w:rPr>
          <w:lang w:val="fr-FR"/>
        </w:rPr>
        <w:t>oer</w:t>
      </w:r>
      <w:r w:rsidRPr="006C68FE">
        <w:rPr>
          <w:lang w:val="fr-FR"/>
        </w:rPr>
        <w:t xml:space="preserve">. </w:t>
      </w:r>
      <w:r w:rsidRPr="00B64518">
        <w:rPr>
          <w:lang w:val="en-GB"/>
        </w:rPr>
        <w:t xml:space="preserve">(2014). </w:t>
      </w:r>
      <w:r w:rsidRPr="00583FAA">
        <w:rPr>
          <w:lang w:val="en-GB"/>
        </w:rPr>
        <w:t xml:space="preserve">Handling multi-functionality of livestock in a life cycle assessment: The case of smallholder dairying in Kenya. </w:t>
      </w:r>
      <w:r w:rsidRPr="008C5C6D">
        <w:t>Current Opinion in Environmental Sustainability, 8, 29–38. https://doi.org/10.1016/j.cosust.2014.07.009</w:t>
      </w:r>
    </w:p>
    <w:sectPr w:rsidR="00B912A4" w:rsidRPr="00B912A4" w:rsidSect="00B64518">
      <w:footerReference w:type="default" r:id="rId10"/>
      <w:pgSz w:w="11906" w:h="16838"/>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0436" w14:textId="77777777" w:rsidR="00D723A3" w:rsidRDefault="00D723A3" w:rsidP="00852580">
      <w:pPr>
        <w:spacing w:after="0" w:line="240" w:lineRule="auto"/>
      </w:pPr>
      <w:r>
        <w:separator/>
      </w:r>
    </w:p>
  </w:endnote>
  <w:endnote w:type="continuationSeparator" w:id="0">
    <w:p w14:paraId="4B9E9D65" w14:textId="77777777" w:rsidR="00D723A3" w:rsidRDefault="00D723A3" w:rsidP="0085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86442"/>
      <w:docPartObj>
        <w:docPartGallery w:val="Page Numbers (Bottom of Page)"/>
        <w:docPartUnique/>
      </w:docPartObj>
    </w:sdtPr>
    <w:sdtEndPr/>
    <w:sdtContent>
      <w:p w14:paraId="45078E01" w14:textId="6D15F328" w:rsidR="00B64518" w:rsidRDefault="00B64518">
        <w:pPr>
          <w:pStyle w:val="Footer"/>
          <w:jc w:val="right"/>
        </w:pPr>
        <w:r w:rsidRPr="00852580">
          <w:fldChar w:fldCharType="begin"/>
        </w:r>
        <w:r w:rsidRPr="00852580">
          <w:instrText>PAGE   \* MERGEFORMAT</w:instrText>
        </w:r>
        <w:r w:rsidRPr="00852580">
          <w:fldChar w:fldCharType="separate"/>
        </w:r>
        <w:r w:rsidR="00D56E44">
          <w:rPr>
            <w:noProof/>
          </w:rPr>
          <w:t>13</w:t>
        </w:r>
        <w:r w:rsidRPr="00852580">
          <w:fldChar w:fldCharType="end"/>
        </w:r>
      </w:p>
    </w:sdtContent>
  </w:sdt>
  <w:p w14:paraId="4DDFA064" w14:textId="77777777" w:rsidR="00B64518" w:rsidRDefault="00B64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2F0C" w14:textId="77777777" w:rsidR="00D723A3" w:rsidRDefault="00D723A3" w:rsidP="00852580">
      <w:pPr>
        <w:spacing w:after="0" w:line="240" w:lineRule="auto"/>
      </w:pPr>
      <w:r>
        <w:separator/>
      </w:r>
    </w:p>
  </w:footnote>
  <w:footnote w:type="continuationSeparator" w:id="0">
    <w:p w14:paraId="5908F3BC" w14:textId="77777777" w:rsidR="00D723A3" w:rsidRDefault="00D723A3" w:rsidP="00852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70D"/>
    <w:multiLevelType w:val="hybridMultilevel"/>
    <w:tmpl w:val="90103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F5BF1"/>
    <w:multiLevelType w:val="hybridMultilevel"/>
    <w:tmpl w:val="C59CA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6600FA"/>
    <w:multiLevelType w:val="hybridMultilevel"/>
    <w:tmpl w:val="51F0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EF47A7"/>
    <w:multiLevelType w:val="hybridMultilevel"/>
    <w:tmpl w:val="4DD8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s-ES" w:vendorID="64" w:dllVersion="6" w:nlCheck="1" w:checkStyle="0"/>
  <w:activeWritingStyle w:appName="MSWord" w:lang="it-IT" w:vendorID="64" w:dllVersion="6" w:nlCheck="1" w:checkStyle="0"/>
  <w:activeWritingStyle w:appName="MSWord" w:lang="en-GB" w:vendorID="64" w:dllVersion="4096" w:nlCheck="1" w:checkStyle="0"/>
  <w:activeWritingStyle w:appName="MSWord" w:lang="fr-FR"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826"/>
    <w:rsid w:val="00006922"/>
    <w:rsid w:val="00017BD5"/>
    <w:rsid w:val="00024CB1"/>
    <w:rsid w:val="000462EF"/>
    <w:rsid w:val="00052936"/>
    <w:rsid w:val="00053F3D"/>
    <w:rsid w:val="00057B3B"/>
    <w:rsid w:val="00065DF3"/>
    <w:rsid w:val="0007186A"/>
    <w:rsid w:val="00072451"/>
    <w:rsid w:val="000A54EF"/>
    <w:rsid w:val="000B12CA"/>
    <w:rsid w:val="000B70F7"/>
    <w:rsid w:val="000B79A7"/>
    <w:rsid w:val="000C1D30"/>
    <w:rsid w:val="000E56C2"/>
    <w:rsid w:val="000E709F"/>
    <w:rsid w:val="000F14AD"/>
    <w:rsid w:val="00127E39"/>
    <w:rsid w:val="0013643F"/>
    <w:rsid w:val="00146FA4"/>
    <w:rsid w:val="00150A7D"/>
    <w:rsid w:val="0015422D"/>
    <w:rsid w:val="00163A22"/>
    <w:rsid w:val="00197E34"/>
    <w:rsid w:val="001A6FCC"/>
    <w:rsid w:val="001B3976"/>
    <w:rsid w:val="001C162F"/>
    <w:rsid w:val="001C6F25"/>
    <w:rsid w:val="001D6FDC"/>
    <w:rsid w:val="001D7E26"/>
    <w:rsid w:val="001E1F6C"/>
    <w:rsid w:val="001F2BCC"/>
    <w:rsid w:val="00201989"/>
    <w:rsid w:val="0021400D"/>
    <w:rsid w:val="00217AAF"/>
    <w:rsid w:val="00217CE9"/>
    <w:rsid w:val="00221277"/>
    <w:rsid w:val="002248CD"/>
    <w:rsid w:val="0023106A"/>
    <w:rsid w:val="002330BD"/>
    <w:rsid w:val="00237AD4"/>
    <w:rsid w:val="002472F0"/>
    <w:rsid w:val="00247A38"/>
    <w:rsid w:val="0027572B"/>
    <w:rsid w:val="00296641"/>
    <w:rsid w:val="002A6C8A"/>
    <w:rsid w:val="002B5454"/>
    <w:rsid w:val="002C1DF5"/>
    <w:rsid w:val="002C6E5D"/>
    <w:rsid w:val="002D5E3A"/>
    <w:rsid w:val="002E017B"/>
    <w:rsid w:val="002F6D2D"/>
    <w:rsid w:val="00310223"/>
    <w:rsid w:val="00324942"/>
    <w:rsid w:val="00330566"/>
    <w:rsid w:val="00336053"/>
    <w:rsid w:val="00336F16"/>
    <w:rsid w:val="00355B50"/>
    <w:rsid w:val="00361DA4"/>
    <w:rsid w:val="00362166"/>
    <w:rsid w:val="00363402"/>
    <w:rsid w:val="003649C2"/>
    <w:rsid w:val="00364B9E"/>
    <w:rsid w:val="00381A04"/>
    <w:rsid w:val="003841CD"/>
    <w:rsid w:val="003877F4"/>
    <w:rsid w:val="00395655"/>
    <w:rsid w:val="00395A0A"/>
    <w:rsid w:val="003A5FD9"/>
    <w:rsid w:val="003B2964"/>
    <w:rsid w:val="003C33E7"/>
    <w:rsid w:val="003C42C2"/>
    <w:rsid w:val="00400233"/>
    <w:rsid w:val="00401FC4"/>
    <w:rsid w:val="00414466"/>
    <w:rsid w:val="00415159"/>
    <w:rsid w:val="004236E9"/>
    <w:rsid w:val="00437E01"/>
    <w:rsid w:val="004524E7"/>
    <w:rsid w:val="004651C7"/>
    <w:rsid w:val="00467DAA"/>
    <w:rsid w:val="00470D67"/>
    <w:rsid w:val="00471F5B"/>
    <w:rsid w:val="00483DCA"/>
    <w:rsid w:val="00484021"/>
    <w:rsid w:val="0049184F"/>
    <w:rsid w:val="00491FD4"/>
    <w:rsid w:val="004948B3"/>
    <w:rsid w:val="004A2988"/>
    <w:rsid w:val="004D01A7"/>
    <w:rsid w:val="004D1D94"/>
    <w:rsid w:val="004D41F1"/>
    <w:rsid w:val="004D58F7"/>
    <w:rsid w:val="004D6F27"/>
    <w:rsid w:val="004E1C90"/>
    <w:rsid w:val="004F2579"/>
    <w:rsid w:val="004F26F4"/>
    <w:rsid w:val="004F2D11"/>
    <w:rsid w:val="004F48A6"/>
    <w:rsid w:val="00503F9A"/>
    <w:rsid w:val="00504C55"/>
    <w:rsid w:val="00513932"/>
    <w:rsid w:val="00517B8F"/>
    <w:rsid w:val="00521104"/>
    <w:rsid w:val="00522106"/>
    <w:rsid w:val="005242B1"/>
    <w:rsid w:val="0052492E"/>
    <w:rsid w:val="0053254E"/>
    <w:rsid w:val="00547BEE"/>
    <w:rsid w:val="00551115"/>
    <w:rsid w:val="00554573"/>
    <w:rsid w:val="00561D39"/>
    <w:rsid w:val="005658EB"/>
    <w:rsid w:val="00582656"/>
    <w:rsid w:val="00583FAA"/>
    <w:rsid w:val="005841F1"/>
    <w:rsid w:val="005853A8"/>
    <w:rsid w:val="00596FC3"/>
    <w:rsid w:val="005A40D5"/>
    <w:rsid w:val="005B526D"/>
    <w:rsid w:val="005B692C"/>
    <w:rsid w:val="005D0886"/>
    <w:rsid w:val="005D5205"/>
    <w:rsid w:val="006139F0"/>
    <w:rsid w:val="006322C2"/>
    <w:rsid w:val="006340A8"/>
    <w:rsid w:val="00665B27"/>
    <w:rsid w:val="006A345A"/>
    <w:rsid w:val="006B6EF0"/>
    <w:rsid w:val="006C0954"/>
    <w:rsid w:val="006C68FE"/>
    <w:rsid w:val="006D0B00"/>
    <w:rsid w:val="006E780C"/>
    <w:rsid w:val="006E7F79"/>
    <w:rsid w:val="006F1A01"/>
    <w:rsid w:val="006F7127"/>
    <w:rsid w:val="006F7D8F"/>
    <w:rsid w:val="00703415"/>
    <w:rsid w:val="00706C7E"/>
    <w:rsid w:val="0072561E"/>
    <w:rsid w:val="00725B7E"/>
    <w:rsid w:val="007266F9"/>
    <w:rsid w:val="00726C98"/>
    <w:rsid w:val="007338A5"/>
    <w:rsid w:val="00743CC7"/>
    <w:rsid w:val="00746074"/>
    <w:rsid w:val="00746548"/>
    <w:rsid w:val="00747FD3"/>
    <w:rsid w:val="00762384"/>
    <w:rsid w:val="00766C74"/>
    <w:rsid w:val="007679E3"/>
    <w:rsid w:val="007828C2"/>
    <w:rsid w:val="00792D15"/>
    <w:rsid w:val="0079773E"/>
    <w:rsid w:val="007A4F5C"/>
    <w:rsid w:val="007A6A78"/>
    <w:rsid w:val="007A7F29"/>
    <w:rsid w:val="007B30D0"/>
    <w:rsid w:val="007B628E"/>
    <w:rsid w:val="007B7A25"/>
    <w:rsid w:val="007C143F"/>
    <w:rsid w:val="007C164E"/>
    <w:rsid w:val="007C3D63"/>
    <w:rsid w:val="007E040A"/>
    <w:rsid w:val="007E0A54"/>
    <w:rsid w:val="007E2EAC"/>
    <w:rsid w:val="00823A76"/>
    <w:rsid w:val="0082498F"/>
    <w:rsid w:val="0082592E"/>
    <w:rsid w:val="00825CA5"/>
    <w:rsid w:val="00833753"/>
    <w:rsid w:val="00834239"/>
    <w:rsid w:val="008345F1"/>
    <w:rsid w:val="00845BCD"/>
    <w:rsid w:val="00851FC6"/>
    <w:rsid w:val="00852580"/>
    <w:rsid w:val="00857406"/>
    <w:rsid w:val="00862E3D"/>
    <w:rsid w:val="00867895"/>
    <w:rsid w:val="00872EAA"/>
    <w:rsid w:val="00873E6A"/>
    <w:rsid w:val="00880B36"/>
    <w:rsid w:val="00885CB8"/>
    <w:rsid w:val="00886826"/>
    <w:rsid w:val="0089723A"/>
    <w:rsid w:val="008A3FDF"/>
    <w:rsid w:val="008A5EFF"/>
    <w:rsid w:val="008B3ED8"/>
    <w:rsid w:val="008B7A11"/>
    <w:rsid w:val="008C5C6D"/>
    <w:rsid w:val="008F6DA4"/>
    <w:rsid w:val="0091609D"/>
    <w:rsid w:val="0092268E"/>
    <w:rsid w:val="009425DD"/>
    <w:rsid w:val="00943DB0"/>
    <w:rsid w:val="00943EC9"/>
    <w:rsid w:val="009503C0"/>
    <w:rsid w:val="00950B27"/>
    <w:rsid w:val="00963627"/>
    <w:rsid w:val="00964A8D"/>
    <w:rsid w:val="00970F63"/>
    <w:rsid w:val="00973078"/>
    <w:rsid w:val="0097420A"/>
    <w:rsid w:val="00974583"/>
    <w:rsid w:val="009819E2"/>
    <w:rsid w:val="00983F0D"/>
    <w:rsid w:val="009931C1"/>
    <w:rsid w:val="009A1FBC"/>
    <w:rsid w:val="009B1FFA"/>
    <w:rsid w:val="009D0666"/>
    <w:rsid w:val="009D73D0"/>
    <w:rsid w:val="009D79D9"/>
    <w:rsid w:val="009E3F38"/>
    <w:rsid w:val="00A0563F"/>
    <w:rsid w:val="00A15A01"/>
    <w:rsid w:val="00A15B6D"/>
    <w:rsid w:val="00A212A5"/>
    <w:rsid w:val="00A334D9"/>
    <w:rsid w:val="00A338A7"/>
    <w:rsid w:val="00A44918"/>
    <w:rsid w:val="00A449BE"/>
    <w:rsid w:val="00A50BD6"/>
    <w:rsid w:val="00A55DF7"/>
    <w:rsid w:val="00A6028C"/>
    <w:rsid w:val="00A63DFC"/>
    <w:rsid w:val="00A662D4"/>
    <w:rsid w:val="00A761D5"/>
    <w:rsid w:val="00A769A1"/>
    <w:rsid w:val="00A87E4C"/>
    <w:rsid w:val="00AB192B"/>
    <w:rsid w:val="00AB714C"/>
    <w:rsid w:val="00AC091B"/>
    <w:rsid w:val="00AC1BB1"/>
    <w:rsid w:val="00AD349F"/>
    <w:rsid w:val="00AE0A6B"/>
    <w:rsid w:val="00AE4CF6"/>
    <w:rsid w:val="00AF2637"/>
    <w:rsid w:val="00AF30C7"/>
    <w:rsid w:val="00B01AB6"/>
    <w:rsid w:val="00B03034"/>
    <w:rsid w:val="00B120F8"/>
    <w:rsid w:val="00B26206"/>
    <w:rsid w:val="00B26A90"/>
    <w:rsid w:val="00B30F5C"/>
    <w:rsid w:val="00B427C3"/>
    <w:rsid w:val="00B46A54"/>
    <w:rsid w:val="00B627CE"/>
    <w:rsid w:val="00B64518"/>
    <w:rsid w:val="00B72538"/>
    <w:rsid w:val="00B72D2A"/>
    <w:rsid w:val="00B81F25"/>
    <w:rsid w:val="00B8269C"/>
    <w:rsid w:val="00B844E5"/>
    <w:rsid w:val="00B912A4"/>
    <w:rsid w:val="00B926F1"/>
    <w:rsid w:val="00B96AEE"/>
    <w:rsid w:val="00BA708F"/>
    <w:rsid w:val="00BB1300"/>
    <w:rsid w:val="00BB1B29"/>
    <w:rsid w:val="00BB414D"/>
    <w:rsid w:val="00BC34A2"/>
    <w:rsid w:val="00BC59D3"/>
    <w:rsid w:val="00BD3F2E"/>
    <w:rsid w:val="00BD5223"/>
    <w:rsid w:val="00BD58F7"/>
    <w:rsid w:val="00BD6CC5"/>
    <w:rsid w:val="00BF23D3"/>
    <w:rsid w:val="00BF55E7"/>
    <w:rsid w:val="00C0596A"/>
    <w:rsid w:val="00C1175E"/>
    <w:rsid w:val="00C15E86"/>
    <w:rsid w:val="00C2052D"/>
    <w:rsid w:val="00C22215"/>
    <w:rsid w:val="00C26045"/>
    <w:rsid w:val="00C307AD"/>
    <w:rsid w:val="00C325AB"/>
    <w:rsid w:val="00C602DE"/>
    <w:rsid w:val="00C64521"/>
    <w:rsid w:val="00C6603A"/>
    <w:rsid w:val="00CB34E1"/>
    <w:rsid w:val="00CB3C6A"/>
    <w:rsid w:val="00CD5A68"/>
    <w:rsid w:val="00CF2BFC"/>
    <w:rsid w:val="00CF4FA3"/>
    <w:rsid w:val="00CF7F16"/>
    <w:rsid w:val="00D01017"/>
    <w:rsid w:val="00D021F6"/>
    <w:rsid w:val="00D41556"/>
    <w:rsid w:val="00D53C6D"/>
    <w:rsid w:val="00D55A2C"/>
    <w:rsid w:val="00D56A87"/>
    <w:rsid w:val="00D56E44"/>
    <w:rsid w:val="00D60864"/>
    <w:rsid w:val="00D720BF"/>
    <w:rsid w:val="00D723A3"/>
    <w:rsid w:val="00D74CF4"/>
    <w:rsid w:val="00DB39DE"/>
    <w:rsid w:val="00DC337C"/>
    <w:rsid w:val="00DC61EF"/>
    <w:rsid w:val="00DD1949"/>
    <w:rsid w:val="00DD2D90"/>
    <w:rsid w:val="00DD6541"/>
    <w:rsid w:val="00DF0E4A"/>
    <w:rsid w:val="00DF3317"/>
    <w:rsid w:val="00DF5179"/>
    <w:rsid w:val="00E01B24"/>
    <w:rsid w:val="00E32116"/>
    <w:rsid w:val="00E44F25"/>
    <w:rsid w:val="00E53627"/>
    <w:rsid w:val="00E53750"/>
    <w:rsid w:val="00E62285"/>
    <w:rsid w:val="00E64FD1"/>
    <w:rsid w:val="00E76A75"/>
    <w:rsid w:val="00E90912"/>
    <w:rsid w:val="00EA5B5A"/>
    <w:rsid w:val="00EB7FC4"/>
    <w:rsid w:val="00EC0BDC"/>
    <w:rsid w:val="00EC5DEB"/>
    <w:rsid w:val="00ED7EF1"/>
    <w:rsid w:val="00EE3AD6"/>
    <w:rsid w:val="00EE4878"/>
    <w:rsid w:val="00EE72A4"/>
    <w:rsid w:val="00F20C8A"/>
    <w:rsid w:val="00F23587"/>
    <w:rsid w:val="00F260F2"/>
    <w:rsid w:val="00F36607"/>
    <w:rsid w:val="00F5565C"/>
    <w:rsid w:val="00F61BA1"/>
    <w:rsid w:val="00F707C0"/>
    <w:rsid w:val="00F81421"/>
    <w:rsid w:val="00F83B7A"/>
    <w:rsid w:val="00F86830"/>
    <w:rsid w:val="00F90A35"/>
    <w:rsid w:val="00F96483"/>
    <w:rsid w:val="00FA0975"/>
    <w:rsid w:val="00FC3003"/>
    <w:rsid w:val="00FC5320"/>
    <w:rsid w:val="00FC72F1"/>
    <w:rsid w:val="00FD24DE"/>
    <w:rsid w:val="00FD73B1"/>
    <w:rsid w:val="00FE07DB"/>
    <w:rsid w:val="00FE37B7"/>
    <w:rsid w:val="00FE3F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BE6B"/>
  <w15:chartTrackingRefBased/>
  <w15:docId w15:val="{BFA57D88-9296-46EC-B224-4729F0B1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07C0"/>
    <w:pPr>
      <w:spacing w:after="200" w:line="360" w:lineRule="auto"/>
    </w:pPr>
    <w:rPr>
      <w:iCs/>
      <w:szCs w:val="18"/>
    </w:rPr>
  </w:style>
  <w:style w:type="table" w:styleId="TableGrid">
    <w:name w:val="Table Grid"/>
    <w:basedOn w:val="TableNormal"/>
    <w:uiPriority w:val="59"/>
    <w:rsid w:val="00F707C0"/>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25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2580"/>
  </w:style>
  <w:style w:type="paragraph" w:styleId="Footer">
    <w:name w:val="footer"/>
    <w:basedOn w:val="Normal"/>
    <w:link w:val="FooterChar"/>
    <w:uiPriority w:val="99"/>
    <w:unhideWhenUsed/>
    <w:rsid w:val="008525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2580"/>
  </w:style>
  <w:style w:type="paragraph" w:styleId="ListParagraph">
    <w:name w:val="List Paragraph"/>
    <w:basedOn w:val="Normal"/>
    <w:uiPriority w:val="34"/>
    <w:qFormat/>
    <w:rsid w:val="009425DD"/>
    <w:pPr>
      <w:ind w:left="720"/>
      <w:contextualSpacing/>
    </w:pPr>
  </w:style>
  <w:style w:type="paragraph" w:styleId="BalloonText">
    <w:name w:val="Balloon Text"/>
    <w:basedOn w:val="Normal"/>
    <w:link w:val="BalloonTextChar"/>
    <w:uiPriority w:val="99"/>
    <w:semiHidden/>
    <w:unhideWhenUsed/>
    <w:rsid w:val="00A76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9A1"/>
    <w:rPr>
      <w:rFonts w:ascii="Segoe UI" w:hAnsi="Segoe UI" w:cs="Segoe UI"/>
      <w:sz w:val="18"/>
      <w:szCs w:val="18"/>
    </w:rPr>
  </w:style>
  <w:style w:type="character" w:styleId="CommentReference">
    <w:name w:val="annotation reference"/>
    <w:basedOn w:val="DefaultParagraphFont"/>
    <w:uiPriority w:val="99"/>
    <w:semiHidden/>
    <w:unhideWhenUsed/>
    <w:rsid w:val="00513932"/>
    <w:rPr>
      <w:sz w:val="16"/>
      <w:szCs w:val="16"/>
    </w:rPr>
  </w:style>
  <w:style w:type="paragraph" w:styleId="CommentText">
    <w:name w:val="annotation text"/>
    <w:basedOn w:val="Normal"/>
    <w:link w:val="CommentTextChar"/>
    <w:uiPriority w:val="99"/>
    <w:unhideWhenUsed/>
    <w:rsid w:val="00513932"/>
    <w:pPr>
      <w:spacing w:line="240" w:lineRule="auto"/>
    </w:pPr>
    <w:rPr>
      <w:sz w:val="20"/>
      <w:szCs w:val="20"/>
    </w:rPr>
  </w:style>
  <w:style w:type="character" w:customStyle="1" w:styleId="CommentTextChar">
    <w:name w:val="Comment Text Char"/>
    <w:basedOn w:val="DefaultParagraphFont"/>
    <w:link w:val="CommentText"/>
    <w:uiPriority w:val="99"/>
    <w:rsid w:val="00513932"/>
    <w:rPr>
      <w:sz w:val="20"/>
      <w:szCs w:val="20"/>
      <w:lang w:val="en-GB"/>
    </w:rPr>
  </w:style>
  <w:style w:type="paragraph" w:styleId="CommentSubject">
    <w:name w:val="annotation subject"/>
    <w:basedOn w:val="CommentText"/>
    <w:next w:val="CommentText"/>
    <w:link w:val="CommentSubjectChar"/>
    <w:uiPriority w:val="99"/>
    <w:semiHidden/>
    <w:unhideWhenUsed/>
    <w:rsid w:val="00513932"/>
    <w:rPr>
      <w:b/>
      <w:bCs/>
    </w:rPr>
  </w:style>
  <w:style w:type="character" w:customStyle="1" w:styleId="CommentSubjectChar">
    <w:name w:val="Comment Subject Char"/>
    <w:basedOn w:val="CommentTextChar"/>
    <w:link w:val="CommentSubject"/>
    <w:uiPriority w:val="99"/>
    <w:semiHidden/>
    <w:rsid w:val="00513932"/>
    <w:rPr>
      <w:b/>
      <w:bCs/>
      <w:sz w:val="20"/>
      <w:szCs w:val="20"/>
      <w:lang w:val="en-GB"/>
    </w:rPr>
  </w:style>
  <w:style w:type="table" w:styleId="PlainTable4">
    <w:name w:val="Plain Table 4"/>
    <w:basedOn w:val="TableNormal"/>
    <w:uiPriority w:val="44"/>
    <w:rsid w:val="00D021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21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D021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5457">
      <w:bodyDiv w:val="1"/>
      <w:marLeft w:val="0"/>
      <w:marRight w:val="0"/>
      <w:marTop w:val="0"/>
      <w:marBottom w:val="0"/>
      <w:divBdr>
        <w:top w:val="none" w:sz="0" w:space="0" w:color="auto"/>
        <w:left w:val="none" w:sz="0" w:space="0" w:color="auto"/>
        <w:bottom w:val="none" w:sz="0" w:space="0" w:color="auto"/>
        <w:right w:val="none" w:sz="0" w:space="0" w:color="auto"/>
      </w:divBdr>
    </w:div>
    <w:div w:id="368116439">
      <w:bodyDiv w:val="1"/>
      <w:marLeft w:val="0"/>
      <w:marRight w:val="0"/>
      <w:marTop w:val="0"/>
      <w:marBottom w:val="0"/>
      <w:divBdr>
        <w:top w:val="none" w:sz="0" w:space="0" w:color="auto"/>
        <w:left w:val="none" w:sz="0" w:space="0" w:color="auto"/>
        <w:bottom w:val="none" w:sz="0" w:space="0" w:color="auto"/>
        <w:right w:val="none" w:sz="0" w:space="0" w:color="auto"/>
      </w:divBdr>
    </w:div>
    <w:div w:id="402028634">
      <w:bodyDiv w:val="1"/>
      <w:marLeft w:val="0"/>
      <w:marRight w:val="0"/>
      <w:marTop w:val="0"/>
      <w:marBottom w:val="0"/>
      <w:divBdr>
        <w:top w:val="none" w:sz="0" w:space="0" w:color="auto"/>
        <w:left w:val="none" w:sz="0" w:space="0" w:color="auto"/>
        <w:bottom w:val="none" w:sz="0" w:space="0" w:color="auto"/>
        <w:right w:val="none" w:sz="0" w:space="0" w:color="auto"/>
      </w:divBdr>
    </w:div>
    <w:div w:id="495265105">
      <w:bodyDiv w:val="1"/>
      <w:marLeft w:val="0"/>
      <w:marRight w:val="0"/>
      <w:marTop w:val="0"/>
      <w:marBottom w:val="0"/>
      <w:divBdr>
        <w:top w:val="none" w:sz="0" w:space="0" w:color="auto"/>
        <w:left w:val="none" w:sz="0" w:space="0" w:color="auto"/>
        <w:bottom w:val="none" w:sz="0" w:space="0" w:color="auto"/>
        <w:right w:val="none" w:sz="0" w:space="0" w:color="auto"/>
      </w:divBdr>
    </w:div>
    <w:div w:id="556746826">
      <w:bodyDiv w:val="1"/>
      <w:marLeft w:val="0"/>
      <w:marRight w:val="0"/>
      <w:marTop w:val="0"/>
      <w:marBottom w:val="0"/>
      <w:divBdr>
        <w:top w:val="none" w:sz="0" w:space="0" w:color="auto"/>
        <w:left w:val="none" w:sz="0" w:space="0" w:color="auto"/>
        <w:bottom w:val="none" w:sz="0" w:space="0" w:color="auto"/>
        <w:right w:val="none" w:sz="0" w:space="0" w:color="auto"/>
      </w:divBdr>
    </w:div>
    <w:div w:id="931553110">
      <w:bodyDiv w:val="1"/>
      <w:marLeft w:val="0"/>
      <w:marRight w:val="0"/>
      <w:marTop w:val="0"/>
      <w:marBottom w:val="0"/>
      <w:divBdr>
        <w:top w:val="none" w:sz="0" w:space="0" w:color="auto"/>
        <w:left w:val="none" w:sz="0" w:space="0" w:color="auto"/>
        <w:bottom w:val="none" w:sz="0" w:space="0" w:color="auto"/>
        <w:right w:val="none" w:sz="0" w:space="0" w:color="auto"/>
      </w:divBdr>
    </w:div>
    <w:div w:id="1004430330">
      <w:bodyDiv w:val="1"/>
      <w:marLeft w:val="0"/>
      <w:marRight w:val="0"/>
      <w:marTop w:val="0"/>
      <w:marBottom w:val="0"/>
      <w:divBdr>
        <w:top w:val="none" w:sz="0" w:space="0" w:color="auto"/>
        <w:left w:val="none" w:sz="0" w:space="0" w:color="auto"/>
        <w:bottom w:val="none" w:sz="0" w:space="0" w:color="auto"/>
        <w:right w:val="none" w:sz="0" w:space="0" w:color="auto"/>
      </w:divBdr>
    </w:div>
    <w:div w:id="1014385674">
      <w:bodyDiv w:val="1"/>
      <w:marLeft w:val="0"/>
      <w:marRight w:val="0"/>
      <w:marTop w:val="0"/>
      <w:marBottom w:val="0"/>
      <w:divBdr>
        <w:top w:val="none" w:sz="0" w:space="0" w:color="auto"/>
        <w:left w:val="none" w:sz="0" w:space="0" w:color="auto"/>
        <w:bottom w:val="none" w:sz="0" w:space="0" w:color="auto"/>
        <w:right w:val="none" w:sz="0" w:space="0" w:color="auto"/>
      </w:divBdr>
    </w:div>
    <w:div w:id="1027758710">
      <w:bodyDiv w:val="1"/>
      <w:marLeft w:val="0"/>
      <w:marRight w:val="0"/>
      <w:marTop w:val="0"/>
      <w:marBottom w:val="0"/>
      <w:divBdr>
        <w:top w:val="none" w:sz="0" w:space="0" w:color="auto"/>
        <w:left w:val="none" w:sz="0" w:space="0" w:color="auto"/>
        <w:bottom w:val="none" w:sz="0" w:space="0" w:color="auto"/>
        <w:right w:val="none" w:sz="0" w:space="0" w:color="auto"/>
      </w:divBdr>
    </w:div>
    <w:div w:id="1092511679">
      <w:bodyDiv w:val="1"/>
      <w:marLeft w:val="0"/>
      <w:marRight w:val="0"/>
      <w:marTop w:val="0"/>
      <w:marBottom w:val="0"/>
      <w:divBdr>
        <w:top w:val="none" w:sz="0" w:space="0" w:color="auto"/>
        <w:left w:val="none" w:sz="0" w:space="0" w:color="auto"/>
        <w:bottom w:val="none" w:sz="0" w:space="0" w:color="auto"/>
        <w:right w:val="none" w:sz="0" w:space="0" w:color="auto"/>
      </w:divBdr>
    </w:div>
    <w:div w:id="1208762403">
      <w:bodyDiv w:val="1"/>
      <w:marLeft w:val="0"/>
      <w:marRight w:val="0"/>
      <w:marTop w:val="0"/>
      <w:marBottom w:val="0"/>
      <w:divBdr>
        <w:top w:val="none" w:sz="0" w:space="0" w:color="auto"/>
        <w:left w:val="none" w:sz="0" w:space="0" w:color="auto"/>
        <w:bottom w:val="none" w:sz="0" w:space="0" w:color="auto"/>
        <w:right w:val="none" w:sz="0" w:space="0" w:color="auto"/>
      </w:divBdr>
    </w:div>
    <w:div w:id="1213810021">
      <w:bodyDiv w:val="1"/>
      <w:marLeft w:val="0"/>
      <w:marRight w:val="0"/>
      <w:marTop w:val="0"/>
      <w:marBottom w:val="0"/>
      <w:divBdr>
        <w:top w:val="none" w:sz="0" w:space="0" w:color="auto"/>
        <w:left w:val="none" w:sz="0" w:space="0" w:color="auto"/>
        <w:bottom w:val="none" w:sz="0" w:space="0" w:color="auto"/>
        <w:right w:val="none" w:sz="0" w:space="0" w:color="auto"/>
      </w:divBdr>
    </w:div>
    <w:div w:id="1225064975">
      <w:bodyDiv w:val="1"/>
      <w:marLeft w:val="0"/>
      <w:marRight w:val="0"/>
      <w:marTop w:val="0"/>
      <w:marBottom w:val="0"/>
      <w:divBdr>
        <w:top w:val="none" w:sz="0" w:space="0" w:color="auto"/>
        <w:left w:val="none" w:sz="0" w:space="0" w:color="auto"/>
        <w:bottom w:val="none" w:sz="0" w:space="0" w:color="auto"/>
        <w:right w:val="none" w:sz="0" w:space="0" w:color="auto"/>
      </w:divBdr>
    </w:div>
    <w:div w:id="1235044714">
      <w:bodyDiv w:val="1"/>
      <w:marLeft w:val="0"/>
      <w:marRight w:val="0"/>
      <w:marTop w:val="0"/>
      <w:marBottom w:val="0"/>
      <w:divBdr>
        <w:top w:val="none" w:sz="0" w:space="0" w:color="auto"/>
        <w:left w:val="none" w:sz="0" w:space="0" w:color="auto"/>
        <w:bottom w:val="none" w:sz="0" w:space="0" w:color="auto"/>
        <w:right w:val="none" w:sz="0" w:space="0" w:color="auto"/>
      </w:divBdr>
    </w:div>
    <w:div w:id="1399204204">
      <w:bodyDiv w:val="1"/>
      <w:marLeft w:val="0"/>
      <w:marRight w:val="0"/>
      <w:marTop w:val="0"/>
      <w:marBottom w:val="0"/>
      <w:divBdr>
        <w:top w:val="none" w:sz="0" w:space="0" w:color="auto"/>
        <w:left w:val="none" w:sz="0" w:space="0" w:color="auto"/>
        <w:bottom w:val="none" w:sz="0" w:space="0" w:color="auto"/>
        <w:right w:val="none" w:sz="0" w:space="0" w:color="auto"/>
      </w:divBdr>
    </w:div>
    <w:div w:id="1405568350">
      <w:bodyDiv w:val="1"/>
      <w:marLeft w:val="0"/>
      <w:marRight w:val="0"/>
      <w:marTop w:val="0"/>
      <w:marBottom w:val="0"/>
      <w:divBdr>
        <w:top w:val="none" w:sz="0" w:space="0" w:color="auto"/>
        <w:left w:val="none" w:sz="0" w:space="0" w:color="auto"/>
        <w:bottom w:val="none" w:sz="0" w:space="0" w:color="auto"/>
        <w:right w:val="none" w:sz="0" w:space="0" w:color="auto"/>
      </w:divBdr>
    </w:div>
    <w:div w:id="1473015377">
      <w:bodyDiv w:val="1"/>
      <w:marLeft w:val="0"/>
      <w:marRight w:val="0"/>
      <w:marTop w:val="0"/>
      <w:marBottom w:val="0"/>
      <w:divBdr>
        <w:top w:val="none" w:sz="0" w:space="0" w:color="auto"/>
        <w:left w:val="none" w:sz="0" w:space="0" w:color="auto"/>
        <w:bottom w:val="none" w:sz="0" w:space="0" w:color="auto"/>
        <w:right w:val="none" w:sz="0" w:space="0" w:color="auto"/>
      </w:divBdr>
    </w:div>
    <w:div w:id="1604606700">
      <w:bodyDiv w:val="1"/>
      <w:marLeft w:val="0"/>
      <w:marRight w:val="0"/>
      <w:marTop w:val="0"/>
      <w:marBottom w:val="0"/>
      <w:divBdr>
        <w:top w:val="none" w:sz="0" w:space="0" w:color="auto"/>
        <w:left w:val="none" w:sz="0" w:space="0" w:color="auto"/>
        <w:bottom w:val="none" w:sz="0" w:space="0" w:color="auto"/>
        <w:right w:val="none" w:sz="0" w:space="0" w:color="auto"/>
      </w:divBdr>
    </w:div>
    <w:div w:id="16886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99DEE-0C7C-4982-97A2-BA3584BA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3912</Words>
  <Characters>22305</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dc:creator>
  <cp:keywords/>
  <dc:description/>
  <cp:lastModifiedBy>James Hawkins</cp:lastModifiedBy>
  <cp:revision>2</cp:revision>
  <dcterms:created xsi:type="dcterms:W3CDTF">2024-07-08T09:30:00Z</dcterms:created>
  <dcterms:modified xsi:type="dcterms:W3CDTF">2024-07-08T09:30:00Z</dcterms:modified>
</cp:coreProperties>
</file>