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BRIGHTSEED.BIO</w:t>
      </w:r>
    </w:p>
    <w:p>
      <w:pPr>
        <w:spacing w:after="120"/>
        <w:jc w:val="center"/>
      </w:pPr>
      <w:r>
        <w:rPr>
          <w:i/>
          <w:iCs/>
          <w:sz w:val="24"/>
          <w:szCs w:val="24"/>
        </w:rPr>
        <w:t xml:space="preserve">Strategic Brief &amp; Technology Integration Opportunity</w:t>
      </w:r>
    </w:p>
    <w:p>
      <w:pPr>
        <w:spacing w:after="240"/>
        <w:jc w:val="center"/>
      </w:pPr>
      <w:r>
        <w:rPr>
          <w:i/>
          <w:iCs/>
          <w:sz w:val="20"/>
          <w:szCs w:val="20"/>
        </w:rPr>
        <w:t xml:space="preserve">April 2026</w:t>
      </w:r>
    </w:p>
    <w:p>
      <w:pPr>
        <w:pStyle w:val="Heading1"/>
      </w:pPr>
      <w:r>
        <w:t xml:space="preserve">COMPANY OVERVIEW</w:t>
      </w:r>
    </w:p>
    <w:p>
      <w:pPr>
        <w:spacing w:after="120"/>
      </w:pPr>
      <w:r>
        <w:t xml:space="preserve">Brightseed is an AI-driven bioactives discovery company founded in 2017 and headquartered in South San Francisco, California. The company is a pioneer in leveraging biosciences and artificial intelligence to discover plant-derived bioactive compounds and translate them into commercially viable health and wellness ingredients.</w:t>
      </w:r>
    </w:p>
    <w:p>
      <w:pPr>
        <w:pStyle w:val="Heading2"/>
      </w:pPr>
      <w:r>
        <w:t xml:space="preserve">What Brightseed Does</w:t>
      </w:r>
    </w:p>
    <w:p>
      <w:pPr>
        <w:spacing w:after="120"/>
      </w:pPr>
      <w:r>
        <w:t xml:space="preserve">Brightseed accelerates bioactive discovery using its proprietary AI platform, Forager®, which maps millions of plant-derived compounds to human health benefits. Rather than relying solely on known compounds, Forager identifies novel bioactives from nature that were previously undiscovered— part of what Brightseed calls the 'dark matter' of nutrition.</w:t>
      </w:r>
    </w:p>
    <w:p>
      <w:pPr>
        <w:spacing w:after="120"/>
      </w:pPr>
      <w:r>
        <w:t xml:space="preserve">Key activities include:</w:t>
      </w:r>
    </w:p>
    <w:p>
      <w:pPr>
        <w:pStyle w:val="ListParagraph"/>
        <w:numPr>
          <w:ilvl w:val="0"/>
          <w:numId w:val="2"/>
        </w:numPr>
      </w:pPr>
      <w:r>
        <w:t xml:space="preserve">AI-powered discovery of bioactive compounds in plants, fungi, and microbes</w:t>
      </w:r>
    </w:p>
    <w:p>
      <w:pPr>
        <w:pStyle w:val="ListParagraph"/>
        <w:numPr>
          <w:ilvl w:val="0"/>
          <w:numId w:val="2"/>
        </w:numPr>
      </w:pPr>
      <w:r>
        <w:t xml:space="preserve">Biological validation and clinical evaluation of discovered compounds</w:t>
      </w:r>
    </w:p>
    <w:p>
      <w:pPr>
        <w:pStyle w:val="ListParagraph"/>
        <w:numPr>
          <w:ilvl w:val="0"/>
          <w:numId w:val="2"/>
        </w:numPr>
      </w:pPr>
      <w:r>
        <w:t xml:space="preserve">Ingredient formulation and supply chain optimization</w:t>
      </w:r>
    </w:p>
    <w:p>
      <w:pPr>
        <w:pStyle w:val="ListParagraph"/>
        <w:numPr>
          <w:ilvl w:val="0"/>
          <w:numId w:val="2"/>
        </w:numPr>
        <w:spacing w:after="120"/>
      </w:pPr>
      <w:r>
        <w:t xml:space="preserve">Commercialization partnerships with dietary supplement, food &amp; beverage, specialty nutrition, and medical food companies</w:t>
      </w:r>
    </w:p>
    <w:p>
      <w:pPr>
        <w:pStyle w:val="Heading2"/>
      </w:pPr>
      <w:r>
        <w:t xml:space="preserve">Core Capabilities</w:t>
      </w:r>
    </w:p>
    <w:p>
      <w:pPr>
        <w:spacing w:after="60"/>
      </w:pPr>
      <w:r>
        <w:rPr>
          <w:b/>
          <w:bCs/>
        </w:rPr>
        <w:t xml:space="preserve">Forager® AI Platform: </w:t>
      </w:r>
      <w:r>
        <w:t xml:space="preserve">Identifies bioactives by analyzing chemical and biological data, predicting compound activity in the human body, and determining optimal natural sources</w:t>
      </w:r>
    </w:p>
    <w:p>
      <w:pPr>
        <w:spacing w:after="60"/>
      </w:pPr>
      <w:r>
        <w:rPr>
          <w:b/>
          <w:bCs/>
        </w:rPr>
        <w:t xml:space="preserve">Proprietary Bioactive Database: </w:t>
      </w:r>
      <w:r>
        <w:t xml:space="preserve">Houses over 11 million bioactive compounds spanning more than 4,000 plant species</w:t>
      </w:r>
    </w:p>
    <w:p>
      <w:pPr>
        <w:spacing w:after="60"/>
      </w:pPr>
      <w:r>
        <w:rPr>
          <w:b/>
          <w:bCs/>
        </w:rPr>
        <w:t xml:space="preserve">Clinical Validation: </w:t>
      </w:r>
      <w:r>
        <w:t xml:space="preserve">Conducts pre-clinical assays and human clinical trials to validate efficacy</w:t>
      </w:r>
    </w:p>
    <w:p>
      <w:pPr>
        <w:spacing w:after="120"/>
      </w:pPr>
      <w:r>
        <w:rPr>
          <w:b/>
          <w:bCs/>
        </w:rPr>
        <w:t xml:space="preserve">Supply Chain Integration: </w:t>
      </w:r>
      <w:r>
        <w:t xml:space="preserve">Optimizes production pathways including natural extraction, microbial fermentation, and precision fermentation</w:t>
      </w:r>
    </w:p>
    <w:p>
      <w:pPr>
        <w:pStyle w:val="Heading2"/>
      </w:pPr>
      <w:r>
        <w:t xml:space="preserve">Market Position &amp; Financials</w:t>
      </w:r>
    </w:p>
    <w:p>
      <w:pPr>
        <w:spacing w:after="60"/>
      </w:pPr>
      <w:r>
        <w:rPr>
          <w:b/>
          <w:bCs/>
        </w:rPr>
        <w:t xml:space="preserve">Funding: </w:t>
      </w:r>
      <w:r>
        <w:t xml:space="preserve">$120M raised across multiple funding rounds (as of April 2026)</w:t>
      </w:r>
    </w:p>
    <w:p>
      <w:pPr>
        <w:spacing w:after="60"/>
      </w:pPr>
      <w:r>
        <w:rPr>
          <w:b/>
          <w:bCs/>
        </w:rPr>
        <w:t xml:space="preserve">Key Investors: </w:t>
      </w:r>
      <w:r>
        <w:t xml:space="preserve">Horizons Ventures, Temasek, AgFunder, and 19+ other institutional investors</w:t>
      </w:r>
    </w:p>
    <w:p>
      <w:pPr>
        <w:spacing w:after="60"/>
      </w:pPr>
      <w:r>
        <w:rPr>
          <w:b/>
          <w:bCs/>
        </w:rPr>
        <w:t xml:space="preserve">Commercial Stage: </w:t>
      </w:r>
      <w:r>
        <w:t xml:space="preserve">Series B, post-revenue with commercial ingredients in market</w:t>
      </w:r>
    </w:p>
    <w:p>
      <w:pPr>
        <w:spacing w:after="60"/>
      </w:pPr>
      <w:r>
        <w:rPr>
          <w:b/>
          <w:bCs/>
        </w:rPr>
        <w:t xml:space="preserve">Employee Count: </w:t>
      </w:r>
      <w:r>
        <w:t xml:space="preserve">48 employees as of December 2025</w:t>
      </w:r>
    </w:p>
    <w:p>
      <w:pPr>
        <w:spacing w:after="120"/>
      </w:pPr>
      <w:r>
        <w:rPr>
          <w:b/>
          <w:bCs/>
        </w:rPr>
        <w:t xml:space="preserve">Recent Performance: </w:t>
      </w:r>
      <w:r>
        <w:t xml:space="preserve">Doubled down on AI capabilities in 2025, expanded platform capabilities, and announced major strategic partnerships</w:t>
      </w:r>
    </w:p>
    <w:p>
      <w:pPr>
        <w:pStyle w:val="Heading1"/>
      </w:pPr>
      <w:r>
        <w:t xml:space="preserve">EXECUTIVE LEADERSHIP</w:t>
      </w:r>
    </w:p>
    <w:p>
      <w:pPr>
        <w:spacing w:after="120"/>
      </w:pPr>
      <w:r>
        <w:t xml:space="preserve">Brightseed underwent a significant leadership transition in November 2024, transforming Forager from a custom discovery research tool into an automated scientific AI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Name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Title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Background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Lee Chae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CEO &amp; Co-Founder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Formerly Chief Technology &amp; Operations Officer; extensive AI and computational biology expertise; leading Forager platform evolution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Sofia Elizondo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President &amp; Chief Commercial Officer &amp; Co-Founder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Leads go-to-market strategy and growth initiatives; shepherding commercial expansion and strategic partnerships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 Jim Flatt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Strategic Advisor &amp; Founder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Retired from CEO role; 35+ year track record in biosciences R&amp;D; former CTO at Synthetic Genomics; extensive commercialization experience</w:t>
            </w:r>
          </w:p>
        </w:tc>
      </w:tr>
    </w:tbl>
    <w:p>
      <w:pPr>
        <w:spacing w:after="120"/>
      </w:pPr>
      <w:r>
        <w:t xml:space="preserve"/>
      </w:r>
    </w:p>
    <w:p>
      <w:pPr>
        <w:spacing w:after="120"/>
      </w:pPr>
      <w:r>
        <w:rPr>
          <w:b/>
          <w:bCs/>
        </w:rPr>
        <w:t xml:space="preserve">Additional Key Leadership:</w:t>
      </w:r>
    </w:p>
    <w:p>
      <w:pPr>
        <w:pStyle w:val="ListParagraph"/>
        <w:numPr>
          <w:ilvl w:val="0"/>
          <w:numId w:val="2"/>
        </w:numPr>
      </w:pPr>
      <w:r>
        <w:rPr>
          <w:b/>
          <w:bCs/>
        </w:rPr>
        <w:t xml:space="preserve">Bethany M. Henrick</w:t>
      </w:r>
      <w:r>
        <w:t xml:space="preserve"> – VP of Biology and Microbiome</w:t>
      </w:r>
    </w:p>
    <w:p>
      <w:pPr>
        <w:pStyle w:val="ListParagraph"/>
        <w:numPr>
          <w:ilvl w:val="0"/>
          <w:numId w:val="2"/>
        </w:numPr>
      </w:pPr>
      <w:r>
        <w:rPr>
          <w:b/>
          <w:bCs/>
        </w:rPr>
        <w:t xml:space="preserve">Alina Slotnik</w:t>
      </w:r>
      <w:r>
        <w:t xml:space="preserve"> – VP of Bioactives</w:t>
      </w:r>
    </w:p>
    <w:p>
      <w:pPr>
        <w:pStyle w:val="ListParagraph"/>
        <w:numPr>
          <w:ilvl w:val="0"/>
          <w:numId w:val="2"/>
        </w:numPr>
        <w:spacing w:after="120"/>
      </w:pPr>
      <w:r>
        <w:rPr>
          <w:b/>
          <w:bCs/>
        </w:rPr>
        <w:t xml:space="preserve">Swati Kalgaonkar, PhD</w:t>
      </w:r>
      <w:r>
        <w:t xml:space="preserve"> – Director of Scientific, Medical &amp; Regulatory Affairs</w:t>
      </w:r>
    </w:p>
    <w:p>
      <w:pPr>
        <w:pStyle w:val="Heading1"/>
      </w:pPr>
      <w:r>
        <w:t xml:space="preserve">COMMERCIAL TRACTION &amp; PARTNERSHIPS</w:t>
      </w:r>
    </w:p>
    <w:p>
      <w:pPr>
        <w:pStyle w:val="Heading2"/>
      </w:pPr>
      <w:r>
        <w:t xml:space="preserve">Flagship Products</w:t>
      </w:r>
    </w:p>
    <w:p>
      <w:pPr>
        <w:spacing w:after="60"/>
      </w:pPr>
      <w:r>
        <w:rPr>
          <w:b/>
          <w:bCs/>
        </w:rPr>
        <w:t xml:space="preserve">Bio Gut Fiber:</w:t>
      </w:r>
      <w:r>
        <w:t xml:space="preserve"> Proprietary ingredient from upcycled hemp hulls containing NCT and NFT bioactives; supports gut barrier integrity and digestive health</w:t>
      </w:r>
    </w:p>
    <w:p>
      <w:pPr>
        <w:spacing w:after="60"/>
      </w:pPr>
      <w:r>
        <w:rPr>
          <w:b/>
          <w:bCs/>
        </w:rPr>
        <w:t xml:space="preserve">Bio Gut Core:</w:t>
      </w:r>
      <w:r>
        <w:t xml:space="preserve"> Nutraceutical ingredient with clinically validated bioactives for gut barrier function</w:t>
      </w:r>
    </w:p>
    <w:p>
      <w:pPr>
        <w:spacing w:after="120"/>
      </w:pPr>
      <w:r>
        <w:rPr>
          <w:b/>
          <w:bCs/>
        </w:rPr>
        <w:t xml:space="preserve">BioMetaControl™:</w:t>
      </w:r>
      <w:r>
        <w:t xml:space="preserve"> First commercial ingredient designed for metabolic health; demonstrated statistically significant improvements in fasting blood glucose in clinical study</w:t>
      </w:r>
    </w:p>
    <w:p>
      <w:pPr>
        <w:pStyle w:val="Heading2"/>
      </w:pPr>
      <w:r>
        <w:t xml:space="preserve">Major Partnerships</w:t>
      </w:r>
    </w:p>
    <w:p>
      <w:pPr>
        <w:spacing w:after="60"/>
      </w:pPr>
      <w:r>
        <w:rPr>
          <w:b/>
          <w:bCs/>
        </w:rPr>
        <w:t xml:space="preserve">Haleon: </w:t>
      </w:r>
      <w:r>
        <w:t xml:space="preserve">May 2024 strategic collaboration to advance natural small molecule discovery; covers brands like Advil, Theraflu, Centrum</w:t>
      </w:r>
    </w:p>
    <w:p>
      <w:pPr>
        <w:spacing w:after="60"/>
      </w:pPr>
      <w:r>
        <w:rPr>
          <w:b/>
          <w:bCs/>
        </w:rPr>
        <w:t xml:space="preserve">Manitoba Harvest: </w:t>
      </w:r>
      <w:r>
        <w:t xml:space="preserve">Co-branded Manitoba Harvest Bioactive Fiber now available nationwide in Whole Foods Markets</w:t>
      </w:r>
    </w:p>
    <w:p>
      <w:pPr>
        <w:spacing w:after="60"/>
      </w:pPr>
      <w:r>
        <w:rPr>
          <w:b/>
          <w:bCs/>
        </w:rPr>
        <w:t xml:space="preserve">Almond Board of California: </w:t>
      </w:r>
      <w:r>
        <w:t xml:space="preserve">Collaboration identifying 530 phytochemicals in almonds, with six bioactives reported for the first time</w:t>
      </w:r>
    </w:p>
    <w:p>
      <w:pPr>
        <w:spacing w:after="120"/>
      </w:pPr>
      <w:r>
        <w:rPr>
          <w:b/>
          <w:bCs/>
        </w:rPr>
        <w:t xml:space="preserve">Customer Base: </w:t>
      </w:r>
      <w:r>
        <w:t xml:space="preserve">Includes Pharmavite, Ocean Spray, Olam Food Ingredients, and other tier-one CPG and nutraceutical companies</w:t>
      </w:r>
    </w:p>
    <w:p>
      <w:r>
        <w:br w:type="page"/>
      </w:r>
    </w:p>
    <w:p>
      <w:pPr>
        <w:pStyle w:val="Heading1"/>
      </w:pPr>
      <w:r>
        <w:t xml:space="preserve">HEXTROPIAN TECHNOLOGY INTEGRATION OPPORTUNITY</w:t>
      </w:r>
    </w:p>
    <w:p>
      <w:pPr>
        <w:spacing w:after="120"/>
      </w:pPr>
      <w:r>
        <w:t xml:space="preserve">Brightseed is an exceptionally strong fit for Hextropian's neuro-symbolic compliance reasoning platform. The intersection of bioactives discovery, regulatory validation, and commercialization creates multiple high-value use cases for HexGraph and HexReason technologies.</w:t>
      </w:r>
    </w:p>
    <w:p>
      <w:pPr>
        <w:pStyle w:val="Heading2"/>
      </w:pPr>
      <w:r>
        <w:t xml:space="preserve">Regulatory &amp; Compliance Complexity</w:t>
      </w:r>
    </w:p>
    <w:p>
      <w:pPr>
        <w:spacing w:after="120"/>
      </w:pPr>
      <w:r>
        <w:t xml:space="preserve">Brightseed operates at the intersection of multiple regulatory regimes:</w:t>
      </w:r>
    </w:p>
    <w:p>
      <w:pPr>
        <w:pStyle w:val="ListParagraph"/>
        <w:numPr>
          <w:ilvl w:val="0"/>
          <w:numId w:val="2"/>
        </w:numPr>
      </w:pPr>
      <w:r>
        <w:t xml:space="preserve">FDA dietary supplement regulations (DSHEA) and food additive rules</w:t>
      </w:r>
    </w:p>
    <w:p>
      <w:pPr>
        <w:pStyle w:val="ListParagraph"/>
        <w:numPr>
          <w:ilvl w:val="0"/>
          <w:numId w:val="2"/>
        </w:numPr>
      </w:pPr>
      <w:r>
        <w:t xml:space="preserve">EU Novel Foods Regulation (EU 2015/2283) for new plant compounds</w:t>
      </w:r>
    </w:p>
    <w:p>
      <w:pPr>
        <w:pStyle w:val="ListParagraph"/>
        <w:numPr>
          <w:ilvl w:val="0"/>
          <w:numId w:val="2"/>
        </w:numPr>
      </w:pPr>
      <w:r>
        <w:t xml:space="preserve">EU AI Act compliance (Forager uses AI for health claim discovery)</w:t>
      </w:r>
    </w:p>
    <w:p>
      <w:pPr>
        <w:pStyle w:val="ListParagraph"/>
        <w:numPr>
          <w:ilvl w:val="0"/>
          <w:numId w:val="2"/>
        </w:numPr>
      </w:pPr>
      <w:r>
        <w:t xml:space="preserve">Clinical trial oversight and health claim substantiation</w:t>
      </w:r>
    </w:p>
    <w:p>
      <w:pPr>
        <w:pStyle w:val="ListParagraph"/>
        <w:numPr>
          <w:ilvl w:val="0"/>
          <w:numId w:val="2"/>
        </w:numPr>
      </w:pPr>
      <w:r>
        <w:t xml:space="preserve">GMP and supply chain traceability requirements</w:t>
      </w:r>
    </w:p>
    <w:p>
      <w:pPr>
        <w:pStyle w:val="ListParagraph"/>
        <w:numPr>
          <w:ilvl w:val="0"/>
          <w:numId w:val="2"/>
        </w:numPr>
        <w:spacing w:after="120"/>
      </w:pPr>
      <w:r>
        <w:t xml:space="preserve">ISO 9001, ISO 22000, and other quality management standards</w:t>
      </w:r>
    </w:p>
    <w:p>
      <w:pPr>
        <w:pStyle w:val="Heading2"/>
      </w:pPr>
      <w:r>
        <w:t xml:space="preserve">Use Case 1: Regulatory Intelligence &amp; Health Claims</w:t>
      </w:r>
    </w:p>
    <w:p>
      <w:pPr>
        <w:spacing w:after="120"/>
      </w:pPr>
      <w:r>
        <w:t xml:space="preserve">Brightseed's discovered bioactives require rigorous health claim substantiation. HexGraph + HexReason can:</w:t>
      </w:r>
    </w:p>
    <w:p>
      <w:pPr>
        <w:pStyle w:val="ListParagraph"/>
        <w:numPr>
          <w:ilvl w:val="0"/>
          <w:numId w:val="2"/>
        </w:numPr>
      </w:pPr>
      <w:r>
        <w:t xml:space="preserve">Map clinical trial data to regulatory claim frameworks across FDA, EU, and other jurisdictions</w:t>
      </w:r>
    </w:p>
    <w:p>
      <w:pPr>
        <w:pStyle w:val="ListParagraph"/>
        <w:numPr>
          <w:ilvl w:val="0"/>
          <w:numId w:val="2"/>
        </w:numPr>
      </w:pPr>
      <w:r>
        <w:t xml:space="preserve">Identify gaps between clinical findings and authorized health claims in each market</w:t>
      </w:r>
    </w:p>
    <w:p>
      <w:pPr>
        <w:pStyle w:val="ListParagraph"/>
        <w:numPr>
          <w:ilvl w:val="0"/>
          <w:numId w:val="2"/>
        </w:numPr>
      </w:pPr>
      <w:r>
        <w:t xml:space="preserve">Auto-generate compliant claim language and substantiation summaries</w:t>
      </w:r>
    </w:p>
    <w:p>
      <w:pPr>
        <w:pStyle w:val="ListParagraph"/>
        <w:numPr>
          <w:ilvl w:val="0"/>
          <w:numId w:val="2"/>
        </w:numPr>
      </w:pPr>
      <w:r>
        <w:t xml:space="preserve">Flag potential regulatory risks in product formulations before launch</w:t>
      </w:r>
    </w:p>
    <w:p>
      <w:pPr>
        <w:pStyle w:val="ListParagraph"/>
        <w:numPr>
          <w:ilvl w:val="0"/>
          <w:numId w:val="2"/>
        </w:numPr>
        <w:spacing w:after="120"/>
      </w:pPr>
      <w:r>
        <w:t xml:space="preserve">Support international market expansion by auto-translating claims across regulatory regimes</w:t>
      </w:r>
    </w:p>
    <w:p>
      <w:pPr>
        <w:pStyle w:val="Heading2"/>
      </w:pPr>
      <w:r>
        <w:t xml:space="preserve">Use Case 2: AI Act Compliance for Forager Platform</w:t>
      </w:r>
    </w:p>
    <w:p>
      <w:pPr>
        <w:spacing w:after="120"/>
      </w:pPr>
      <w:r>
        <w:t xml:space="preserve">Forager itself is an EU AI Act high-risk system (used in health claims discovery and clinical decision support). Hextropian can provide:</w:t>
      </w:r>
    </w:p>
    <w:p>
      <w:pPr>
        <w:pStyle w:val="ListParagraph"/>
        <w:numPr>
          <w:ilvl w:val="0"/>
          <w:numId w:val="2"/>
        </w:numPr>
      </w:pPr>
      <w:r>
        <w:t xml:space="preserve">Explainability &amp; transparency mapping for Forager's bioactive predictions</w:t>
      </w:r>
    </w:p>
    <w:p>
      <w:pPr>
        <w:pStyle w:val="ListParagraph"/>
        <w:numPr>
          <w:ilvl w:val="0"/>
          <w:numId w:val="2"/>
        </w:numPr>
      </w:pPr>
      <w:r>
        <w:t xml:space="preserve">Risk documentation and mitigation strategies for AI Act compliance</w:t>
      </w:r>
    </w:p>
    <w:p>
      <w:pPr>
        <w:pStyle w:val="ListParagraph"/>
        <w:numPr>
          <w:ilvl w:val="0"/>
          <w:numId w:val="2"/>
        </w:numPr>
      </w:pPr>
      <w:r>
        <w:t xml:space="preserve">Compliance audit trails and SOP gap analysis</w:t>
      </w:r>
    </w:p>
    <w:p>
      <w:pPr>
        <w:pStyle w:val="ListParagraph"/>
        <w:numPr>
          <w:ilvl w:val="0"/>
          <w:numId w:val="2"/>
        </w:numPr>
        <w:spacing w:after="120"/>
      </w:pPr>
      <w:r>
        <w:t xml:space="preserve">Support for customer transparency requirements (FDA transparency in clinical evidence)</w:t>
      </w:r>
    </w:p>
    <w:p>
      <w:pPr>
        <w:pStyle w:val="Heading2"/>
      </w:pPr>
      <w:r>
        <w:t xml:space="preserve">Use Case 3: Supply Chain &amp; GMP Traceability</w:t>
      </w:r>
    </w:p>
    <w:p>
      <w:pPr>
        <w:spacing w:after="120"/>
      </w:pPr>
      <w:r>
        <w:t xml:space="preserve">Brightseed commercializes bioactives through multiple production pathways (natural extraction, fermentation, precision fermentation). This creates complex traceability and compliance requirements across:</w:t>
      </w:r>
    </w:p>
    <w:p>
      <w:pPr>
        <w:pStyle w:val="ListParagraph"/>
        <w:numPr>
          <w:ilvl w:val="0"/>
          <w:numId w:val="2"/>
        </w:numPr>
      </w:pPr>
      <w:r>
        <w:t xml:space="preserve">Raw material sourcing and agricultural compliance</w:t>
      </w:r>
    </w:p>
    <w:p>
      <w:pPr>
        <w:pStyle w:val="ListParagraph"/>
        <w:numPr>
          <w:ilvl w:val="0"/>
          <w:numId w:val="2"/>
        </w:numPr>
      </w:pPr>
      <w:r>
        <w:t xml:space="preserve">Manufacturing and GMP validation</w:t>
      </w:r>
    </w:p>
    <w:p>
      <w:pPr>
        <w:pStyle w:val="ListParagraph"/>
        <w:numPr>
          <w:ilvl w:val="0"/>
          <w:numId w:val="2"/>
        </w:numPr>
      </w:pPr>
      <w:r>
        <w:t xml:space="preserve">Testing and identity verification</w:t>
      </w:r>
    </w:p>
    <w:p>
      <w:pPr>
        <w:pStyle w:val="ListParagraph"/>
        <w:numPr>
          <w:ilvl w:val="0"/>
          <w:numId w:val="2"/>
        </w:numPr>
        <w:spacing w:after="120"/>
      </w:pPr>
      <w:r>
        <w:t xml:space="preserve">Serialization and batch tracking for recall prevention</w:t>
      </w:r>
    </w:p>
    <w:p>
      <w:pPr>
        <w:spacing w:after="120"/>
      </w:pPr>
      <w:r>
        <w:t xml:space="preserve">HexGraph's semantic graph and temporal reasoning can model supply chain dependencies, identify bottlenecks, and automate SOP compliance checks.</w:t>
      </w:r>
    </w:p>
    <w:p>
      <w:pPr>
        <w:pStyle w:val="Heading2"/>
      </w:pPr>
      <w:r>
        <w:t xml:space="preserve">Use Case 4: Partner Compliance Audits</w:t>
      </w:r>
    </w:p>
    <w:p>
      <w:pPr>
        <w:spacing w:after="120"/>
      </w:pPr>
      <w:r>
        <w:t xml:space="preserve">Brightseed partners with major CPG companies (Haleon, Kraft Heinz, etc.) who have their own regulatory and quality requirements. HexReason can:</w:t>
      </w:r>
    </w:p>
    <w:p>
      <w:pPr>
        <w:pStyle w:val="ListParagraph"/>
        <w:numPr>
          <w:ilvl w:val="0"/>
          <w:numId w:val="2"/>
        </w:numPr>
      </w:pPr>
      <w:r>
        <w:t xml:space="preserve">Automate compliance validation in partnership agreements</w:t>
      </w:r>
    </w:p>
    <w:p>
      <w:pPr>
        <w:pStyle w:val="ListParagraph"/>
        <w:numPr>
          <w:ilvl w:val="0"/>
          <w:numId w:val="2"/>
        </w:numPr>
      </w:pPr>
      <w:r>
        <w:t xml:space="preserve">Map partner requirements to ingredient specifications</w:t>
      </w:r>
    </w:p>
    <w:p>
      <w:pPr>
        <w:pStyle w:val="ListParagraph"/>
        <w:numPr>
          <w:ilvl w:val="0"/>
          <w:numId w:val="2"/>
        </w:numPr>
      </w:pPr>
      <w:r>
        <w:t xml:space="preserve">Predict compliance issues before product launch</w:t>
      </w:r>
    </w:p>
    <w:p>
      <w:pPr>
        <w:pStyle w:val="ListParagraph"/>
        <w:numPr>
          <w:ilvl w:val="0"/>
          <w:numId w:val="2"/>
        </w:numPr>
        <w:spacing w:after="120"/>
      </w:pPr>
      <w:r>
        <w:t xml:space="preserve">Enable faster partner onboarding and validation cycles</w:t>
      </w:r>
    </w:p>
    <w:p>
      <w:pPr>
        <w:pStyle w:val="Heading2"/>
      </w:pPr>
      <w:r>
        <w:t xml:space="preserve">Competitive Advantages for Brightseed</w:t>
      </w:r>
    </w:p>
    <w:p>
      <w:pPr>
        <w:spacing w:after="60"/>
      </w:pPr>
      <w:r>
        <w:rPr>
          <w:b/>
          <w:bCs/>
        </w:rPr>
        <w:t xml:space="preserve">Speed-to-Market: </w:t>
      </w:r>
      <w:r>
        <w:t xml:space="preserve">Reduce regulatory review cycles and accelerate time from discovery to commercialization</w:t>
      </w:r>
    </w:p>
    <w:p>
      <w:pPr>
        <w:spacing w:after="60"/>
      </w:pPr>
      <w:r>
        <w:rPr>
          <w:b/>
          <w:bCs/>
        </w:rPr>
        <w:t xml:space="preserve">Customer Enablement: </w:t>
      </w:r>
      <w:r>
        <w:t xml:space="preserve">Provide partners with compliance intelligence for their own product launches</w:t>
      </w:r>
    </w:p>
    <w:p>
      <w:pPr>
        <w:spacing w:after="60"/>
      </w:pPr>
      <w:r>
        <w:rPr>
          <w:b/>
          <w:bCs/>
        </w:rPr>
        <w:t xml:space="preserve">Risk Reduction: </w:t>
      </w:r>
      <w:r>
        <w:t xml:space="preserve">Identify regulatory pitfalls early, reducing expensive reformulations and withdrawals</w:t>
      </w:r>
    </w:p>
    <w:p>
      <w:pPr>
        <w:spacing w:after="60"/>
      </w:pPr>
      <w:r>
        <w:rPr>
          <w:b/>
          <w:bCs/>
        </w:rPr>
        <w:t xml:space="preserve">Enterprise Trust: </w:t>
      </w:r>
      <w:r>
        <w:t xml:space="preserve">Demonstrable AI Act compliance strengthens trust with large CPG and pharma partners</w:t>
      </w:r>
    </w:p>
    <w:p>
      <w:pPr>
        <w:spacing w:after="120"/>
      </w:pPr>
      <w:r>
        <w:rPr>
          <w:b/>
          <w:bCs/>
        </w:rPr>
        <w:t xml:space="preserve">Scalability: </w:t>
      </w:r>
      <w:r>
        <w:t xml:space="preserve">Modular compliance platform scales with Forager as it grows to support thousands of bioactives</w:t>
      </w:r>
    </w:p>
    <w:p>
      <w:pPr>
        <w:pStyle w:val="Heading1"/>
      </w:pPr>
      <w:r>
        <w:t xml:space="preserve">RECOMMENDED ENGAGEMENT PATH</w:t>
      </w:r>
    </w:p>
    <w:p>
      <w:pPr>
        <w:spacing w:after="120"/>
      </w:pPr>
      <w:r>
        <w:t xml:space="preserve">Based on Brightseed's regulatory complexity and growth trajectory, the following outreach strategy is recommended:</w:t>
      </w:r>
    </w:p>
    <w:p>
      <w:pPr>
        <w:pStyle w:val="Heading3"/>
      </w:pPr>
      <w:r>
        <w:t xml:space="preserve">Phase 1: Discovery Conversation</w:t>
      </w:r>
    </w:p>
    <w:p>
      <w:pPr>
        <w:spacing w:after="120"/>
      </w:pPr>
      <w:r>
        <w:t xml:space="preserve">Target: Sofia Elizondo (President &amp; CCO) as primary contact
Focus: Position Hextropian as a compliance acceleration partner, not a vendor. Emphasize regulatory risk management, EU AI Act readiness, and partner enablement.</w:t>
      </w:r>
    </w:p>
    <w:p>
      <w:pPr>
        <w:pStyle w:val="Heading3"/>
      </w:pPr>
      <w:r>
        <w:t xml:space="preserve">Phase 2: Technical Proof-of-Concept</w:t>
      </w:r>
    </w:p>
    <w:p>
      <w:pPr>
        <w:spacing w:after="120"/>
      </w:pPr>
      <w:r>
        <w:t xml:space="preserve">Use Case: Select one Brightseed bioactive (e.g., BioMetaControl) and demonstrate HexReason's ability to map clinical trial data to health claim language across FDA + EU Novel Foods + EU AI Act frameworks in a 4-week POC.</w:t>
      </w:r>
    </w:p>
    <w:p>
      <w:pPr>
        <w:pStyle w:val="Heading3"/>
      </w:pPr>
      <w:r>
        <w:t xml:space="preserve">Phase 3: Pilot Partnership</w:t>
      </w:r>
    </w:p>
    <w:p>
      <w:pPr>
        <w:spacing w:after="120"/>
      </w:pPr>
      <w:r>
        <w:t xml:space="preserve">Scope: Deploy Hextropian platform for Brightseed's next 3–5 ingredient launches, expanding to supply chain traceability and partner validation as Phase 1 matures.</w:t>
      </w:r>
    </w:p>
    <w:p>
      <w:pPr>
        <w:pStyle w:val="Heading2"/>
      </w:pPr>
      <w:r>
        <w:t xml:space="preserve">Key Message</w:t>
      </w:r>
    </w:p>
    <w:p>
      <w:pPr>
        <w:spacing w:after="120"/>
      </w:pPr>
      <w:r>
        <w:rPr>
          <w:i/>
          <w:iCs/>
        </w:rPr>
        <w:t xml:space="preserve">"From discovery to commercialization, Brightseed's bioactives face a maze of regulatory frameworks and compliance requirements. Hextropian automates that compliance journey, enabling Brightseed to move from discovery to market faster, with lower risk and stronger confidence in regulatory approval. This isn't just software—it's a competitive advantage in a market where timing and regulatory certainty are everything."</w:t>
      </w:r>
    </w:p>
    <w:p>
      <w:pPr>
        <w:pStyle w:val="Heading1"/>
      </w:pPr>
      <w:r>
        <w:t xml:space="preserve">CONTACT &amp; NEXT STEPS</w:t>
      </w:r>
    </w:p>
    <w:p>
      <w:pPr>
        <w:spacing w:after="60"/>
      </w:pPr>
      <w:r>
        <w:rPr>
          <w:b/>
          <w:bCs/>
        </w:rPr>
        <w:t xml:space="preserve">Brightseed.bio Primary Contact:</w:t>
      </w:r>
    </w:p>
    <w:p>
      <w:pPr>
        <w:spacing w:after="120"/>
      </w:pPr>
      <w:r>
        <w:t xml:space="preserve">Sofia Elizondo, President &amp; Chief Commercial Officer</w:t>
      </w:r>
    </w:p>
    <w:p>
      <w:pPr>
        <w:spacing w:after="60"/>
      </w:pPr>
      <w:r>
        <w:rPr>
          <w:b/>
          <w:bCs/>
        </w:rPr>
        <w:t xml:space="preserve">Hextropian Outreach Contact:</w:t>
      </w:r>
    </w:p>
    <w:p>
      <w:pPr>
        <w:spacing w:after="120"/>
      </w:pPr>
      <w:r>
        <w:t xml:space="preserve">info@hextropian.systems</w:t>
      </w:r>
    </w:p>
    <w:p>
      <w:pPr>
        <w:spacing w:after="120"/>
      </w:pPr>
      <w:r>
        <w:rPr>
          <w:b/>
          <w:bCs/>
        </w:rPr>
        <w:t xml:space="preserve">Suggested subject line: </w:t>
      </w:r>
      <w:r>
        <w:t xml:space="preserve">"Compliance Acceleration for Bioactive Discovery &amp; Commercialization"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2026-04-25T13:29:49.103Z</dcterms:created>
  <dcterms:modified xsi:type="dcterms:W3CDTF">2026-04-25T13:29:49.104Z</dcterms:modified>
</cp:coreProperties>
</file>

<file path=docProps/custom.xml><?xml version="1.0" encoding="utf-8"?>
<Properties xmlns="http://schemas.openxmlformats.org/officeDocument/2006/custom-properties" xmlns:vt="http://schemas.openxmlformats.org/officeDocument/2006/docPropsVTypes"/>
</file>