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23CFE" w14:textId="77777777" w:rsidR="00872BCE" w:rsidRDefault="00872BCE">
      <w:pPr>
        <w:widowControl w:val="0"/>
        <w:pBdr>
          <w:top w:val="nil"/>
          <w:left w:val="nil"/>
          <w:bottom w:val="nil"/>
          <w:right w:val="nil"/>
          <w:between w:val="nil"/>
        </w:pBdr>
        <w:spacing w:after="0" w:line="276" w:lineRule="auto"/>
      </w:pPr>
    </w:p>
    <w:p w14:paraId="1952CAD3" w14:textId="77777777" w:rsidR="00A039ED" w:rsidRDefault="00A039ED">
      <w:pPr>
        <w:widowControl w:val="0"/>
        <w:pBdr>
          <w:top w:val="nil"/>
          <w:left w:val="nil"/>
          <w:bottom w:val="nil"/>
          <w:right w:val="nil"/>
          <w:between w:val="nil"/>
        </w:pBdr>
        <w:spacing w:after="0" w:line="276" w:lineRule="auto"/>
      </w:pPr>
    </w:p>
    <w:p w14:paraId="13CAC088" w14:textId="76BB424A" w:rsidR="00872BCE" w:rsidRDefault="00000000">
      <w:pPr>
        <w:pStyle w:val="Heading1"/>
      </w:pPr>
      <w:r>
        <w:t>Dissertation</w:t>
      </w:r>
      <w:r w:rsidR="00C47A23">
        <w:t xml:space="preserve"> – James Lambert</w:t>
      </w:r>
    </w:p>
    <w:p w14:paraId="6448D63B" w14:textId="77777777" w:rsidR="00872BCE" w:rsidRDefault="00872BCE"/>
    <w:p w14:paraId="594F7172" w14:textId="629389B5" w:rsidR="00872BCE" w:rsidRDefault="007E22B4" w:rsidP="007E22B4">
      <w:pPr>
        <w:pStyle w:val="Heading2"/>
      </w:pPr>
      <w:r>
        <w:t>Abstract</w:t>
      </w:r>
    </w:p>
    <w:p w14:paraId="6A9788EA" w14:textId="64237ED7" w:rsidR="007E22B4" w:rsidRDefault="00000000">
      <w:r>
        <w:t>The UK like many advanced economies subsides advanced manufacturing sector</w:t>
      </w:r>
      <w:r w:rsidR="001B469F" w:rsidRPr="001B469F">
        <w:t xml:space="preserve"> </w:t>
      </w:r>
      <w:sdt>
        <w:sdtPr>
          <w:id w:val="760802066"/>
          <w:citation/>
        </w:sdtPr>
        <w:sdtContent>
          <w:r w:rsidR="001B469F">
            <w:fldChar w:fldCharType="begin"/>
          </w:r>
          <w:r w:rsidR="001B469F">
            <w:instrText xml:space="preserve">CITATION Ste13 \l 2057 </w:instrText>
          </w:r>
          <w:r w:rsidR="001B469F">
            <w:fldChar w:fldCharType="separate"/>
          </w:r>
          <w:r w:rsidR="001B469F" w:rsidRPr="00C00979">
            <w:rPr>
              <w:noProof/>
            </w:rPr>
            <w:t>(Broadberry &amp; Leunig, 2013)</w:t>
          </w:r>
          <w:r w:rsidR="001B469F">
            <w:fldChar w:fldCharType="end"/>
          </w:r>
        </w:sdtContent>
      </w:sdt>
      <w:r w:rsidR="001B469F">
        <w:t>, particular</w:t>
      </w:r>
      <w:r w:rsidR="00A6553A">
        <w:t>ly</w:t>
      </w:r>
      <w:r w:rsidR="001B469F">
        <w:t xml:space="preserve"> if the technology associated are considered ‘Green’. The USA passed the Inflation Reduction Action (IRA), </w:t>
      </w:r>
      <w:sdt>
        <w:sdtPr>
          <w:id w:val="1222795615"/>
          <w:citation/>
        </w:sdtPr>
        <w:sdtContent>
          <w:r w:rsidR="001B469F">
            <w:fldChar w:fldCharType="begin"/>
          </w:r>
          <w:r w:rsidR="001B469F">
            <w:instrText xml:space="preserve"> CITATION Whi22 \l 2057 </w:instrText>
          </w:r>
          <w:r w:rsidR="001B469F">
            <w:fldChar w:fldCharType="separate"/>
          </w:r>
          <w:r w:rsidR="001B469F" w:rsidRPr="001B469F">
            <w:rPr>
              <w:noProof/>
            </w:rPr>
            <w:t>(White House, 2022)</w:t>
          </w:r>
          <w:r w:rsidR="001B469F">
            <w:fldChar w:fldCharType="end"/>
          </w:r>
        </w:sdtContent>
      </w:sdt>
      <w:r w:rsidR="001B469F">
        <w:t xml:space="preserve"> and future EU investments will be made by The Green Deal Industrial Plan (GDIP),  </w:t>
      </w:r>
      <w:sdt>
        <w:sdtPr>
          <w:id w:val="992687177"/>
          <w:citation/>
        </w:sdtPr>
        <w:sdtContent>
          <w:r w:rsidR="001B469F">
            <w:fldChar w:fldCharType="begin"/>
          </w:r>
          <w:r w:rsidR="001B469F">
            <w:instrText xml:space="preserve"> CITATION Eur23 \l 2057 </w:instrText>
          </w:r>
          <w:r w:rsidR="001B469F">
            <w:fldChar w:fldCharType="separate"/>
          </w:r>
          <w:r w:rsidR="001B469F" w:rsidRPr="001B469F">
            <w:rPr>
              <w:noProof/>
            </w:rPr>
            <w:t>(European Commission, 2023)</w:t>
          </w:r>
          <w:r w:rsidR="001B469F">
            <w:fldChar w:fldCharType="end"/>
          </w:r>
        </w:sdtContent>
      </w:sdt>
      <w:r w:rsidR="001B469F">
        <w:t xml:space="preserve">. </w:t>
      </w:r>
      <w:r>
        <w:t xml:space="preserve">There are presumed to be multiply benefits to this decision, however this is a market distortion to a true free market equilibrium. The </w:t>
      </w:r>
      <w:r w:rsidR="007E22B4">
        <w:t>neo-</w:t>
      </w:r>
      <w:r>
        <w:t>classical approach</w:t>
      </w:r>
      <w:r w:rsidR="007E22B4">
        <w:t xml:space="preserve"> </w:t>
      </w:r>
      <w:sdt>
        <w:sdtPr>
          <w:id w:val="-1001424652"/>
          <w:citation/>
        </w:sdtPr>
        <w:sdtContent>
          <w:r w:rsidR="00053501">
            <w:fldChar w:fldCharType="begin"/>
          </w:r>
          <w:r w:rsidR="00C00979">
            <w:instrText xml:space="preserve">CITATION Roy80 \l 2057 </w:instrText>
          </w:r>
          <w:r w:rsidR="00053501">
            <w:fldChar w:fldCharType="separate"/>
          </w:r>
          <w:r w:rsidR="00C00979" w:rsidRPr="00C00979">
            <w:rPr>
              <w:noProof/>
            </w:rPr>
            <w:t>(Cordato, 1980)</w:t>
          </w:r>
          <w:r w:rsidR="00053501">
            <w:fldChar w:fldCharType="end"/>
          </w:r>
        </w:sdtContent>
      </w:sdt>
      <w:r w:rsidR="00053501">
        <w:t xml:space="preserve"> </w:t>
      </w:r>
      <w:r w:rsidR="007E22B4">
        <w:t xml:space="preserve">states that without market failures the government should not intervene in the market and that it may produce worse outcomes, government failure </w:t>
      </w:r>
      <w:sdt>
        <w:sdtPr>
          <w:id w:val="2010480469"/>
          <w:citation/>
        </w:sdtPr>
        <w:sdtContent>
          <w:r w:rsidR="00053501">
            <w:fldChar w:fldCharType="begin"/>
          </w:r>
          <w:r w:rsidR="00053501">
            <w:instrText xml:space="preserve"> CITATION Jul09 \l 2057 </w:instrText>
          </w:r>
          <w:r w:rsidR="00053501">
            <w:fldChar w:fldCharType="separate"/>
          </w:r>
          <w:r w:rsidR="00FC1132" w:rsidRPr="00FC1132">
            <w:rPr>
              <w:noProof/>
            </w:rPr>
            <w:t>(Grand, 2009)</w:t>
          </w:r>
          <w:r w:rsidR="00053501">
            <w:fldChar w:fldCharType="end"/>
          </w:r>
        </w:sdtContent>
      </w:sdt>
      <w:r w:rsidR="00053501">
        <w:t>.</w:t>
      </w:r>
      <w:r w:rsidR="007E22B4">
        <w:t xml:space="preserve">The government </w:t>
      </w:r>
      <w:r w:rsidR="001B469F">
        <w:t xml:space="preserve">therefore must show market failures exist that it is trying to counteract and that </w:t>
      </w:r>
      <w:r w:rsidR="007E22B4">
        <w:t>interven</w:t>
      </w:r>
      <w:r w:rsidR="001B469F">
        <w:t>ing</w:t>
      </w:r>
      <w:r w:rsidR="007E22B4">
        <w:t xml:space="preserve"> </w:t>
      </w:r>
      <w:r w:rsidR="001B469F">
        <w:t xml:space="preserve">would be an economic and social benefit to the UK. The first is covered in the </w:t>
      </w:r>
      <w:r w:rsidR="00A6553A">
        <w:t xml:space="preserve">Five Case Model, </w:t>
      </w:r>
      <w:sdt>
        <w:sdtPr>
          <w:id w:val="1574927433"/>
          <w:citation/>
        </w:sdtPr>
        <w:sdtContent>
          <w:r w:rsidR="00A6553A">
            <w:fldChar w:fldCharType="begin"/>
          </w:r>
          <w:r w:rsidR="00A6553A">
            <w:instrText xml:space="preserve"> CITATION HMT18 \l 2057 </w:instrText>
          </w:r>
          <w:r w:rsidR="00A6553A">
            <w:fldChar w:fldCharType="separate"/>
          </w:r>
          <w:r w:rsidR="00A6553A" w:rsidRPr="00A6553A">
            <w:rPr>
              <w:noProof/>
            </w:rPr>
            <w:t>(HM Tresury, 2018)</w:t>
          </w:r>
          <w:r w:rsidR="00A6553A">
            <w:fldChar w:fldCharType="end"/>
          </w:r>
        </w:sdtContent>
      </w:sdt>
      <w:r w:rsidR="00A6553A">
        <w:t>.</w:t>
      </w:r>
      <w:r w:rsidR="001B469F">
        <w:t xml:space="preserve"> To confirm the lat</w:t>
      </w:r>
      <w:r w:rsidR="00A6553A">
        <w:t>t</w:t>
      </w:r>
      <w:r w:rsidR="001B469F">
        <w:t>e</w:t>
      </w:r>
      <w:r w:rsidR="00A6553A">
        <w:t xml:space="preserve">r analysts must </w:t>
      </w:r>
      <w:r w:rsidR="007E22B4">
        <w:t>perform ex-ante modelling of its impacts</w:t>
      </w:r>
      <w:sdt>
        <w:sdtPr>
          <w:id w:val="-1352253565"/>
          <w:citation/>
        </w:sdtPr>
        <w:sdtContent>
          <w:r w:rsidR="00053501">
            <w:fldChar w:fldCharType="begin"/>
          </w:r>
          <w:r w:rsidR="00053501">
            <w:instrText xml:space="preserve"> CITATION Sar23 \l 2057 </w:instrText>
          </w:r>
          <w:r w:rsidR="00053501">
            <w:fldChar w:fldCharType="separate"/>
          </w:r>
          <w:r w:rsidR="00FC1132">
            <w:rPr>
              <w:noProof/>
            </w:rPr>
            <w:t xml:space="preserve"> </w:t>
          </w:r>
          <w:r w:rsidR="00FC1132" w:rsidRPr="00FC1132">
            <w:rPr>
              <w:noProof/>
            </w:rPr>
            <w:t>(Munby, 2023)</w:t>
          </w:r>
          <w:r w:rsidR="00053501">
            <w:fldChar w:fldCharType="end"/>
          </w:r>
        </w:sdtContent>
      </w:sdt>
      <w:r w:rsidR="007E22B4">
        <w:t xml:space="preserve">. </w:t>
      </w:r>
    </w:p>
    <w:p w14:paraId="3B04A779" w14:textId="693F6AC2" w:rsidR="00AA238D" w:rsidRDefault="00000000">
      <w:r>
        <w:t xml:space="preserve">This paper will </w:t>
      </w:r>
      <w:r w:rsidR="007E22B4">
        <w:t xml:space="preserve">investigate the </w:t>
      </w:r>
      <w:r w:rsidR="00A04519">
        <w:t xml:space="preserve">potential introduction </w:t>
      </w:r>
      <w:r w:rsidR="007E22B4">
        <w:t xml:space="preserve">of General Equilibrium Modelling (GEM) </w:t>
      </w:r>
      <w:r w:rsidR="00A04519">
        <w:t xml:space="preserve">to analysis </w:t>
      </w:r>
      <w:r w:rsidR="007E22B4">
        <w:t>intervention</w:t>
      </w:r>
      <w:r w:rsidR="00A04519">
        <w:t>s</w:t>
      </w:r>
      <w:r w:rsidR="007E22B4">
        <w:t xml:space="preserve"> in advance manufacturing sectors</w:t>
      </w:r>
      <w:r w:rsidR="00A04519">
        <w:t xml:space="preserve">. With a specific focus on </w:t>
      </w:r>
      <w:r>
        <w:t xml:space="preserve">the automotive industry due to </w:t>
      </w:r>
      <w:r w:rsidR="007E22B4">
        <w:t xml:space="preserve">it being the </w:t>
      </w:r>
      <w:r>
        <w:t>author</w:t>
      </w:r>
      <w:r w:rsidR="007E22B4">
        <w:t>’s</w:t>
      </w:r>
      <w:r>
        <w:t xml:space="preserve"> area of work however there is possibility of applicability to other areas.</w:t>
      </w:r>
    </w:p>
    <w:p w14:paraId="646CEA53" w14:textId="43230B11" w:rsidR="007E22B4" w:rsidRDefault="007E22B4" w:rsidP="007E22B4">
      <w:pPr>
        <w:pStyle w:val="Heading2"/>
      </w:pPr>
      <w:r w:rsidRPr="007E22B4">
        <w:t>Context</w:t>
      </w:r>
    </w:p>
    <w:p w14:paraId="4E51FE2B" w14:textId="77777777" w:rsidR="00712120" w:rsidRDefault="00712120" w:rsidP="00712120">
      <w:pPr>
        <w:pStyle w:val="Heading3"/>
      </w:pPr>
      <w:r>
        <w:t>Government Departmental Changes</w:t>
      </w:r>
    </w:p>
    <w:p w14:paraId="3A908E64" w14:textId="1062EDE5" w:rsidR="00712120" w:rsidRDefault="00712120" w:rsidP="00712120">
      <w:r>
        <w:t>The Department for International Trade (DIT) was created on 14</w:t>
      </w:r>
      <w:r w:rsidRPr="001C02B5">
        <w:rPr>
          <w:vertAlign w:val="superscript"/>
        </w:rPr>
        <w:t>th</w:t>
      </w:r>
      <w:r>
        <w:t xml:space="preserve"> July 2016 and became part of the Department of Business and Trade (DBT) as part of a Machinery of Government (MOG) change on 7</w:t>
      </w:r>
      <w:r w:rsidRPr="001C02B5">
        <w:rPr>
          <w:vertAlign w:val="superscript"/>
        </w:rPr>
        <w:t>th</w:t>
      </w:r>
      <w:r>
        <w:t xml:space="preserve"> February 2023. DIT had a remit to complete trade policy analysis, for this it the independent report: Trade modelling review expert panel, recommended development of Computable General Equilibrium Model (CGEM) capabilities, </w:t>
      </w:r>
      <w:sdt>
        <w:sdtPr>
          <w:id w:val="-1197384102"/>
          <w:citation/>
        </w:sdtPr>
        <w:sdtContent>
          <w:r>
            <w:fldChar w:fldCharType="begin"/>
          </w:r>
          <w:r>
            <w:instrText xml:space="preserve"> CITATION Ton22 \l 2057 </w:instrText>
          </w:r>
          <w:r>
            <w:fldChar w:fldCharType="separate"/>
          </w:r>
          <w:r w:rsidR="00FC1132" w:rsidRPr="00FC1132">
            <w:rPr>
              <w:noProof/>
            </w:rPr>
            <w:t>(Venables, 2022)</w:t>
          </w:r>
          <w:r>
            <w:fldChar w:fldCharType="end"/>
          </w:r>
        </w:sdtContent>
      </w:sdt>
      <w:r>
        <w:t xml:space="preserve">. </w:t>
      </w:r>
    </w:p>
    <w:p w14:paraId="428047DF" w14:textId="4906F07B" w:rsidR="00712120" w:rsidRDefault="00712120" w:rsidP="00712120">
      <w:r>
        <w:t xml:space="preserve">This remit for external policy focus has been combined with </w:t>
      </w:r>
      <w:r w:rsidRPr="00003277">
        <w:t>Department for Business, Energy &amp; Industrial Strategy</w:t>
      </w:r>
      <w:r>
        <w:t xml:space="preserve"> (BEIS) domestic business policy. Therefore, allowing government to have a join up domestic and international policy objectives to strengthen UK industry. As DBT embeds this join up policy direction a sharing of analytical approach across the two departments will grow. Therefore, the domestic policy analysis approach described later in </w:t>
      </w:r>
      <w:r>
        <w:fldChar w:fldCharType="begin"/>
      </w:r>
      <w:r>
        <w:instrText xml:space="preserve"> REF _Ref142665890 \h </w:instrText>
      </w:r>
      <w:r>
        <w:fldChar w:fldCharType="separate"/>
      </w:r>
      <w:r w:rsidR="00FC1132" w:rsidRPr="00712120">
        <w:t>Impact/Benefit justification</w:t>
      </w:r>
      <w:r>
        <w:fldChar w:fldCharType="end"/>
      </w:r>
      <w:r>
        <w:t xml:space="preserve"> could be expanded by considering the approach previously used for external policy analysis.</w:t>
      </w:r>
    </w:p>
    <w:p w14:paraId="2875CD5B" w14:textId="6C98DA03" w:rsidR="00DE5F67" w:rsidRPr="00712120" w:rsidRDefault="00DE5F67" w:rsidP="00712120">
      <w:r>
        <w:t xml:space="preserve">Discussing with ex-DIT colleagues the modelling capability has been based on the work of </w:t>
      </w:r>
      <w:sdt>
        <w:sdtPr>
          <w:id w:val="2119097408"/>
          <w:citation/>
        </w:sdtPr>
        <w:sdtContent>
          <w:r>
            <w:fldChar w:fldCharType="begin"/>
          </w:r>
          <w:r w:rsidR="00C00979">
            <w:instrText xml:space="preserve">CITATION Chr03 \l 2057 </w:instrText>
          </w:r>
          <w:r>
            <w:fldChar w:fldCharType="separate"/>
          </w:r>
          <w:r w:rsidR="00C00979" w:rsidRPr="00C00979">
            <w:rPr>
              <w:noProof/>
            </w:rPr>
            <w:t>(Böhringer, et al., 2003)</w:t>
          </w:r>
          <w:r>
            <w:fldChar w:fldCharType="end"/>
          </w:r>
        </w:sdtContent>
      </w:sdt>
      <w:r>
        <w:t xml:space="preserve"> and </w:t>
      </w:r>
      <w:sdt>
        <w:sdtPr>
          <w:id w:val="-934587354"/>
          <w:citation/>
        </w:sdtPr>
        <w:sdtContent>
          <w:r>
            <w:fldChar w:fldCharType="begin"/>
          </w:r>
          <w:r>
            <w:instrText xml:space="preserve"> CITATION Ian04 \l 2057 </w:instrText>
          </w:r>
          <w:r>
            <w:fldChar w:fldCharType="separate"/>
          </w:r>
          <w:r w:rsidRPr="00DE5F67">
            <w:rPr>
              <w:noProof/>
            </w:rPr>
            <w:t>(Wing, 2004)</w:t>
          </w:r>
          <w:r>
            <w:fldChar w:fldCharType="end"/>
          </w:r>
        </w:sdtContent>
      </w:sdt>
      <w:r>
        <w:t xml:space="preserve">. </w:t>
      </w:r>
    </w:p>
    <w:p w14:paraId="43077445" w14:textId="73CD09F2" w:rsidR="00296F4D" w:rsidRDefault="00712120" w:rsidP="00B836FC">
      <w:pPr>
        <w:pStyle w:val="Heading3"/>
        <w:rPr>
          <w:b w:val="0"/>
          <w:bCs/>
        </w:rPr>
      </w:pPr>
      <w:r>
        <w:t>Policy Area - Market Failures</w:t>
      </w:r>
      <w:r w:rsidR="00B836FC">
        <w:t xml:space="preserve"> </w:t>
      </w:r>
    </w:p>
    <w:p w14:paraId="211EBAF6" w14:textId="3BAC0854" w:rsidR="00E42F81" w:rsidRDefault="00E42F81" w:rsidP="00E42F81">
      <w:r>
        <w:t xml:space="preserve">There is a strong economic rationale for government intervention in this sector due to the presence of several market failures. Some market failures affect the whole </w:t>
      </w:r>
      <w:r w:rsidR="002E51E2">
        <w:t>sector</w:t>
      </w:r>
      <w:r>
        <w:t xml:space="preserve">, while others are specific to a particular stage, such as R&amp;D investment. </w:t>
      </w:r>
      <w:r w:rsidR="002E51E2">
        <w:t>Current HMG assessment of different market fail</w:t>
      </w:r>
      <w:r w:rsidR="002F2373">
        <w:t>ures</w:t>
      </w:r>
      <w:r w:rsidR="002E51E2">
        <w:t xml:space="preserve"> is viewed through the breakdown given in </w:t>
      </w:r>
      <w:r w:rsidR="002E51E2">
        <w:fldChar w:fldCharType="begin"/>
      </w:r>
      <w:r w:rsidR="002E51E2">
        <w:instrText xml:space="preserve"> REF _Ref142646687 \h </w:instrText>
      </w:r>
      <w:r w:rsidR="002E51E2">
        <w:fldChar w:fldCharType="separate"/>
      </w:r>
      <w:r w:rsidR="00FC1132">
        <w:t xml:space="preserve">Figure </w:t>
      </w:r>
      <w:r w:rsidR="00FC1132">
        <w:rPr>
          <w:noProof/>
        </w:rPr>
        <w:t>1</w:t>
      </w:r>
      <w:r w:rsidR="002E51E2">
        <w:fldChar w:fldCharType="end"/>
      </w:r>
      <w:r w:rsidR="002E51E2">
        <w:t>.</w:t>
      </w:r>
      <w:r w:rsidR="002E51E2" w:rsidRPr="002E51E2">
        <w:t xml:space="preserve"> </w:t>
      </w:r>
      <w:r w:rsidR="002E51E2">
        <w:t xml:space="preserve">This paper </w:t>
      </w:r>
      <w:r w:rsidR="002E51E2">
        <w:lastRenderedPageBreak/>
        <w:t xml:space="preserve">will focus on </w:t>
      </w:r>
      <w:r w:rsidR="003F7799">
        <w:t xml:space="preserve">production side of the </w:t>
      </w:r>
      <w:r w:rsidR="002E51E2">
        <w:t>industry</w:t>
      </w:r>
      <w:r w:rsidR="003F7799">
        <w:t xml:space="preserve"> specifically capital investments</w:t>
      </w:r>
      <w:r w:rsidR="002E51E2">
        <w:t xml:space="preserve">. </w:t>
      </w:r>
      <w:r w:rsidR="00712120">
        <w:t>The example of market failures below builds on the information provide in the Green Book 2022, Section 4.23</w:t>
      </w:r>
      <w:r w:rsidR="00712120">
        <w:rPr>
          <w:rStyle w:val="FootnoteReference"/>
        </w:rPr>
        <w:footnoteReference w:id="1"/>
      </w:r>
      <w:r w:rsidR="00712120">
        <w:t>.</w:t>
      </w:r>
    </w:p>
    <w:p w14:paraId="5CE23EB3" w14:textId="592859A1" w:rsidR="002E51E2" w:rsidRDefault="002E51E2" w:rsidP="00E42F81">
      <w:r>
        <w:rPr>
          <w:noProof/>
        </w:rPr>
        <w:drawing>
          <wp:inline distT="0" distB="0" distL="0" distR="0" wp14:anchorId="177A324F" wp14:editId="18042551">
            <wp:extent cx="3933290" cy="2171700"/>
            <wp:effectExtent l="0" t="0" r="0" b="0"/>
            <wp:docPr id="882215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1196" b="2369"/>
                    <a:stretch/>
                  </pic:blipFill>
                  <pic:spPr bwMode="auto">
                    <a:xfrm>
                      <a:off x="0" y="0"/>
                      <a:ext cx="3949867" cy="2180853"/>
                    </a:xfrm>
                    <a:prstGeom prst="rect">
                      <a:avLst/>
                    </a:prstGeom>
                    <a:noFill/>
                    <a:ln>
                      <a:noFill/>
                    </a:ln>
                    <a:extLst>
                      <a:ext uri="{53640926-AAD7-44D8-BBD7-CCE9431645EC}">
                        <a14:shadowObscured xmlns:a14="http://schemas.microsoft.com/office/drawing/2010/main"/>
                      </a:ext>
                    </a:extLst>
                  </pic:spPr>
                </pic:pic>
              </a:graphicData>
            </a:graphic>
          </wp:inline>
        </w:drawing>
      </w:r>
    </w:p>
    <w:p w14:paraId="738E166E" w14:textId="5F05F523" w:rsidR="002E51E2" w:rsidRDefault="002E51E2" w:rsidP="002E51E2">
      <w:pPr>
        <w:pStyle w:val="Caption"/>
      </w:pPr>
      <w:bookmarkStart w:id="0" w:name="_Ref142646687"/>
      <w:r>
        <w:t xml:space="preserve">Figure </w:t>
      </w:r>
      <w:r>
        <w:fldChar w:fldCharType="begin"/>
      </w:r>
      <w:r>
        <w:instrText xml:space="preserve"> SEQ Figure \* ARABIC </w:instrText>
      </w:r>
      <w:r>
        <w:fldChar w:fldCharType="separate"/>
      </w:r>
      <w:r w:rsidR="006F4FFE">
        <w:rPr>
          <w:noProof/>
        </w:rPr>
        <w:t>1</w:t>
      </w:r>
      <w:r>
        <w:rPr>
          <w:noProof/>
        </w:rPr>
        <w:fldChar w:fldCharType="end"/>
      </w:r>
      <w:bookmarkEnd w:id="0"/>
      <w:r>
        <w:t xml:space="preserve"> Industry Sections</w:t>
      </w:r>
    </w:p>
    <w:p w14:paraId="78C425BC" w14:textId="4FE3D761" w:rsidR="00FE468E" w:rsidRPr="00FE468E" w:rsidRDefault="00354112" w:rsidP="00FE468E">
      <w:pPr>
        <w:pStyle w:val="Heading4"/>
      </w:pPr>
      <w:r>
        <w:t xml:space="preserve">Positive </w:t>
      </w:r>
      <w:r w:rsidR="00FE468E">
        <w:t>Externality</w:t>
      </w:r>
    </w:p>
    <w:p w14:paraId="163C1E52" w14:textId="2DF706D9" w:rsidR="00FE468E" w:rsidRDefault="00FE468E" w:rsidP="00FE468E">
      <w:r>
        <w:t xml:space="preserve">The industry is current transition to the production of Electric Vehicles (EV) from traditional Internal Combustion Engine (ICEV). EV has a positive externality of reduced CO2 emission when consumed compared to ICEV </w:t>
      </w:r>
      <w:sdt>
        <w:sdtPr>
          <w:id w:val="1869787568"/>
          <w:citation/>
        </w:sdtPr>
        <w:sdtContent>
          <w:r>
            <w:fldChar w:fldCharType="begin"/>
          </w:r>
          <w:r>
            <w:instrText xml:space="preserve">CITATION Uni23 \l 2057 </w:instrText>
          </w:r>
          <w:r>
            <w:fldChar w:fldCharType="separate"/>
          </w:r>
          <w:r w:rsidR="00FC1132" w:rsidRPr="00FC1132">
            <w:rPr>
              <w:noProof/>
            </w:rPr>
            <w:t>(USEPA, 2023)</w:t>
          </w:r>
          <w:r>
            <w:fldChar w:fldCharType="end"/>
          </w:r>
        </w:sdtContent>
      </w:sdt>
      <w:r>
        <w:t xml:space="preserve">, even when including the manufacturing process </w:t>
      </w:r>
      <w:sdt>
        <w:sdtPr>
          <w:id w:val="1316066930"/>
          <w:citation/>
        </w:sdtPr>
        <w:sdtContent>
          <w:r w:rsidR="00354112">
            <w:fldChar w:fldCharType="begin"/>
          </w:r>
          <w:r w:rsidR="00354112">
            <w:instrText xml:space="preserve"> CITATION FCA21 \l 2057 </w:instrText>
          </w:r>
          <w:r w:rsidR="00354112">
            <w:fldChar w:fldCharType="separate"/>
          </w:r>
          <w:r w:rsidR="00FC1132" w:rsidRPr="00FC1132">
            <w:rPr>
              <w:noProof/>
            </w:rPr>
            <w:t>(FCAB, 2021)</w:t>
          </w:r>
          <w:r w:rsidR="00354112">
            <w:fldChar w:fldCharType="end"/>
          </w:r>
        </w:sdtContent>
      </w:sdt>
      <w:r>
        <w:t xml:space="preserve">. </w:t>
      </w:r>
    </w:p>
    <w:p w14:paraId="0FB83B36" w14:textId="3F374E2F" w:rsidR="003F7799" w:rsidRDefault="00354112" w:rsidP="00FE468E">
      <w:r>
        <w:t xml:space="preserve">As the Marginal Social Benefit (MSB) is greater than the Marginal Private Benefit (MPB) there will be an under consumption and production of the good, </w:t>
      </w:r>
      <w:sdt>
        <w:sdtPr>
          <w:id w:val="-470683722"/>
          <w:citation/>
        </w:sdtPr>
        <w:sdtContent>
          <w:r>
            <w:fldChar w:fldCharType="begin"/>
          </w:r>
          <w:r w:rsidR="00C00979">
            <w:instrText xml:space="preserve">CITATION Rob09 \l 2057 </w:instrText>
          </w:r>
          <w:r>
            <w:fldChar w:fldCharType="separate"/>
          </w:r>
          <w:r w:rsidR="00C00979" w:rsidRPr="00C00979">
            <w:rPr>
              <w:noProof/>
            </w:rPr>
            <w:t>(Pindyck &amp; Rubinfeld, 2009)</w:t>
          </w:r>
          <w:r>
            <w:fldChar w:fldCharType="end"/>
          </w:r>
        </w:sdtContent>
      </w:sdt>
      <w:r>
        <w:t>.</w:t>
      </w:r>
    </w:p>
    <w:p w14:paraId="338F869C" w14:textId="5C857BCC" w:rsidR="002E51E2" w:rsidRDefault="002E51E2" w:rsidP="002E51E2">
      <w:pPr>
        <w:pStyle w:val="Heading4"/>
      </w:pPr>
      <w:r>
        <w:t xml:space="preserve">Barriers to </w:t>
      </w:r>
      <w:r w:rsidR="00354112">
        <w:t>E</w:t>
      </w:r>
      <w:r>
        <w:t xml:space="preserve">ntry </w:t>
      </w:r>
      <w:r w:rsidR="003F7799">
        <w:t>and Market Power</w:t>
      </w:r>
    </w:p>
    <w:p w14:paraId="29A2C979" w14:textId="2CD0FC7C" w:rsidR="00354112" w:rsidRDefault="00354112" w:rsidP="002E51E2">
      <w:r>
        <w:t xml:space="preserve">For the market to be considered a perfect competition many firms most be present with none having high market power. This is enabled by lower barrier to entry and exit from the market. </w:t>
      </w:r>
      <w:r w:rsidR="003D0454">
        <w:t xml:space="preserve">The </w:t>
      </w:r>
      <w:r>
        <w:t xml:space="preserve">automotive industry </w:t>
      </w:r>
      <w:r w:rsidR="003D0454">
        <w:t xml:space="preserve">and its supply chain have </w:t>
      </w:r>
      <w:r>
        <w:t xml:space="preserve">high </w:t>
      </w:r>
      <w:r w:rsidR="003D0454">
        <w:t>barriers</w:t>
      </w:r>
      <w:r>
        <w:t xml:space="preserve"> to entry due to the very high initial fixed capital costs</w:t>
      </w:r>
      <w:r w:rsidR="003D0454">
        <w:t>; for example, the new gigafactory</w:t>
      </w:r>
      <w:r w:rsidR="003D0454">
        <w:rPr>
          <w:rStyle w:val="FootnoteReference"/>
        </w:rPr>
        <w:footnoteReference w:id="2"/>
      </w:r>
      <w:r>
        <w:t xml:space="preserve"> </w:t>
      </w:r>
      <w:r w:rsidR="003D0454">
        <w:t xml:space="preserve">for JLR will require investment of £4bn </w:t>
      </w:r>
      <w:sdt>
        <w:sdtPr>
          <w:id w:val="730507909"/>
          <w:citation/>
        </w:sdtPr>
        <w:sdtContent>
          <w:r w:rsidR="003D0454">
            <w:fldChar w:fldCharType="begin"/>
          </w:r>
          <w:r w:rsidR="003D0454">
            <w:instrText xml:space="preserve"> CITATION BBC23 \l 2057 </w:instrText>
          </w:r>
          <w:r w:rsidR="003D0454">
            <w:fldChar w:fldCharType="separate"/>
          </w:r>
          <w:r w:rsidR="00FC1132" w:rsidRPr="00FC1132">
            <w:rPr>
              <w:noProof/>
            </w:rPr>
            <w:t>(BBC News, 2023)</w:t>
          </w:r>
          <w:r w:rsidR="003D0454">
            <w:fldChar w:fldCharType="end"/>
          </w:r>
        </w:sdtContent>
      </w:sdt>
      <w:r w:rsidR="003D0454">
        <w:t>.</w:t>
      </w:r>
    </w:p>
    <w:p w14:paraId="4BB5529E" w14:textId="005038B8" w:rsidR="003D0454" w:rsidRDefault="003F7799" w:rsidP="002E51E2">
      <w:r>
        <w:t>Certain elements of the electrified supply chain are already characterised by monopolistic supply, for example over 70% of the natural graphite supply is controlled by China.</w:t>
      </w:r>
      <w:r>
        <w:rPr>
          <w:rStyle w:val="FootnoteReference"/>
        </w:rPr>
        <w:footnoteReference w:id="3"/>
      </w:r>
    </w:p>
    <w:p w14:paraId="72EE9901" w14:textId="77777777" w:rsidR="003F7799" w:rsidRDefault="003F7799" w:rsidP="002E51E2">
      <w:r>
        <w:t>This market power can enable these Chinese firms to extract profits from European firms by charging above the equilibrium price. The well-established nature of these firms in Asia and the large amount of subsidisation they receive mean that new European firms attempting to find their footing cannot compete.</w:t>
      </w:r>
      <w:r w:rsidRPr="003F7799">
        <w:t xml:space="preserve"> </w:t>
      </w:r>
    </w:p>
    <w:p w14:paraId="18465646" w14:textId="7DF078F8" w:rsidR="003F7799" w:rsidRDefault="003F7799" w:rsidP="002E51E2">
      <w:r>
        <w:t>These results in EV supply chain projects typically having low margins</w:t>
      </w:r>
      <w:r>
        <w:rPr>
          <w:rStyle w:val="FootnoteReference"/>
        </w:rPr>
        <w:footnoteReference w:id="4"/>
      </w:r>
      <w:r>
        <w:t xml:space="preserve"> and therefore attract low levels of investable financial especial given the scale required. </w:t>
      </w:r>
    </w:p>
    <w:p w14:paraId="4F60EE59" w14:textId="2BD85DBE" w:rsidR="003D0454" w:rsidRDefault="003D0454" w:rsidP="003D0454">
      <w:pPr>
        <w:pStyle w:val="Heading4"/>
      </w:pPr>
      <w:r>
        <w:lastRenderedPageBreak/>
        <w:t>Information Failures</w:t>
      </w:r>
    </w:p>
    <w:p w14:paraId="430C3915" w14:textId="75035AE0" w:rsidR="003F7799" w:rsidRDefault="003D0454" w:rsidP="003D0454">
      <w:r>
        <w:t xml:space="preserve">Although EV have been produced for years, this has not been at the scale required to transfer the entire </w:t>
      </w:r>
      <w:r w:rsidR="003F7799">
        <w:t xml:space="preserve">new car </w:t>
      </w:r>
      <w:r>
        <w:t xml:space="preserve">market away from ICEV, a stated goal of the UK government </w:t>
      </w:r>
      <w:sdt>
        <w:sdtPr>
          <w:id w:val="1207295076"/>
          <w:citation/>
        </w:sdtPr>
        <w:sdtContent>
          <w:r>
            <w:fldChar w:fldCharType="begin"/>
          </w:r>
          <w:r>
            <w:instrText xml:space="preserve"> CITATION HMG20 \l 2057 </w:instrText>
          </w:r>
          <w:r>
            <w:fldChar w:fldCharType="separate"/>
          </w:r>
          <w:r w:rsidR="00FC1132" w:rsidRPr="00FC1132">
            <w:rPr>
              <w:noProof/>
            </w:rPr>
            <w:t>(HMG, 2020)</w:t>
          </w:r>
          <w:r>
            <w:fldChar w:fldCharType="end"/>
          </w:r>
        </w:sdtContent>
      </w:sdt>
      <w:r>
        <w:t xml:space="preserve"> and the EU</w:t>
      </w:r>
      <w:r w:rsidR="003F7799">
        <w:t xml:space="preserve"> </w:t>
      </w:r>
      <w:sdt>
        <w:sdtPr>
          <w:id w:val="1576925667"/>
          <w:citation/>
        </w:sdtPr>
        <w:sdtContent>
          <w:r w:rsidR="003F7799">
            <w:fldChar w:fldCharType="begin"/>
          </w:r>
          <w:r w:rsidR="003F7799">
            <w:instrText xml:space="preserve"> CITATION Car23 \l 2057 </w:instrText>
          </w:r>
          <w:r w:rsidR="003F7799">
            <w:fldChar w:fldCharType="separate"/>
          </w:r>
          <w:r w:rsidR="00FC1132" w:rsidRPr="00FC1132">
            <w:rPr>
              <w:noProof/>
            </w:rPr>
            <w:t>(Reid, 2023)</w:t>
          </w:r>
          <w:r w:rsidR="003F7799">
            <w:fldChar w:fldCharType="end"/>
          </w:r>
        </w:sdtContent>
      </w:sdt>
      <w:r w:rsidR="003F7799">
        <w:t xml:space="preserve"> by 2030 and 2035 respectively. There are multiple competing chemistries that an EV cell can have resulting in uncertainty in investment. </w:t>
      </w:r>
    </w:p>
    <w:p w14:paraId="5AAE2DC7" w14:textId="153C4CD3" w:rsidR="003D0454" w:rsidRDefault="003F7799" w:rsidP="003D0454">
      <w:r>
        <w:t xml:space="preserve">The performance and quality of an EV is driven by this chemistry and the quality of the production process. The knowledge to understand EV cells is complex and therefore the consumers of the good (EV cells) will not be able to have accurate information and the market has failed </w:t>
      </w:r>
      <w:sdt>
        <w:sdtPr>
          <w:id w:val="-357511064"/>
          <w:citation/>
        </w:sdtPr>
        <w:sdtContent>
          <w:r>
            <w:fldChar w:fldCharType="begin"/>
          </w:r>
          <w:r w:rsidR="00C00979">
            <w:instrText xml:space="preserve">CITATION Rob09 \l 2057 </w:instrText>
          </w:r>
          <w:r>
            <w:fldChar w:fldCharType="separate"/>
          </w:r>
          <w:r w:rsidR="00C00979" w:rsidRPr="00C00979">
            <w:rPr>
              <w:noProof/>
            </w:rPr>
            <w:t>(Pindyck &amp; Rubinfeld, 2009)</w:t>
          </w:r>
          <w:r>
            <w:fldChar w:fldCharType="end"/>
          </w:r>
        </w:sdtContent>
      </w:sdt>
      <w:r>
        <w:t>. This can also be true for car manufactures who use the EV cells as intermediate goods in their production process.</w:t>
      </w:r>
    </w:p>
    <w:p w14:paraId="26468308" w14:textId="7A1DA40B" w:rsidR="003F7799" w:rsidRDefault="003F7799" w:rsidP="003D0454">
      <w:r>
        <w:t>Character of the technology (lock-in) – Vehicle technology is very capital intensive, and so exhibits slow replacement rates. This means that the industry will often keep with existing technologies and be (too) cautious and delay investment until proven alternatives have happened elsewhere before investing significantly into new technologies.</w:t>
      </w:r>
    </w:p>
    <w:p w14:paraId="129AF1FA" w14:textId="27678C54" w:rsidR="003F7799" w:rsidRDefault="003F7799" w:rsidP="003D0454">
      <w:r>
        <w:t xml:space="preserve">The lock-in nature of the technology means that the following scenario is possible. A cell or car manufacturer has invested in one specific chemistry type which may not develop as productively as other could result in large loss as they are required to retool and invest in the more productive chemistry type. </w:t>
      </w:r>
    </w:p>
    <w:p w14:paraId="5F2AA3D8" w14:textId="5B05F3C2" w:rsidR="003F7799" w:rsidRDefault="00712120" w:rsidP="00712120">
      <w:pPr>
        <w:pStyle w:val="Heading3"/>
      </w:pPr>
      <w:r>
        <w:t xml:space="preserve">Policy Area – </w:t>
      </w:r>
      <w:r w:rsidR="003F7799">
        <w:t>Intervention</w:t>
      </w:r>
    </w:p>
    <w:p w14:paraId="79E71335" w14:textId="01A9DC1D" w:rsidR="003F7799" w:rsidRPr="003F7799" w:rsidRDefault="003F7799" w:rsidP="003F7799">
      <w:r>
        <w:t xml:space="preserve">The above is a summary </w:t>
      </w:r>
      <w:r w:rsidR="00984A2A">
        <w:t xml:space="preserve">of the market failures which were used to justify the Automotive Transformation Fund (ATF), </w:t>
      </w:r>
      <w:sdt>
        <w:sdtPr>
          <w:id w:val="-618520988"/>
          <w:citation/>
        </w:sdtPr>
        <w:sdtContent>
          <w:r w:rsidR="00984A2A">
            <w:fldChar w:fldCharType="begin"/>
          </w:r>
          <w:r w:rsidR="00984A2A">
            <w:instrText xml:space="preserve"> CITATION Sar23 \l 2057 </w:instrText>
          </w:r>
          <w:r w:rsidR="00984A2A">
            <w:fldChar w:fldCharType="separate"/>
          </w:r>
          <w:r w:rsidR="00FC1132" w:rsidRPr="00FC1132">
            <w:rPr>
              <w:noProof/>
            </w:rPr>
            <w:t>(Munby, 2023)</w:t>
          </w:r>
          <w:r w:rsidR="00984A2A">
            <w:fldChar w:fldCharType="end"/>
          </w:r>
        </w:sdtContent>
      </w:sdt>
      <w:r w:rsidR="00984A2A">
        <w:t xml:space="preserve">, as a capital grant fund offer a share of the total valued up to £1 billion, </w:t>
      </w:r>
      <w:sdt>
        <w:sdtPr>
          <w:id w:val="1643848802"/>
          <w:citation/>
        </w:sdtPr>
        <w:sdtContent>
          <w:r w:rsidR="00984A2A">
            <w:fldChar w:fldCharType="begin"/>
          </w:r>
          <w:r w:rsidR="00984A2A">
            <w:instrText xml:space="preserve"> CITATION HMG22 \l 2057 </w:instrText>
          </w:r>
          <w:r w:rsidR="00984A2A">
            <w:fldChar w:fldCharType="separate"/>
          </w:r>
          <w:r w:rsidR="00FC1132" w:rsidRPr="00FC1132">
            <w:rPr>
              <w:noProof/>
            </w:rPr>
            <w:t>(HMG, 2022)</w:t>
          </w:r>
          <w:r w:rsidR="00984A2A">
            <w:fldChar w:fldCharType="end"/>
          </w:r>
        </w:sdtContent>
      </w:sdt>
      <w:r w:rsidR="00984A2A">
        <w:t xml:space="preserve"> to intervene in the EV supply chain. </w:t>
      </w:r>
      <w:r w:rsidR="00053501">
        <w:t>The total intervention into the sector is called the programme and individual cases are the projects.</w:t>
      </w:r>
    </w:p>
    <w:p w14:paraId="65FC0B74" w14:textId="0D5DB663" w:rsidR="00872BCE" w:rsidRPr="00712120" w:rsidRDefault="00000000" w:rsidP="00712120">
      <w:pPr>
        <w:pStyle w:val="Heading4"/>
      </w:pPr>
      <w:bookmarkStart w:id="1" w:name="_Ref142665890"/>
      <w:r w:rsidRPr="00712120">
        <w:t>Impact/Benefit justification</w:t>
      </w:r>
      <w:bookmarkEnd w:id="1"/>
    </w:p>
    <w:p w14:paraId="2CE9017C" w14:textId="0BFF961F" w:rsidR="00131B5A" w:rsidRDefault="00000000">
      <w:r>
        <w:t xml:space="preserve">For any grant provided by HMG an ex-ante assessment is completed including an economy </w:t>
      </w:r>
      <w:r w:rsidR="00003277">
        <w:t>appraisal</w:t>
      </w:r>
      <w:r>
        <w:t xml:space="preserve">. This is done </w:t>
      </w:r>
      <w:r w:rsidR="007E22B4">
        <w:t>in line</w:t>
      </w:r>
      <w:r>
        <w:t xml:space="preserve"> with ‘Green Book’ (GrB) principles. The most common approach is a C</w:t>
      </w:r>
      <w:r w:rsidR="00131B5A">
        <w:t xml:space="preserve">ost </w:t>
      </w:r>
      <w:r>
        <w:t>B</w:t>
      </w:r>
      <w:r w:rsidR="00131B5A">
        <w:t xml:space="preserve">enefit </w:t>
      </w:r>
      <w:r>
        <w:t>A</w:t>
      </w:r>
      <w:r w:rsidR="00131B5A">
        <w:t>nalysis (CBA)</w:t>
      </w:r>
      <w:r>
        <w:t xml:space="preserve"> appraisal using the B</w:t>
      </w:r>
      <w:r w:rsidR="00131B5A">
        <w:t xml:space="preserve">enefit </w:t>
      </w:r>
      <w:r>
        <w:t>C</w:t>
      </w:r>
      <w:r w:rsidR="00131B5A">
        <w:t xml:space="preserve">ost </w:t>
      </w:r>
      <w:r>
        <w:t>R</w:t>
      </w:r>
      <w:r w:rsidR="00131B5A">
        <w:t>atio (BCR)</w:t>
      </w:r>
      <w:r>
        <w:t xml:space="preserve"> as a metric.</w:t>
      </w:r>
      <w:r w:rsidR="00131B5A">
        <w:t xml:space="preserve"> </w:t>
      </w:r>
      <w:r w:rsidR="00003277">
        <w:t>The</w:t>
      </w:r>
      <w:r>
        <w:t xml:space="preserve"> GrB considers the social welfare benefit of bring advanced manufacturing to the UK as the move to more productive jobs.</w:t>
      </w:r>
      <w:r w:rsidR="00131B5A">
        <w:t xml:space="preserve"> It does not specifical model what the opportunity cost of the economic activity foregone</w:t>
      </w:r>
      <w:r w:rsidR="00053501">
        <w:t>, therefore is a partial equilibrium modelling not general equilibrium.</w:t>
      </w:r>
      <w:r>
        <w:t xml:space="preserve"> </w:t>
      </w:r>
    </w:p>
    <w:p w14:paraId="11504792" w14:textId="0273BB67" w:rsidR="00872BCE" w:rsidRDefault="00000000">
      <w:r>
        <w:t xml:space="preserve">This </w:t>
      </w:r>
      <w:r w:rsidR="00131B5A">
        <w:t xml:space="preserve">approach </w:t>
      </w:r>
      <w:r>
        <w:t>assumes that the economy is work at or near full employment and therefore only the wage above the next best alternative wage is a benefit. This is assessed against a local alternative.</w:t>
      </w:r>
    </w:p>
    <w:p w14:paraId="4FD66B21" w14:textId="28723CD7" w:rsidR="00872BCE" w:rsidRDefault="00000000">
      <w:r>
        <w:t xml:space="preserve">Advance manufacturing like automotive have higher average wages than alternative employment. </w:t>
      </w:r>
      <w:proofErr w:type="gramStart"/>
      <w:r>
        <w:t>The majority of</w:t>
      </w:r>
      <w:proofErr w:type="gramEnd"/>
      <w:r>
        <w:t xml:space="preserve"> advanced manufacturing occurs outside of London and the Southeast</w:t>
      </w:r>
      <w:r w:rsidR="007E22B4">
        <w:t xml:space="preserve"> aligning interventionist policies with the levelling up agenda. </w:t>
      </w:r>
    </w:p>
    <w:p w14:paraId="1A80CE74" w14:textId="0227546C" w:rsidR="00984A2A" w:rsidRDefault="00E106E8">
      <w:r>
        <w:rPr>
          <w:noProof/>
        </w:rPr>
        <w:lastRenderedPageBreak/>
        <w:drawing>
          <wp:inline distT="0" distB="0" distL="0" distR="0" wp14:anchorId="1D086646" wp14:editId="60F364A5">
            <wp:extent cx="5895975" cy="2319871"/>
            <wp:effectExtent l="0" t="0" r="0" b="4445"/>
            <wp:docPr id="358962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6780" cy="2324122"/>
                    </a:xfrm>
                    <a:prstGeom prst="rect">
                      <a:avLst/>
                    </a:prstGeom>
                    <a:noFill/>
                  </pic:spPr>
                </pic:pic>
              </a:graphicData>
            </a:graphic>
          </wp:inline>
        </w:drawing>
      </w:r>
    </w:p>
    <w:p w14:paraId="7B426AC7" w14:textId="7E3A1937" w:rsidR="00E106E8" w:rsidRDefault="00E106E8" w:rsidP="00E106E8">
      <w:pPr>
        <w:pStyle w:val="Caption"/>
      </w:pPr>
      <w:bookmarkStart w:id="2" w:name="_Ref142655917"/>
      <w:r>
        <w:t xml:space="preserve">Figure </w:t>
      </w:r>
      <w:r>
        <w:fldChar w:fldCharType="begin"/>
      </w:r>
      <w:r>
        <w:instrText xml:space="preserve"> SEQ Figure \* ARABIC </w:instrText>
      </w:r>
      <w:r>
        <w:fldChar w:fldCharType="separate"/>
      </w:r>
      <w:r w:rsidR="006F4FFE">
        <w:rPr>
          <w:noProof/>
        </w:rPr>
        <w:t>2</w:t>
      </w:r>
      <w:r>
        <w:rPr>
          <w:noProof/>
        </w:rPr>
        <w:fldChar w:fldCharType="end"/>
      </w:r>
      <w:bookmarkEnd w:id="2"/>
      <w:r>
        <w:t xml:space="preserve"> Automotive Employment Maps – ONS data</w:t>
      </w:r>
    </w:p>
    <w:p w14:paraId="0664D2B2" w14:textId="2078BBCD" w:rsidR="00984A2A" w:rsidRDefault="00E106E8">
      <w:r>
        <w:t xml:space="preserve">The maps in </w:t>
      </w:r>
      <w:r>
        <w:fldChar w:fldCharType="begin"/>
      </w:r>
      <w:r>
        <w:instrText xml:space="preserve"> REF _Ref142655917 \h </w:instrText>
      </w:r>
      <w:r>
        <w:fldChar w:fldCharType="separate"/>
      </w:r>
      <w:r w:rsidR="00FC1132">
        <w:t xml:space="preserve">Figure </w:t>
      </w:r>
      <w:r w:rsidR="00FC1132">
        <w:rPr>
          <w:noProof/>
        </w:rPr>
        <w:t>2</w:t>
      </w:r>
      <w:r>
        <w:fldChar w:fldCharType="end"/>
      </w:r>
      <w:r>
        <w:t xml:space="preserve"> show the location of automotive employment, the counterfactual </w:t>
      </w:r>
      <w:r w:rsidR="00131B5A">
        <w:t>salary,</w:t>
      </w:r>
      <w:r>
        <w:t xml:space="preserve"> and the areas of the country in which automotive employment represents a move to a more productive employment.</w:t>
      </w:r>
    </w:p>
    <w:p w14:paraId="6FD8A894" w14:textId="6DD91235" w:rsidR="00872BCE" w:rsidRDefault="00000000">
      <w:r>
        <w:t>These current assessments are at the project level of individual cases (funding certain OEMs, or key suppliers)</w:t>
      </w:r>
      <w:r w:rsidR="00131B5A">
        <w:t>, but it has been used to approach the programme level intervention</w:t>
      </w:r>
      <w:r>
        <w:t xml:space="preserve">. This work will review the macro level of supporting the sector. </w:t>
      </w:r>
      <w:r w:rsidRPr="00053501">
        <w:rPr>
          <w:b/>
          <w:bCs/>
        </w:rPr>
        <w:t xml:space="preserve">This is a live policy debate within HMG and contains commercial sensitive information. Therefore, where appropriate information has been redacted for a wider audience. </w:t>
      </w:r>
    </w:p>
    <w:p w14:paraId="7A81F413" w14:textId="749BC4F6" w:rsidR="00872BCE" w:rsidRDefault="008055FA" w:rsidP="008055FA">
      <w:pPr>
        <w:pStyle w:val="Heading2"/>
      </w:pPr>
      <w:r>
        <w:t xml:space="preserve">Methodology </w:t>
      </w:r>
    </w:p>
    <w:p w14:paraId="47D9A99D" w14:textId="07D795E3" w:rsidR="00801E37" w:rsidRDefault="00000000">
      <w:r>
        <w:t>T</w:t>
      </w:r>
      <w:r w:rsidR="00131B5A">
        <w:t>h</w:t>
      </w:r>
      <w:r w:rsidR="00EC5054">
        <w:t>e</w:t>
      </w:r>
      <w:r w:rsidR="00131B5A">
        <w:t xml:space="preserve"> approach </w:t>
      </w:r>
      <w:r w:rsidR="00EC5054">
        <w:t xml:space="preserve">being reviewed </w:t>
      </w:r>
      <w:r w:rsidR="00131B5A">
        <w:t>is</w:t>
      </w:r>
      <w:r>
        <w:t xml:space="preserve"> a </w:t>
      </w:r>
      <w:r w:rsidR="00D86DF1">
        <w:t xml:space="preserve">Computable </w:t>
      </w:r>
      <w:r>
        <w:t>G</w:t>
      </w:r>
      <w:r w:rsidR="00131B5A">
        <w:t xml:space="preserve">eneral </w:t>
      </w:r>
      <w:r w:rsidR="008055FA">
        <w:t>E</w:t>
      </w:r>
      <w:r w:rsidR="00131B5A">
        <w:t xml:space="preserve">quilibrium </w:t>
      </w:r>
      <w:r w:rsidR="008055FA">
        <w:t>M</w:t>
      </w:r>
      <w:r w:rsidR="00131B5A">
        <w:t>odel (</w:t>
      </w:r>
      <w:r w:rsidR="00D86DF1">
        <w:t>C</w:t>
      </w:r>
      <w:r w:rsidR="00131B5A">
        <w:t>GEM)</w:t>
      </w:r>
      <w:r w:rsidR="00D86DF1">
        <w:t>, which is a</w:t>
      </w:r>
      <w:r w:rsidR="00801E37">
        <w:t xml:space="preserve"> method of</w:t>
      </w:r>
      <w:r w:rsidR="00D86DF1">
        <w:t xml:space="preserve"> constructing a</w:t>
      </w:r>
      <w:r w:rsidR="00801E37">
        <w:t xml:space="preserve"> </w:t>
      </w:r>
      <w:proofErr w:type="spellStart"/>
      <w:r w:rsidR="00801E37">
        <w:t>Walrasian</w:t>
      </w:r>
      <w:proofErr w:type="spellEnd"/>
      <w:r w:rsidR="00801E37">
        <w:t xml:space="preserve"> general equilibrium in which supply and demand are equalized across all the interconnected markets in the economy, </w:t>
      </w:r>
      <w:sdt>
        <w:sdtPr>
          <w:id w:val="855312050"/>
          <w:citation/>
        </w:sdtPr>
        <w:sdtContent>
          <w:r w:rsidR="00801E37">
            <w:fldChar w:fldCharType="begin"/>
          </w:r>
          <w:r w:rsidR="00801E37">
            <w:instrText xml:space="preserve"> CITATION Ian04 \l 2057 </w:instrText>
          </w:r>
          <w:r w:rsidR="00801E37">
            <w:fldChar w:fldCharType="separate"/>
          </w:r>
          <w:r w:rsidR="00FC1132" w:rsidRPr="00FC1132">
            <w:rPr>
              <w:noProof/>
            </w:rPr>
            <w:t>(Wing, 2004)</w:t>
          </w:r>
          <w:r w:rsidR="00801E37">
            <w:fldChar w:fldCharType="end"/>
          </w:r>
        </w:sdtContent>
      </w:sdt>
      <w:r w:rsidR="00801E37">
        <w:t>.</w:t>
      </w:r>
    </w:p>
    <w:p w14:paraId="4BC97A82" w14:textId="48DA5C9F" w:rsidR="001C02B5" w:rsidRDefault="00D86DF1">
      <w:r>
        <w:t xml:space="preserve">There is international precedent for the use of CGEM in policy formation, notably Norway and Australia, </w:t>
      </w:r>
      <w:sdt>
        <w:sdtPr>
          <w:id w:val="-250354153"/>
          <w:citation/>
        </w:sdtPr>
        <w:sdtContent>
          <w:r>
            <w:fldChar w:fldCharType="begin"/>
          </w:r>
          <w:r w:rsidR="00C00979">
            <w:instrText xml:space="preserve">CITATION Pet13 \l 2057 </w:instrText>
          </w:r>
          <w:r>
            <w:fldChar w:fldCharType="separate"/>
          </w:r>
          <w:r w:rsidR="00C00979" w:rsidRPr="00C00979">
            <w:rPr>
              <w:noProof/>
            </w:rPr>
            <w:t>(Dixon &amp; Jorgenson, 2013)</w:t>
          </w:r>
          <w:r>
            <w:fldChar w:fldCharType="end"/>
          </w:r>
        </w:sdtContent>
      </w:sdt>
      <w:r>
        <w:t xml:space="preserve">. They have been using single-country models since the 1960’s and 1975 respectively. </w:t>
      </w:r>
      <w:r w:rsidR="00801E37">
        <w:t xml:space="preserve">Since the 1990’s other governments and NGOs have built and maintained CGEM to help policy assessment, including US International Trade Commission, the Organisation for Economic Cooperation and Development, and the World Bank, </w:t>
      </w:r>
      <w:sdt>
        <w:sdtPr>
          <w:id w:val="664595695"/>
          <w:citation/>
        </w:sdtPr>
        <w:sdtContent>
          <w:r w:rsidR="00801E37">
            <w:fldChar w:fldCharType="begin"/>
          </w:r>
          <w:r w:rsidR="00C00979">
            <w:instrText xml:space="preserve">CITATION Bur11 \l 2057 </w:instrText>
          </w:r>
          <w:r w:rsidR="00801E37">
            <w:fldChar w:fldCharType="separate"/>
          </w:r>
          <w:r w:rsidR="00C00979" w:rsidRPr="00C00979">
            <w:rPr>
              <w:noProof/>
            </w:rPr>
            <w:t>(Burfisher, 2011)</w:t>
          </w:r>
          <w:r w:rsidR="00801E37">
            <w:fldChar w:fldCharType="end"/>
          </w:r>
        </w:sdtContent>
      </w:sdt>
      <w:r w:rsidR="001C02B5">
        <w:t>.</w:t>
      </w:r>
    </w:p>
    <w:p w14:paraId="24656014" w14:textId="539C9AB4" w:rsidR="00712120" w:rsidRDefault="00712120" w:rsidP="00712120">
      <w:pPr>
        <w:pStyle w:val="Heading3"/>
      </w:pPr>
      <w:r>
        <w:t>Project Aims</w:t>
      </w:r>
    </w:p>
    <w:p w14:paraId="0CF247CC" w14:textId="7D291444" w:rsidR="00712120" w:rsidRPr="00712120" w:rsidRDefault="00712120" w:rsidP="00712120">
      <w:r>
        <w:t>To investigate the possibility and usefulness of developing a CGEM to analysis programme level intervention into advance manufacturing sector</w:t>
      </w:r>
      <w:r w:rsidR="00DE5F67">
        <w:t>. The worked example will be</w:t>
      </w:r>
      <w:r>
        <w:t xml:space="preserve"> the automotive sector and its transition from ICEV to EV production.</w:t>
      </w:r>
      <w:r w:rsidR="00DE5F67">
        <w:t xml:space="preserve"> </w:t>
      </w:r>
      <w:r>
        <w:t xml:space="preserve"> </w:t>
      </w:r>
    </w:p>
    <w:p w14:paraId="7C3C522F" w14:textId="0B75A0E9" w:rsidR="008055FA" w:rsidRDefault="008055FA" w:rsidP="008055FA">
      <w:pPr>
        <w:pStyle w:val="Heading3"/>
      </w:pPr>
      <w:r>
        <w:t xml:space="preserve">Output </w:t>
      </w:r>
      <w:r w:rsidR="00712120">
        <w:t>Objectives</w:t>
      </w:r>
    </w:p>
    <w:p w14:paraId="01D4DEA9" w14:textId="45B91D53" w:rsidR="008055FA" w:rsidRDefault="008055FA" w:rsidP="008055FA">
      <w:r>
        <w:t xml:space="preserve">The output aims for </w:t>
      </w:r>
      <w:r w:rsidR="00B836FC">
        <w:t>a complete model would be</w:t>
      </w:r>
      <w:r>
        <w:t>:</w:t>
      </w:r>
    </w:p>
    <w:p w14:paraId="6AB4E386" w14:textId="711E813F" w:rsidR="00DE5F67" w:rsidRDefault="00DE5F67" w:rsidP="008055FA">
      <w:pPr>
        <w:pStyle w:val="BulletPoint"/>
      </w:pPr>
      <w:r>
        <w:t xml:space="preserve">Investigate the structures presented in </w:t>
      </w:r>
      <w:sdt>
        <w:sdtPr>
          <w:id w:val="659656036"/>
          <w:citation/>
        </w:sdtPr>
        <w:sdtContent>
          <w:r>
            <w:fldChar w:fldCharType="begin"/>
          </w:r>
          <w:r>
            <w:instrText xml:space="preserve"> CITATION Ian04 \l 2057 </w:instrText>
          </w:r>
          <w:r>
            <w:fldChar w:fldCharType="separate"/>
          </w:r>
          <w:r w:rsidRPr="00DE5F67">
            <w:rPr>
              <w:noProof/>
            </w:rPr>
            <w:t>(Wing, 2004)</w:t>
          </w:r>
          <w:r>
            <w:fldChar w:fldCharType="end"/>
          </w:r>
        </w:sdtContent>
      </w:sdt>
      <w:r>
        <w:t>.</w:t>
      </w:r>
    </w:p>
    <w:p w14:paraId="07FF88B9" w14:textId="2BFB81F2" w:rsidR="008055FA" w:rsidRDefault="008055FA" w:rsidP="008055FA">
      <w:pPr>
        <w:pStyle w:val="BulletPoint"/>
      </w:pPr>
      <w:r>
        <w:t>The distribution of employment between different sectors</w:t>
      </w:r>
    </w:p>
    <w:p w14:paraId="44AAAA36" w14:textId="64532627" w:rsidR="008055FA" w:rsidRDefault="008055FA" w:rsidP="008055FA">
      <w:pPr>
        <w:pStyle w:val="BulletPoint"/>
        <w:numPr>
          <w:ilvl w:val="1"/>
          <w:numId w:val="2"/>
        </w:numPr>
      </w:pPr>
      <w:r>
        <w:t>With and without policy intervention</w:t>
      </w:r>
    </w:p>
    <w:p w14:paraId="3BAB869A" w14:textId="36D83AE1" w:rsidR="008055FA" w:rsidRDefault="008055FA" w:rsidP="008055FA">
      <w:pPr>
        <w:pStyle w:val="BulletPoint"/>
      </w:pPr>
      <w:r>
        <w:t>The comparative salary distribution</w:t>
      </w:r>
    </w:p>
    <w:p w14:paraId="464242E0" w14:textId="53465AF8" w:rsidR="006E41EE" w:rsidRDefault="006E41EE" w:rsidP="008055FA">
      <w:pPr>
        <w:pStyle w:val="BulletPoint"/>
      </w:pPr>
      <w:r>
        <w:t xml:space="preserve">Understand the distribution of wages across </w:t>
      </w:r>
      <w:r w:rsidR="00B836FC">
        <w:t>areas.</w:t>
      </w:r>
    </w:p>
    <w:p w14:paraId="37738093" w14:textId="18E88F31" w:rsidR="00380307" w:rsidRDefault="00380307" w:rsidP="008055FA">
      <w:pPr>
        <w:pStyle w:val="BulletPoint"/>
      </w:pPr>
      <w:r>
        <w:t>Produce a framework to analysis regional equality impacts.</w:t>
      </w:r>
    </w:p>
    <w:p w14:paraId="3DA519E9" w14:textId="713260C3" w:rsidR="00D86DF1" w:rsidRDefault="00D86DF1" w:rsidP="00B836FC">
      <w:r w:rsidRPr="00D86DF1">
        <w:rPr>
          <w:rStyle w:val="Heading3Char"/>
        </w:rPr>
        <w:lastRenderedPageBreak/>
        <w:t>Motivation</w:t>
      </w:r>
      <w:r w:rsidR="00712120">
        <w:rPr>
          <w:rStyle w:val="Heading3Char"/>
        </w:rPr>
        <w:t xml:space="preserve"> - Objectives</w:t>
      </w:r>
    </w:p>
    <w:p w14:paraId="1CD454AE" w14:textId="42BDA83C" w:rsidR="00B836FC" w:rsidRDefault="00D86DF1" w:rsidP="00B836FC">
      <w:r>
        <w:t>The r</w:t>
      </w:r>
      <w:r w:rsidR="00380307">
        <w:t>easons</w:t>
      </w:r>
      <w:r w:rsidR="00B836FC">
        <w:t xml:space="preserve"> for these aims are:</w:t>
      </w:r>
    </w:p>
    <w:p w14:paraId="51EDB3E5" w14:textId="5302D2CC" w:rsidR="00B836FC" w:rsidRDefault="00B836FC" w:rsidP="00B836FC">
      <w:pPr>
        <w:pStyle w:val="ListParagraph"/>
        <w:numPr>
          <w:ilvl w:val="0"/>
          <w:numId w:val="8"/>
        </w:numPr>
      </w:pPr>
      <w:r>
        <w:t>To enable the model to produce a counterfactual to compare to the intervention state to calculate the impact of the policy.</w:t>
      </w:r>
    </w:p>
    <w:p w14:paraId="093BA9C4" w14:textId="2CA5C7FD" w:rsidR="00B836FC" w:rsidRDefault="00B836FC" w:rsidP="00B836FC">
      <w:pPr>
        <w:pStyle w:val="ListParagraph"/>
        <w:numPr>
          <w:ilvl w:val="0"/>
          <w:numId w:val="8"/>
        </w:numPr>
      </w:pPr>
      <w:r>
        <w:t xml:space="preserve">To </w:t>
      </w:r>
      <w:r w:rsidR="00380307">
        <w:t xml:space="preserve">enable comparison of </w:t>
      </w:r>
      <w:r>
        <w:t>model</w:t>
      </w:r>
      <w:r w:rsidR="00380307">
        <w:t>ling results on the same</w:t>
      </w:r>
      <w:r>
        <w:t xml:space="preserve"> primary economy benefit </w:t>
      </w:r>
      <w:r w:rsidR="00380307">
        <w:t>(wage premium).</w:t>
      </w:r>
    </w:p>
    <w:p w14:paraId="1E99E993" w14:textId="2593225E" w:rsidR="00B836FC" w:rsidRDefault="00B836FC" w:rsidP="00B836FC">
      <w:pPr>
        <w:pStyle w:val="ListParagraph"/>
        <w:numPr>
          <w:ilvl w:val="0"/>
          <w:numId w:val="8"/>
        </w:numPr>
      </w:pPr>
      <w:r>
        <w:t>To assess policy impacts against wider strategy of Levelling Up.</w:t>
      </w:r>
    </w:p>
    <w:p w14:paraId="5E90FFEB" w14:textId="23AB92D1" w:rsidR="00380307" w:rsidRDefault="00D86DF1" w:rsidP="00380307">
      <w:r>
        <w:t>The benefit of taking an CGEM approach</w:t>
      </w:r>
      <w:r w:rsidR="00003277">
        <w:t xml:space="preserve"> would be to investigate the opportunity cost of the economic activity foregone. It would consider how the government intervention will impact the different sectors of the economy. </w:t>
      </w:r>
    </w:p>
    <w:p w14:paraId="30686E25" w14:textId="0AFF287B" w:rsidR="008055FA" w:rsidRDefault="00B836FC" w:rsidP="008055FA">
      <w:pPr>
        <w:pStyle w:val="Heading3"/>
      </w:pPr>
      <w:r>
        <w:t>Economy structure - c</w:t>
      </w:r>
      <w:r w:rsidR="008055FA">
        <w:t>losed circular economy</w:t>
      </w:r>
    </w:p>
    <w:p w14:paraId="0FFFC768" w14:textId="23D612EF" w:rsidR="008055FA" w:rsidRDefault="00E930CD">
      <w:r w:rsidRPr="00E930CD">
        <w:rPr>
          <w:noProof/>
        </w:rPr>
        <w:drawing>
          <wp:inline distT="0" distB="0" distL="0" distR="0" wp14:anchorId="66A114BE" wp14:editId="1D74572E">
            <wp:extent cx="5553075" cy="2587118"/>
            <wp:effectExtent l="0" t="0" r="0" b="3810"/>
            <wp:docPr id="3" name="Picture 2" descr="A diagram of a company&#10;&#10;Description automatically generated">
              <a:extLst xmlns:a="http://schemas.openxmlformats.org/drawingml/2006/main">
                <a:ext uri="{FF2B5EF4-FFF2-40B4-BE49-F238E27FC236}">
                  <a16:creationId xmlns:a16="http://schemas.microsoft.com/office/drawing/2014/main" id="{7AD66209-E15A-C900-4915-5649BB5BD1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company&#10;&#10;Description automatically generated">
                      <a:extLst>
                        <a:ext uri="{FF2B5EF4-FFF2-40B4-BE49-F238E27FC236}">
                          <a16:creationId xmlns:a16="http://schemas.microsoft.com/office/drawing/2014/main" id="{7AD66209-E15A-C900-4915-5649BB5BD14B}"/>
                        </a:ext>
                      </a:extLst>
                    </pic:cNvPr>
                    <pic:cNvPicPr>
                      <a:picLocks noChangeAspect="1"/>
                    </pic:cNvPicPr>
                  </pic:nvPicPr>
                  <pic:blipFill>
                    <a:blip r:embed="rId11"/>
                    <a:stretch>
                      <a:fillRect/>
                    </a:stretch>
                  </pic:blipFill>
                  <pic:spPr>
                    <a:xfrm>
                      <a:off x="0" y="0"/>
                      <a:ext cx="5563215" cy="2591842"/>
                    </a:xfrm>
                    <a:prstGeom prst="rect">
                      <a:avLst/>
                    </a:prstGeom>
                  </pic:spPr>
                </pic:pic>
              </a:graphicData>
            </a:graphic>
          </wp:inline>
        </w:drawing>
      </w:r>
    </w:p>
    <w:p w14:paraId="2D4B3F82" w14:textId="7158F3DE" w:rsidR="008055FA" w:rsidRDefault="008055FA" w:rsidP="008055FA">
      <w:pPr>
        <w:pStyle w:val="Caption"/>
      </w:pPr>
      <w:r>
        <w:t xml:space="preserve">Figure </w:t>
      </w:r>
      <w:r>
        <w:fldChar w:fldCharType="begin"/>
      </w:r>
      <w:r>
        <w:instrText xml:space="preserve"> SEQ Figure \* ARABIC </w:instrText>
      </w:r>
      <w:r>
        <w:fldChar w:fldCharType="separate"/>
      </w:r>
      <w:r w:rsidR="006F4FFE">
        <w:rPr>
          <w:noProof/>
        </w:rPr>
        <w:t>3</w:t>
      </w:r>
      <w:r>
        <w:rPr>
          <w:noProof/>
        </w:rPr>
        <w:fldChar w:fldCharType="end"/>
      </w:r>
      <w:r>
        <w:t xml:space="preserve"> Close circular economy model</w:t>
      </w:r>
    </w:p>
    <w:p w14:paraId="5EC5DF95" w14:textId="33657D7C" w:rsidR="008055FA" w:rsidRDefault="00801E37" w:rsidP="008055FA">
      <w:r>
        <w:t xml:space="preserve">The underpinning idea in CGEM is circular flow of commodities in a closed economy. </w:t>
      </w:r>
      <w:r w:rsidR="008055FA">
        <w:t>The above model diagram is an autarky version of the model present in the HMRC G</w:t>
      </w:r>
      <w:r w:rsidR="00B836FC">
        <w:t>EM paper</w:t>
      </w:r>
      <w:r w:rsidR="008055FA">
        <w:t xml:space="preserve"> [</w:t>
      </w:r>
      <w:r w:rsidR="008055FA">
        <w:rPr>
          <w:b/>
          <w:bCs/>
        </w:rPr>
        <w:t>reference</w:t>
      </w:r>
      <w:r w:rsidR="008055FA">
        <w:t xml:space="preserve">]. </w:t>
      </w:r>
    </w:p>
    <w:p w14:paraId="427DCFE3" w14:textId="578BCCB8" w:rsidR="00A04519" w:rsidRDefault="00801E37" w:rsidP="008055FA">
      <w:r>
        <w:t>C</w:t>
      </w:r>
      <w:r w:rsidR="008055FA">
        <w:t>GEM can be dynamic and track the evolution of the economy over time in response to a policy change. In the baseline, it is assumed the economy follows a steady-state growth path where all economic activities grow at a constant rate (HM Revenue &amp; Customs, 2013).</w:t>
      </w:r>
    </w:p>
    <w:p w14:paraId="5F2B1CD1" w14:textId="147AFBDC" w:rsidR="007423C3" w:rsidRDefault="00707759" w:rsidP="00712120">
      <w:pPr>
        <w:pStyle w:val="Heading3"/>
      </w:pPr>
      <w:r>
        <w:t xml:space="preserve">Desired </w:t>
      </w:r>
      <w:r w:rsidR="007423C3">
        <w:t>Modelling Assumptions</w:t>
      </w:r>
    </w:p>
    <w:p w14:paraId="26D3D1EF" w14:textId="6797BDF7" w:rsidR="008055FA" w:rsidRDefault="008055FA" w:rsidP="00712120">
      <w:pPr>
        <w:pStyle w:val="Heading4"/>
      </w:pPr>
      <w:r>
        <w:t>Firms</w:t>
      </w:r>
      <w:r w:rsidR="007423C3">
        <w:t xml:space="preserve"> Assumptions</w:t>
      </w:r>
      <w:r>
        <w:t xml:space="preserve"> </w:t>
      </w:r>
    </w:p>
    <w:p w14:paraId="745F0E6F" w14:textId="39674400" w:rsidR="007423C3" w:rsidRDefault="008055FA" w:rsidP="008055FA">
      <w:r>
        <w:t>Firms are assumed</w:t>
      </w:r>
      <w:r w:rsidR="007423C3">
        <w:t>:</w:t>
      </w:r>
    </w:p>
    <w:p w14:paraId="03B644C3" w14:textId="77777777" w:rsidR="007423C3" w:rsidRDefault="007423C3" w:rsidP="006408BA">
      <w:pPr>
        <w:pStyle w:val="NumberNormal"/>
      </w:pPr>
      <w:bookmarkStart w:id="3" w:name="_Ref141431030"/>
      <w:r>
        <w:t xml:space="preserve">To be </w:t>
      </w:r>
      <w:r w:rsidR="008055FA">
        <w:t>profit maximises</w:t>
      </w:r>
      <w:r>
        <w:t>,</w:t>
      </w:r>
      <w:bookmarkEnd w:id="3"/>
      <w:r>
        <w:t xml:space="preserve"> </w:t>
      </w:r>
    </w:p>
    <w:p w14:paraId="42E4E722" w14:textId="168288CD" w:rsidR="007423C3" w:rsidRDefault="007423C3" w:rsidP="006408BA">
      <w:pPr>
        <w:pStyle w:val="NumberNormal"/>
      </w:pPr>
      <w:r>
        <w:t>To be producing homogenous products,</w:t>
      </w:r>
    </w:p>
    <w:p w14:paraId="6C934D60" w14:textId="77777777" w:rsidR="007423C3" w:rsidRDefault="007423C3" w:rsidP="006408BA">
      <w:pPr>
        <w:pStyle w:val="NumberNormal"/>
      </w:pPr>
      <w:r>
        <w:t>To have a homogenous production function within a single sector of the economy,</w:t>
      </w:r>
    </w:p>
    <w:p w14:paraId="2F136543" w14:textId="11A15844" w:rsidR="007423C3" w:rsidRDefault="007423C3" w:rsidP="006408BA">
      <w:pPr>
        <w:pStyle w:val="NumberNormal"/>
      </w:pPr>
      <w:r>
        <w:t>To be producing using labour, capital, and intermittent good as input factors,</w:t>
      </w:r>
    </w:p>
    <w:p w14:paraId="6F113F32" w14:textId="5B4D6404" w:rsidR="007423C3" w:rsidRDefault="007423C3" w:rsidP="006408BA">
      <w:pPr>
        <w:pStyle w:val="NumberNormal"/>
      </w:pPr>
      <w:r>
        <w:t>To be producing with a constant return to scale,</w:t>
      </w:r>
    </w:p>
    <w:p w14:paraId="00524AA0" w14:textId="30D083C2" w:rsidR="007423C3" w:rsidRDefault="007423C3" w:rsidP="006408BA">
      <w:pPr>
        <w:pStyle w:val="NumberNormal"/>
      </w:pPr>
      <w:r>
        <w:t>To have production modellable with a Cobbs-Douglas (CD) function</w:t>
      </w:r>
      <w:r w:rsidR="00E930CD">
        <w:t>,</w:t>
      </w:r>
    </w:p>
    <w:p w14:paraId="7736BD61" w14:textId="4A5B6D23" w:rsidR="00E930CD" w:rsidRDefault="00E930CD" w:rsidP="006408BA">
      <w:pPr>
        <w:pStyle w:val="NumberNormal"/>
      </w:pPr>
      <w:r>
        <w:t>The intermediate goods ratio is not re-scale like the over CD function.</w:t>
      </w:r>
    </w:p>
    <w:p w14:paraId="7D3A2E08" w14:textId="00BF49FA" w:rsidR="007423C3" w:rsidRDefault="007423C3" w:rsidP="00712120">
      <w:pPr>
        <w:pStyle w:val="Heading4"/>
      </w:pPr>
      <w:r>
        <w:lastRenderedPageBreak/>
        <w:t>Households Assumptions</w:t>
      </w:r>
    </w:p>
    <w:p w14:paraId="3363B6A3" w14:textId="2EC8EEF1" w:rsidR="007423C3" w:rsidRDefault="007423C3" w:rsidP="007423C3">
      <w:r>
        <w:t>Households are assumed:</w:t>
      </w:r>
    </w:p>
    <w:p w14:paraId="663F048A" w14:textId="6C2334FC" w:rsidR="007423C3" w:rsidRDefault="007423C3" w:rsidP="006408BA">
      <w:pPr>
        <w:pStyle w:val="NumberNormal"/>
      </w:pPr>
      <w:bookmarkStart w:id="4" w:name="_Ref141428847"/>
      <w:r>
        <w:t>To be utility maximisers</w:t>
      </w:r>
      <w:r w:rsidR="00162920">
        <w:t>,</w:t>
      </w:r>
      <w:r w:rsidR="00A60664">
        <w:t xml:space="preserve"> with a define utility </w:t>
      </w:r>
      <w:r w:rsidR="006408BA">
        <w:t>function</w:t>
      </w:r>
      <w:r w:rsidR="00162920">
        <w:t>.</w:t>
      </w:r>
      <w:bookmarkEnd w:id="4"/>
    </w:p>
    <w:p w14:paraId="7FDDEAAF" w14:textId="2AD3B8BA" w:rsidR="007423C3" w:rsidRDefault="00162920" w:rsidP="006408BA">
      <w:pPr>
        <w:pStyle w:val="NumberNormal"/>
      </w:pPr>
      <w:r>
        <w:t>To gain income from selling labour as price takers,</w:t>
      </w:r>
    </w:p>
    <w:p w14:paraId="65530749" w14:textId="2551896C" w:rsidR="00162920" w:rsidRDefault="00162920" w:rsidP="006408BA">
      <w:pPr>
        <w:pStyle w:val="NumberNormal"/>
      </w:pPr>
      <w:r>
        <w:t>To save income at a fixed rate</w:t>
      </w:r>
    </w:p>
    <w:p w14:paraId="763EAD0F" w14:textId="2787159B" w:rsidR="00162920" w:rsidRPr="007423C3" w:rsidRDefault="00162920" w:rsidP="006408BA">
      <w:pPr>
        <w:pStyle w:val="NumberNormal"/>
      </w:pPr>
      <w:r>
        <w:t xml:space="preserve">To be budget neutral in a single </w:t>
      </w:r>
      <w:r w:rsidR="00E930CD">
        <w:t>period; income = expenditure + savings</w:t>
      </w:r>
    </w:p>
    <w:p w14:paraId="69017FA2" w14:textId="0364BCDC" w:rsidR="007423C3" w:rsidRDefault="00E930CD" w:rsidP="00712120">
      <w:pPr>
        <w:pStyle w:val="Heading4"/>
      </w:pPr>
      <w:r>
        <w:t>Government Assumptions</w:t>
      </w:r>
    </w:p>
    <w:p w14:paraId="0AF0A0B5" w14:textId="1F8840D9" w:rsidR="00E930CD" w:rsidRDefault="00E930CD" w:rsidP="00E930CD">
      <w:pPr>
        <w:pStyle w:val="BulletPoint"/>
        <w:numPr>
          <w:ilvl w:val="0"/>
          <w:numId w:val="0"/>
        </w:numPr>
      </w:pPr>
      <w:r>
        <w:t>The government is assumed:</w:t>
      </w:r>
    </w:p>
    <w:p w14:paraId="4C690557" w14:textId="5B8D7B66" w:rsidR="00E930CD" w:rsidRDefault="00E930CD" w:rsidP="00E930CD">
      <w:pPr>
        <w:pStyle w:val="BulletPoint"/>
      </w:pPr>
      <w:r>
        <w:t>To have a constant tax and spend policy through out model expect for the policy being assessed.</w:t>
      </w:r>
    </w:p>
    <w:p w14:paraId="1477E9EF" w14:textId="403AAD2A" w:rsidR="00707759" w:rsidRDefault="00707759" w:rsidP="00707759">
      <w:pPr>
        <w:pStyle w:val="Heading2"/>
      </w:pPr>
      <w:r>
        <w:t>Model</w:t>
      </w:r>
      <w:r w:rsidR="00801E37">
        <w:t>ling</w:t>
      </w:r>
      <w:r w:rsidR="00B836FC">
        <w:t xml:space="preserve"> – </w:t>
      </w:r>
      <w:r w:rsidR="00801E37">
        <w:t>C</w:t>
      </w:r>
      <w:r w:rsidR="00B836FC">
        <w:t>GEM</w:t>
      </w:r>
    </w:p>
    <w:p w14:paraId="5CF0BB8C" w14:textId="1B2822D5" w:rsidR="00622464" w:rsidRDefault="00B836FC" w:rsidP="00622464">
      <w:r>
        <w:t xml:space="preserve">The data on which the </w:t>
      </w:r>
      <w:r w:rsidR="00801E37">
        <w:t>C</w:t>
      </w:r>
      <w:r>
        <w:t xml:space="preserve">GEM were calculated with is from the ONS – Office for National Statistics. </w:t>
      </w:r>
      <w:r w:rsidR="00622464">
        <w:t xml:space="preserve">ONS produces Input-Output Analytical Tables which includes product-by-industry section derived from the annual Supply and Use Tables (SUTs) </w:t>
      </w:r>
      <w:sdt>
        <w:sdtPr>
          <w:id w:val="2034147055"/>
          <w:citation/>
        </w:sdtPr>
        <w:sdtContent>
          <w:r w:rsidR="00622464">
            <w:fldChar w:fldCharType="begin"/>
          </w:r>
          <w:r w:rsidR="00622464">
            <w:instrText xml:space="preserve"> CITATION ONS231 \l 2057 </w:instrText>
          </w:r>
          <w:r w:rsidR="00622464">
            <w:fldChar w:fldCharType="separate"/>
          </w:r>
          <w:r w:rsidR="00FC1132" w:rsidRPr="00FC1132">
            <w:rPr>
              <w:noProof/>
            </w:rPr>
            <w:t>(ONS, 2023)</w:t>
          </w:r>
          <w:r w:rsidR="00622464">
            <w:fldChar w:fldCharType="end"/>
          </w:r>
        </w:sdtContent>
      </w:sdt>
      <w:r w:rsidR="00622464">
        <w:t>. From this the annual use of intermediate goods, labour expenditure and final output can be gathered. This data has disaggregated by SIC code as described in Annex</w:t>
      </w:r>
      <w:r w:rsidR="00FC1132">
        <w:t xml:space="preserve"> A</w:t>
      </w:r>
      <w:r w:rsidR="00622464">
        <w:t>:</w:t>
      </w:r>
      <w:r w:rsidR="00FC1132">
        <w:t xml:space="preserve"> </w:t>
      </w:r>
      <w:r w:rsidR="00FC1132">
        <w:fldChar w:fldCharType="begin"/>
      </w:r>
      <w:r w:rsidR="00FC1132">
        <w:instrText xml:space="preserve"> REF _Ref141456887 \h </w:instrText>
      </w:r>
      <w:r w:rsidR="00FC1132">
        <w:fldChar w:fldCharType="separate"/>
      </w:r>
      <w:r w:rsidR="00FC1132">
        <w:t>Standard Industrial Classification (SIC)</w:t>
      </w:r>
      <w:r w:rsidR="00FC1132">
        <w:fldChar w:fldCharType="end"/>
      </w:r>
      <w:r w:rsidR="00622464">
        <w:t>.</w:t>
      </w:r>
      <w:r w:rsidR="00622464" w:rsidRPr="00622464">
        <w:t xml:space="preserve"> </w:t>
      </w:r>
      <w:r w:rsidR="00622464">
        <w:t>This classification of sectors has used at two levels, 39 sectors and 5 sectors.</w:t>
      </w:r>
    </w:p>
    <w:p w14:paraId="4B84DEF1" w14:textId="5288275E" w:rsidR="00B836FC" w:rsidRDefault="00B836FC" w:rsidP="00B836FC">
      <w:r>
        <w:t xml:space="preserve">This data is the appropriate set for this work as it gives the depth of disaggregation (covers a range of sectors), </w:t>
      </w:r>
      <w:r w:rsidRPr="00B836FC">
        <w:t>breadth</w:t>
      </w:r>
      <w:r>
        <w:t xml:space="preserve"> of data points (range of years) and is relative consistent in presentation when matching across datasets.</w:t>
      </w:r>
    </w:p>
    <w:p w14:paraId="76A2D699" w14:textId="15DC5ABC" w:rsidR="00053501" w:rsidRDefault="00053501" w:rsidP="00053501">
      <w:pPr>
        <w:pStyle w:val="Heading3"/>
      </w:pPr>
      <w:r>
        <w:t xml:space="preserve">Model Derivation </w:t>
      </w:r>
    </w:p>
    <w:p w14:paraId="01AE8D3B" w14:textId="20232BCD" w:rsidR="00053501" w:rsidRDefault="00053501" w:rsidP="00053501">
      <w:r>
        <w:t xml:space="preserve">Initial modelling </w:t>
      </w:r>
      <w:r w:rsidR="0086323A">
        <w:t>derivation</w:t>
      </w:r>
      <w:r>
        <w:t xml:space="preserve"> was </w:t>
      </w:r>
      <w:r w:rsidR="0086323A">
        <w:t xml:space="preserve">built from the work presented in the MIT Joint Program on Science and Policy of Global Change report: Computable General Equilibrium Models and Their Use in Economy-Wide Policy Analysis. </w:t>
      </w:r>
      <w:sdt>
        <w:sdtPr>
          <w:id w:val="-382248782"/>
          <w:citation/>
        </w:sdtPr>
        <w:sdtContent>
          <w:r w:rsidR="0086323A">
            <w:fldChar w:fldCharType="begin"/>
          </w:r>
          <w:r w:rsidR="0086323A">
            <w:instrText xml:space="preserve"> CITATION Ian04 \l 2057 </w:instrText>
          </w:r>
          <w:r w:rsidR="0086323A">
            <w:fldChar w:fldCharType="separate"/>
          </w:r>
          <w:r w:rsidR="00FC1132" w:rsidRPr="00FC1132">
            <w:rPr>
              <w:noProof/>
            </w:rPr>
            <w:t>(Wing, 2004)</w:t>
          </w:r>
          <w:r w:rsidR="0086323A">
            <w:fldChar w:fldCharType="end"/>
          </w:r>
        </w:sdtContent>
      </w:sdt>
    </w:p>
    <w:p w14:paraId="5A4EFFC5" w14:textId="77777777" w:rsidR="0086323A" w:rsidRPr="007153CD" w:rsidRDefault="0086323A" w:rsidP="0086323A">
      <w:pPr>
        <w:spacing w:after="0"/>
      </w:pPr>
      <w:r>
        <w:t xml:space="preserve">Set of commodities: </w:t>
      </w:r>
      <w:r>
        <w:tab/>
      </w:r>
      <w:r>
        <w:tab/>
      </w:r>
      <w:r>
        <w:tab/>
      </w:r>
      <w:r>
        <w:tab/>
      </w:r>
      <m:oMath>
        <m:r>
          <w:rPr>
            <w:rFonts w:ascii="Cambria Math" w:hAnsi="Cambria Math"/>
          </w:rPr>
          <m:t>i∈</m:t>
        </m:r>
        <m:d>
          <m:dPr>
            <m:ctrlPr>
              <w:rPr>
                <w:rFonts w:ascii="Cambria Math" w:hAnsi="Cambria Math"/>
                <w:i/>
              </w:rPr>
            </m:ctrlPr>
          </m:dPr>
          <m:e>
            <m:r>
              <w:rPr>
                <w:rFonts w:ascii="Cambria Math" w:hAnsi="Cambria Math"/>
              </w:rPr>
              <m:t>1,N</m:t>
            </m:r>
          </m:e>
        </m:d>
      </m:oMath>
    </w:p>
    <w:p w14:paraId="23B70C5F" w14:textId="77777777" w:rsidR="0086323A" w:rsidRDefault="0086323A" w:rsidP="0086323A">
      <w:pPr>
        <w:spacing w:after="0"/>
      </w:pPr>
      <w:r>
        <w:t>Set of industry sectors:</w:t>
      </w:r>
      <w:r>
        <w:tab/>
      </w:r>
      <w:r>
        <w:tab/>
      </w:r>
      <w:r>
        <w:tab/>
      </w:r>
      <m:oMath>
        <m:r>
          <w:rPr>
            <w:rFonts w:ascii="Cambria Math" w:hAnsi="Cambria Math"/>
          </w:rPr>
          <m:t>j∈(1,N)</m:t>
        </m:r>
      </m:oMath>
    </w:p>
    <w:p w14:paraId="40627041" w14:textId="77777777" w:rsidR="0086323A" w:rsidRPr="00AC298D" w:rsidRDefault="0086323A" w:rsidP="0086323A">
      <w:pPr>
        <w:spacing w:after="0"/>
      </w:pPr>
      <w:r>
        <w:t>Set of primary factors:</w:t>
      </w:r>
      <w:r>
        <w:tab/>
      </w:r>
      <w:r>
        <w:tab/>
      </w:r>
      <w:r>
        <w:tab/>
      </w:r>
      <w:r>
        <w:tab/>
      </w:r>
      <m:oMath>
        <m:r>
          <w:rPr>
            <w:rFonts w:ascii="Cambria Math" w:hAnsi="Cambria Math"/>
          </w:rPr>
          <m:t>f∈</m:t>
        </m:r>
        <m:d>
          <m:dPr>
            <m:ctrlPr>
              <w:rPr>
                <w:rFonts w:ascii="Cambria Math" w:hAnsi="Cambria Math"/>
                <w:i/>
              </w:rPr>
            </m:ctrlPr>
          </m:dPr>
          <m:e>
            <m:r>
              <w:rPr>
                <w:rFonts w:ascii="Cambria Math" w:hAnsi="Cambria Math"/>
              </w:rPr>
              <m:t>1,F</m:t>
            </m:r>
          </m:e>
        </m:d>
      </m:oMath>
    </w:p>
    <w:p w14:paraId="1B793BFE" w14:textId="77777777" w:rsidR="0086323A" w:rsidRDefault="0086323A" w:rsidP="0086323A">
      <w:pPr>
        <w:spacing w:after="0"/>
      </w:pPr>
      <w:r>
        <w:t>Set of final demands:</w:t>
      </w:r>
      <w:r>
        <w:tab/>
      </w:r>
      <w:r>
        <w:tab/>
      </w:r>
      <w:r>
        <w:tab/>
      </w:r>
      <w:r>
        <w:tab/>
      </w:r>
      <m:oMath>
        <m:r>
          <w:rPr>
            <w:rFonts w:ascii="Cambria Math" w:hAnsi="Cambria Math"/>
          </w:rPr>
          <m:t>d∈(1,D)</m:t>
        </m:r>
      </m:oMath>
    </w:p>
    <w:p w14:paraId="14FF329A" w14:textId="77777777" w:rsidR="0086323A" w:rsidRPr="00AC298D" w:rsidRDefault="0086323A" w:rsidP="0086323A">
      <w:r>
        <w:t xml:space="preserve">For simplicity </w:t>
      </w:r>
      <m:oMath>
        <m:r>
          <w:rPr>
            <w:rFonts w:ascii="Cambria Math" w:hAnsi="Cambria Math"/>
          </w:rPr>
          <m:t>D=N</m:t>
        </m:r>
      </m:oMath>
    </w:p>
    <w:p w14:paraId="1D4501AF" w14:textId="77777777" w:rsidR="0086323A" w:rsidRDefault="0086323A" w:rsidP="0086323A">
      <w:r>
        <w:t>It assumes that the circular economy in the model conforms to:</w:t>
      </w:r>
    </w:p>
    <w:p w14:paraId="7B5E51D7" w14:textId="77777777" w:rsidR="0086323A" w:rsidRDefault="0086323A" w:rsidP="0086323A">
      <w:pPr>
        <w:pStyle w:val="BulletPoint"/>
      </w:pPr>
      <w:r>
        <w:t>Cobb-Douglas Economy</w:t>
      </w:r>
    </w:p>
    <w:p w14:paraId="6C7698F1" w14:textId="77777777" w:rsidR="0086323A" w:rsidRDefault="0086323A" w:rsidP="0086323A">
      <w:pPr>
        <w:pStyle w:val="BulletPoint"/>
      </w:pPr>
      <w:r>
        <w:t>Commodity market clearance</w:t>
      </w:r>
    </w:p>
    <w:p w14:paraId="1CD64EDD" w14:textId="77777777" w:rsidR="0086323A" w:rsidRDefault="0086323A" w:rsidP="0086323A">
      <w:pPr>
        <w:pStyle w:val="BulletPoint"/>
      </w:pPr>
      <w:r>
        <w:t>Factor market clearance</w:t>
      </w:r>
    </w:p>
    <w:p w14:paraId="649C2AC2" w14:textId="77777777" w:rsidR="0086323A" w:rsidRDefault="0086323A" w:rsidP="0086323A">
      <w:pPr>
        <w:pStyle w:val="BulletPoint"/>
      </w:pPr>
      <w:r>
        <w:t>Full employment</w:t>
      </w:r>
    </w:p>
    <w:p w14:paraId="56213056" w14:textId="77777777" w:rsidR="0086323A" w:rsidRDefault="0086323A" w:rsidP="0086323A">
      <w:pPr>
        <w:pStyle w:val="BulletPoint"/>
      </w:pPr>
      <w:r>
        <w:t xml:space="preserve">Zero profit </w:t>
      </w:r>
    </w:p>
    <w:p w14:paraId="5248479B" w14:textId="77777777" w:rsidR="0086323A" w:rsidRDefault="0086323A" w:rsidP="0086323A">
      <w:r>
        <w:t>These assumptions can be formulised as in the equations below:</w:t>
      </w:r>
    </w:p>
    <w:tbl>
      <w:tblPr>
        <w:tblStyle w:val="TableGrid"/>
        <w:tblW w:w="9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583"/>
      </w:tblGrid>
      <w:tr w:rsidR="0086323A" w14:paraId="43438449" w14:textId="77777777" w:rsidTr="0086323A">
        <w:trPr>
          <w:trHeight w:val="814"/>
        </w:trPr>
        <w:tc>
          <w:tcPr>
            <w:tcW w:w="4583" w:type="dxa"/>
            <w:vAlign w:val="center"/>
          </w:tcPr>
          <w:p w14:paraId="2EF80A41" w14:textId="4D715CDE" w:rsidR="0086323A" w:rsidRPr="0086323A" w:rsidRDefault="00000000" w:rsidP="0086323A">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g</m:t>
                        </m:r>
                      </m:e>
                      <m:sub>
                        <m:r>
                          <w:rPr>
                            <w:rFonts w:ascii="Cambria Math" w:hAnsi="Cambria Math"/>
                          </w:rPr>
                          <m:t>id</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tc>
        <w:tc>
          <w:tcPr>
            <w:tcW w:w="4583" w:type="dxa"/>
            <w:vAlign w:val="bottom"/>
          </w:tcPr>
          <w:p w14:paraId="7CAE3C12" w14:textId="1FB736CD" w:rsidR="0086323A" w:rsidRDefault="0086323A" w:rsidP="0086323A">
            <w:pPr>
              <w:pStyle w:val="Caption"/>
            </w:pPr>
            <w:r>
              <w:t xml:space="preserve">Equation </w:t>
            </w:r>
            <w:r>
              <w:fldChar w:fldCharType="begin"/>
            </w:r>
            <w:r>
              <w:instrText xml:space="preserve"> SEQ Equation \* ARABIC </w:instrText>
            </w:r>
            <w:r>
              <w:fldChar w:fldCharType="separate"/>
            </w:r>
            <w:r w:rsidR="00FC1132">
              <w:rPr>
                <w:noProof/>
              </w:rPr>
              <w:t>1</w:t>
            </w:r>
            <w:r>
              <w:rPr>
                <w:noProof/>
              </w:rPr>
              <w:fldChar w:fldCharType="end"/>
            </w:r>
            <w:r>
              <w:t xml:space="preserve"> Commodity Market Clearance</w:t>
            </w:r>
          </w:p>
        </w:tc>
      </w:tr>
      <w:tr w:rsidR="0086323A" w14:paraId="2272BE35" w14:textId="77777777" w:rsidTr="0086323A">
        <w:trPr>
          <w:trHeight w:val="847"/>
        </w:trPr>
        <w:tc>
          <w:tcPr>
            <w:tcW w:w="4583" w:type="dxa"/>
            <w:vAlign w:val="center"/>
          </w:tcPr>
          <w:p w14:paraId="1036C734" w14:textId="506D6CBB" w:rsidR="0086323A" w:rsidRPr="0086323A" w:rsidRDefault="00000000" w:rsidP="0086323A">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fj</m:t>
                        </m:r>
                      </m:sub>
                    </m:sSub>
                  </m:e>
                </m:nary>
              </m:oMath>
            </m:oMathPara>
          </w:p>
        </w:tc>
        <w:tc>
          <w:tcPr>
            <w:tcW w:w="4583" w:type="dxa"/>
            <w:vAlign w:val="bottom"/>
          </w:tcPr>
          <w:p w14:paraId="2084D1D6" w14:textId="23C22EB6" w:rsidR="0086323A" w:rsidRPr="0086323A" w:rsidRDefault="0086323A" w:rsidP="0086323A">
            <w:pPr>
              <w:pStyle w:val="Caption"/>
              <w:rPr>
                <w:i w:val="0"/>
              </w:rPr>
            </w:pPr>
            <w:r>
              <w:t xml:space="preserve">Equation </w:t>
            </w:r>
            <w:r>
              <w:fldChar w:fldCharType="begin"/>
            </w:r>
            <w:r>
              <w:instrText xml:space="preserve"> SEQ Equation \* ARABIC </w:instrText>
            </w:r>
            <w:r>
              <w:fldChar w:fldCharType="separate"/>
            </w:r>
            <w:r w:rsidR="00FC1132">
              <w:rPr>
                <w:noProof/>
              </w:rPr>
              <w:t>2</w:t>
            </w:r>
            <w:r>
              <w:rPr>
                <w:noProof/>
              </w:rPr>
              <w:fldChar w:fldCharType="end"/>
            </w:r>
            <w:r>
              <w:t xml:space="preserve"> Factor Market Clearance</w:t>
            </w:r>
          </w:p>
        </w:tc>
      </w:tr>
      <w:tr w:rsidR="0086323A" w14:paraId="31809723" w14:textId="77777777" w:rsidTr="0086323A">
        <w:trPr>
          <w:trHeight w:val="814"/>
        </w:trPr>
        <w:tc>
          <w:tcPr>
            <w:tcW w:w="4583" w:type="dxa"/>
            <w:vAlign w:val="center"/>
          </w:tcPr>
          <w:p w14:paraId="26F7CB53" w14:textId="204FFA1E" w:rsidR="0086323A" w:rsidRPr="0086323A" w:rsidRDefault="00000000" w:rsidP="0086323A">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F</m:t>
                    </m:r>
                  </m:sup>
                  <m:e>
                    <m:sSub>
                      <m:sSubPr>
                        <m:ctrlPr>
                          <w:rPr>
                            <w:rFonts w:ascii="Cambria Math" w:hAnsi="Cambria Math"/>
                            <w:i/>
                          </w:rPr>
                        </m:ctrlPr>
                      </m:sSubPr>
                      <m:e>
                        <m:r>
                          <w:rPr>
                            <w:rFonts w:ascii="Cambria Math" w:hAnsi="Cambria Math"/>
                          </w:rPr>
                          <m:t>v</m:t>
                        </m:r>
                      </m:e>
                      <m:sub>
                        <m:r>
                          <w:rPr>
                            <w:rFonts w:ascii="Cambria Math" w:hAnsi="Cambria Math"/>
                          </w:rPr>
                          <m:t>fj</m:t>
                        </m:r>
                      </m:sub>
                    </m:sSub>
                  </m:e>
                </m:nary>
              </m:oMath>
            </m:oMathPara>
          </w:p>
        </w:tc>
        <w:tc>
          <w:tcPr>
            <w:tcW w:w="4583" w:type="dxa"/>
            <w:vAlign w:val="bottom"/>
          </w:tcPr>
          <w:p w14:paraId="0B40015A" w14:textId="7D9C8764" w:rsidR="0086323A" w:rsidRDefault="0086323A" w:rsidP="0086323A">
            <w:pPr>
              <w:pStyle w:val="Caption"/>
            </w:pPr>
            <w:r>
              <w:t xml:space="preserve">Equation </w:t>
            </w:r>
            <w:r>
              <w:fldChar w:fldCharType="begin"/>
            </w:r>
            <w:r>
              <w:instrText xml:space="preserve"> SEQ Equation \* ARABIC </w:instrText>
            </w:r>
            <w:r>
              <w:fldChar w:fldCharType="separate"/>
            </w:r>
            <w:r w:rsidR="00FC1132">
              <w:rPr>
                <w:noProof/>
              </w:rPr>
              <w:t>3</w:t>
            </w:r>
            <w:r>
              <w:rPr>
                <w:noProof/>
              </w:rPr>
              <w:fldChar w:fldCharType="end"/>
            </w:r>
            <w:r>
              <w:t xml:space="preserve"> Full Employment</w:t>
            </w:r>
          </w:p>
        </w:tc>
      </w:tr>
      <w:tr w:rsidR="0086323A" w14:paraId="303A9BBC" w14:textId="77777777" w:rsidTr="0086323A">
        <w:trPr>
          <w:trHeight w:val="847"/>
        </w:trPr>
        <w:tc>
          <w:tcPr>
            <w:tcW w:w="4583" w:type="dxa"/>
            <w:vAlign w:val="center"/>
          </w:tcPr>
          <w:p w14:paraId="559D6B30" w14:textId="7A6DF678" w:rsidR="0086323A" w:rsidRPr="0086323A" w:rsidRDefault="0086323A" w:rsidP="0086323A">
            <m:oMathPara>
              <m:oMathParaPr>
                <m:jc m:val="left"/>
              </m:oMathParaPr>
              <m:oMath>
                <m:r>
                  <w:rPr>
                    <w:rFonts w:ascii="Cambria Math" w:hAnsi="Cambria Math"/>
                  </w:rPr>
                  <m:t>m=</m:t>
                </m:r>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V</m:t>
                        </m:r>
                      </m:e>
                      <m:sub>
                        <m:r>
                          <w:rPr>
                            <w:rFonts w:ascii="Cambria Math" w:hAnsi="Cambria Math"/>
                          </w:rPr>
                          <m:t>f</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g</m:t>
                            </m:r>
                          </m:e>
                          <m:sub>
                            <m:r>
                              <w:rPr>
                                <w:rFonts w:ascii="Cambria Math" w:hAnsi="Cambria Math"/>
                              </w:rPr>
                              <m:t>id</m:t>
                            </m:r>
                          </m:sub>
                        </m:sSub>
                      </m:e>
                    </m:nary>
                  </m:e>
                </m:nary>
              </m:oMath>
            </m:oMathPara>
          </w:p>
        </w:tc>
        <w:tc>
          <w:tcPr>
            <w:tcW w:w="4583" w:type="dxa"/>
            <w:vAlign w:val="bottom"/>
          </w:tcPr>
          <w:p w14:paraId="1325E7CF" w14:textId="6BABB8C5" w:rsidR="0086323A" w:rsidRPr="0086323A" w:rsidRDefault="0086323A" w:rsidP="0086323A">
            <w:pPr>
              <w:pStyle w:val="Caption"/>
              <w:rPr>
                <w:i w:val="0"/>
              </w:rPr>
            </w:pPr>
            <w:r>
              <w:t xml:space="preserve">Equation </w:t>
            </w:r>
            <w:r>
              <w:fldChar w:fldCharType="begin"/>
            </w:r>
            <w:r>
              <w:instrText xml:space="preserve"> SEQ Equation \* ARABIC </w:instrText>
            </w:r>
            <w:r>
              <w:fldChar w:fldCharType="separate"/>
            </w:r>
            <w:r w:rsidR="00FC1132">
              <w:rPr>
                <w:noProof/>
              </w:rPr>
              <w:t>4</w:t>
            </w:r>
            <w:r>
              <w:rPr>
                <w:noProof/>
              </w:rPr>
              <w:fldChar w:fldCharType="end"/>
            </w:r>
            <w:r>
              <w:t xml:space="preserve"> Zero Profit</w:t>
            </w:r>
          </w:p>
        </w:tc>
      </w:tr>
    </w:tbl>
    <w:p w14:paraId="2F84D6AA" w14:textId="77777777" w:rsidR="0086323A" w:rsidRDefault="0086323A" w:rsidP="0086323A"/>
    <w:p w14:paraId="38B8903A" w14:textId="77777777" w:rsidR="0086323A" w:rsidRDefault="0086323A" w:rsidP="0086323A">
      <w:r>
        <w:t xml:space="preserve">Where: </w:t>
      </w:r>
    </w:p>
    <w:tbl>
      <w:tblPr>
        <w:tblStyle w:val="TableGrid"/>
        <w:tblW w:w="9030" w:type="dxa"/>
        <w:tblLook w:val="04A0" w:firstRow="1" w:lastRow="0" w:firstColumn="1" w:lastColumn="0" w:noHBand="0" w:noVBand="1"/>
      </w:tblPr>
      <w:tblGrid>
        <w:gridCol w:w="1841"/>
        <w:gridCol w:w="7189"/>
      </w:tblGrid>
      <w:tr w:rsidR="0086323A" w14:paraId="4E22111F" w14:textId="77777777" w:rsidTr="00401CE8">
        <w:trPr>
          <w:trHeight w:val="301"/>
        </w:trPr>
        <w:tc>
          <w:tcPr>
            <w:tcW w:w="1841" w:type="dxa"/>
          </w:tcPr>
          <w:p w14:paraId="1B81CBA0" w14:textId="77777777" w:rsidR="0086323A" w:rsidRPr="005B1FC1" w:rsidRDefault="0086323A" w:rsidP="00401CE8">
            <w:pPr>
              <w:rPr>
                <w:b/>
                <w:bCs/>
              </w:rPr>
            </w:pPr>
            <w:r w:rsidRPr="005B1FC1">
              <w:rPr>
                <w:b/>
                <w:bCs/>
              </w:rPr>
              <w:t>Variable</w:t>
            </w:r>
          </w:p>
        </w:tc>
        <w:tc>
          <w:tcPr>
            <w:tcW w:w="7189" w:type="dxa"/>
          </w:tcPr>
          <w:p w14:paraId="5D6D88B3" w14:textId="77777777" w:rsidR="0086323A" w:rsidRPr="005B1FC1" w:rsidRDefault="0086323A" w:rsidP="00401CE8">
            <w:pPr>
              <w:rPr>
                <w:b/>
                <w:bCs/>
              </w:rPr>
            </w:pPr>
            <w:r w:rsidRPr="005B1FC1">
              <w:rPr>
                <w:b/>
                <w:bCs/>
              </w:rPr>
              <w:t>Definition</w:t>
            </w:r>
          </w:p>
        </w:tc>
      </w:tr>
      <w:tr w:rsidR="0086323A" w14:paraId="733769CC" w14:textId="77777777" w:rsidTr="00401CE8">
        <w:trPr>
          <w:trHeight w:val="283"/>
        </w:trPr>
        <w:tc>
          <w:tcPr>
            <w:tcW w:w="1841" w:type="dxa"/>
          </w:tcPr>
          <w:p w14:paraId="0BF7A0CA" w14:textId="77777777" w:rsidR="0086323A" w:rsidRDefault="00000000" w:rsidP="00401CE8">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7189" w:type="dxa"/>
          </w:tcPr>
          <w:p w14:paraId="35E026A5" w14:textId="77777777" w:rsidR="0086323A" w:rsidRDefault="0086323A" w:rsidP="00401CE8">
            <w:r>
              <w:t xml:space="preserve">Total output of commodity </w:t>
            </w:r>
            <m:oMath>
              <m:r>
                <w:rPr>
                  <w:rFonts w:ascii="Cambria Math" w:hAnsi="Cambria Math"/>
                </w:rPr>
                <m:t>i</m:t>
              </m:r>
            </m:oMath>
          </w:p>
        </w:tc>
      </w:tr>
      <w:tr w:rsidR="0086323A" w14:paraId="3366CA13" w14:textId="77777777" w:rsidTr="00401CE8">
        <w:trPr>
          <w:trHeight w:val="301"/>
        </w:trPr>
        <w:tc>
          <w:tcPr>
            <w:tcW w:w="1841" w:type="dxa"/>
          </w:tcPr>
          <w:p w14:paraId="2FE2997E" w14:textId="77777777" w:rsidR="0086323A" w:rsidRDefault="00000000" w:rsidP="00401CE8">
            <m:oMathPara>
              <m:oMath>
                <m:sSub>
                  <m:sSubPr>
                    <m:ctrlPr>
                      <w:rPr>
                        <w:rFonts w:ascii="Cambria Math" w:hAnsi="Cambria Math"/>
                        <w:i/>
                      </w:rPr>
                    </m:ctrlPr>
                  </m:sSubPr>
                  <m:e>
                    <m:r>
                      <w:rPr>
                        <w:rFonts w:ascii="Cambria Math" w:hAnsi="Cambria Math"/>
                      </w:rPr>
                      <m:t>x</m:t>
                    </m:r>
                  </m:e>
                  <m:sub>
                    <m:r>
                      <w:rPr>
                        <w:rFonts w:ascii="Cambria Math" w:hAnsi="Cambria Math"/>
                      </w:rPr>
                      <m:t>ij</m:t>
                    </m:r>
                  </m:sub>
                </m:sSub>
              </m:oMath>
            </m:oMathPara>
          </w:p>
        </w:tc>
        <w:tc>
          <w:tcPr>
            <w:tcW w:w="7189" w:type="dxa"/>
          </w:tcPr>
          <w:p w14:paraId="23273D48" w14:textId="77777777" w:rsidR="0086323A" w:rsidRDefault="0086323A" w:rsidP="00401CE8">
            <w:r>
              <w:t xml:space="preserve">Intermediate good </w:t>
            </w:r>
            <m:oMath>
              <m:r>
                <w:rPr>
                  <w:rFonts w:ascii="Cambria Math" w:hAnsi="Cambria Math"/>
                </w:rPr>
                <m:t>j</m:t>
              </m:r>
            </m:oMath>
            <w:r>
              <w:t xml:space="preserve"> required for commodity </w:t>
            </w:r>
            <m:oMath>
              <m:r>
                <w:rPr>
                  <w:rFonts w:ascii="Cambria Math" w:hAnsi="Cambria Math"/>
                </w:rPr>
                <m:t>i</m:t>
              </m:r>
            </m:oMath>
          </w:p>
        </w:tc>
      </w:tr>
      <w:tr w:rsidR="0086323A" w14:paraId="10E33CAD" w14:textId="77777777" w:rsidTr="00401CE8">
        <w:trPr>
          <w:trHeight w:val="283"/>
        </w:trPr>
        <w:tc>
          <w:tcPr>
            <w:tcW w:w="1841" w:type="dxa"/>
          </w:tcPr>
          <w:p w14:paraId="0963095B" w14:textId="77777777" w:rsidR="0086323A" w:rsidRDefault="00000000" w:rsidP="00401CE8">
            <m:oMathPara>
              <m:oMath>
                <m:sSub>
                  <m:sSubPr>
                    <m:ctrlPr>
                      <w:rPr>
                        <w:rFonts w:ascii="Cambria Math" w:hAnsi="Cambria Math"/>
                        <w:i/>
                      </w:rPr>
                    </m:ctrlPr>
                  </m:sSubPr>
                  <m:e>
                    <m:r>
                      <w:rPr>
                        <w:rFonts w:ascii="Cambria Math" w:hAnsi="Cambria Math"/>
                      </w:rPr>
                      <m:t>g</m:t>
                    </m:r>
                  </m:e>
                  <m:sub>
                    <m:r>
                      <w:rPr>
                        <w:rFonts w:ascii="Cambria Math" w:hAnsi="Cambria Math"/>
                      </w:rPr>
                      <m:t>id</m:t>
                    </m:r>
                  </m:sub>
                </m:sSub>
              </m:oMath>
            </m:oMathPara>
          </w:p>
        </w:tc>
        <w:tc>
          <w:tcPr>
            <w:tcW w:w="7189" w:type="dxa"/>
          </w:tcPr>
          <w:p w14:paraId="376AA25B" w14:textId="77777777" w:rsidR="0086323A" w:rsidRDefault="0086323A" w:rsidP="00401CE8">
            <w:r>
              <w:t xml:space="preserve">Final good use of commodity </w:t>
            </w:r>
            <m:oMath>
              <m:r>
                <w:rPr>
                  <w:rFonts w:ascii="Cambria Math" w:hAnsi="Cambria Math"/>
                </w:rPr>
                <m:t>i</m:t>
              </m:r>
            </m:oMath>
            <w:r>
              <w:t xml:space="preserve"> from factor rent </w:t>
            </w:r>
            <m:oMath>
              <m:r>
                <w:rPr>
                  <w:rFonts w:ascii="Cambria Math" w:hAnsi="Cambria Math"/>
                </w:rPr>
                <m:t>d</m:t>
              </m:r>
            </m:oMath>
          </w:p>
        </w:tc>
      </w:tr>
      <w:tr w:rsidR="0086323A" w14:paraId="2BBDF733" w14:textId="77777777" w:rsidTr="00401CE8">
        <w:trPr>
          <w:trHeight w:val="301"/>
        </w:trPr>
        <w:tc>
          <w:tcPr>
            <w:tcW w:w="1841" w:type="dxa"/>
          </w:tcPr>
          <w:p w14:paraId="789B747D" w14:textId="77777777" w:rsidR="0086323A" w:rsidRDefault="00000000" w:rsidP="00401CE8">
            <m:oMathPara>
              <m:oMath>
                <m:sSub>
                  <m:sSubPr>
                    <m:ctrlPr>
                      <w:rPr>
                        <w:rFonts w:ascii="Cambria Math" w:hAnsi="Cambria Math"/>
                        <w:i/>
                      </w:rPr>
                    </m:ctrlPr>
                  </m:sSubPr>
                  <m:e>
                    <m:r>
                      <w:rPr>
                        <w:rFonts w:ascii="Cambria Math" w:hAnsi="Cambria Math"/>
                      </w:rPr>
                      <m:t>c</m:t>
                    </m:r>
                  </m:e>
                  <m:sub>
                    <m:r>
                      <w:rPr>
                        <w:rFonts w:ascii="Cambria Math" w:hAnsi="Cambria Math"/>
                      </w:rPr>
                      <m:t>i</m:t>
                    </m:r>
                  </m:sub>
                </m:sSub>
              </m:oMath>
            </m:oMathPara>
          </w:p>
        </w:tc>
        <w:tc>
          <w:tcPr>
            <w:tcW w:w="7189" w:type="dxa"/>
          </w:tcPr>
          <w:p w14:paraId="7ED0CFB9" w14:textId="77777777" w:rsidR="0086323A" w:rsidRDefault="0086323A" w:rsidP="00401CE8">
            <w:r>
              <w:t xml:space="preserve">Consumption of commodity </w:t>
            </w:r>
            <m:oMath>
              <m:r>
                <w:rPr>
                  <w:rFonts w:ascii="Cambria Math" w:hAnsi="Cambria Math"/>
                </w:rPr>
                <m:t>i</m:t>
              </m:r>
            </m:oMath>
          </w:p>
        </w:tc>
      </w:tr>
      <w:tr w:rsidR="0086323A" w14:paraId="215368BE" w14:textId="77777777" w:rsidTr="00401CE8">
        <w:trPr>
          <w:trHeight w:val="283"/>
        </w:trPr>
        <w:tc>
          <w:tcPr>
            <w:tcW w:w="1841" w:type="dxa"/>
          </w:tcPr>
          <w:p w14:paraId="31C13745" w14:textId="77777777" w:rsidR="0086323A" w:rsidRDefault="00000000" w:rsidP="00401CE8">
            <m:oMathPara>
              <m:oMath>
                <m:sSub>
                  <m:sSubPr>
                    <m:ctrlPr>
                      <w:rPr>
                        <w:rFonts w:ascii="Cambria Math" w:hAnsi="Cambria Math"/>
                        <w:i/>
                      </w:rPr>
                    </m:ctrlPr>
                  </m:sSubPr>
                  <m:e>
                    <m:r>
                      <w:rPr>
                        <w:rFonts w:ascii="Cambria Math" w:hAnsi="Cambria Math"/>
                      </w:rPr>
                      <m:t>s</m:t>
                    </m:r>
                  </m:e>
                  <m:sub>
                    <m:r>
                      <w:rPr>
                        <w:rFonts w:ascii="Cambria Math" w:hAnsi="Cambria Math"/>
                      </w:rPr>
                      <m:t>i</m:t>
                    </m:r>
                  </m:sub>
                </m:sSub>
              </m:oMath>
            </m:oMathPara>
          </w:p>
        </w:tc>
        <w:tc>
          <w:tcPr>
            <w:tcW w:w="7189" w:type="dxa"/>
          </w:tcPr>
          <w:p w14:paraId="5C722071" w14:textId="77777777" w:rsidR="0086323A" w:rsidRDefault="0086323A" w:rsidP="00401CE8">
            <w:r>
              <w:t xml:space="preserve">Saving of commodity </w:t>
            </w:r>
            <m:oMath>
              <m:r>
                <w:rPr>
                  <w:rFonts w:ascii="Cambria Math" w:hAnsi="Cambria Math"/>
                </w:rPr>
                <m:t>i</m:t>
              </m:r>
            </m:oMath>
          </w:p>
        </w:tc>
      </w:tr>
      <w:tr w:rsidR="0086323A" w14:paraId="4413C7A6" w14:textId="77777777" w:rsidTr="00401CE8">
        <w:trPr>
          <w:trHeight w:val="283"/>
        </w:trPr>
        <w:tc>
          <w:tcPr>
            <w:tcW w:w="1841" w:type="dxa"/>
          </w:tcPr>
          <w:p w14:paraId="17E604C3" w14:textId="77777777" w:rsidR="0086323A" w:rsidRDefault="00000000" w:rsidP="00401CE8">
            <m:oMathPara>
              <m:oMath>
                <m:sSub>
                  <m:sSubPr>
                    <m:ctrlPr>
                      <w:rPr>
                        <w:rFonts w:ascii="Cambria Math" w:hAnsi="Cambria Math"/>
                        <w:i/>
                      </w:rPr>
                    </m:ctrlPr>
                  </m:sSubPr>
                  <m:e>
                    <m:r>
                      <w:rPr>
                        <w:rFonts w:ascii="Cambria Math" w:hAnsi="Cambria Math"/>
                      </w:rPr>
                      <m:t>V</m:t>
                    </m:r>
                  </m:e>
                  <m:sub>
                    <m:r>
                      <w:rPr>
                        <w:rFonts w:ascii="Cambria Math" w:hAnsi="Cambria Math"/>
                      </w:rPr>
                      <m:t>f</m:t>
                    </m:r>
                  </m:sub>
                </m:sSub>
              </m:oMath>
            </m:oMathPara>
          </w:p>
        </w:tc>
        <w:tc>
          <w:tcPr>
            <w:tcW w:w="7189" w:type="dxa"/>
          </w:tcPr>
          <w:p w14:paraId="6E51681B" w14:textId="77777777" w:rsidR="0086323A" w:rsidRDefault="0086323A" w:rsidP="00401CE8">
            <w:r>
              <w:t xml:space="preserve">Total available primary factor </w:t>
            </w:r>
            <m:oMath>
              <m:r>
                <w:rPr>
                  <w:rFonts w:ascii="Cambria Math" w:hAnsi="Cambria Math"/>
                </w:rPr>
                <m:t>f</m:t>
              </m:r>
            </m:oMath>
          </w:p>
        </w:tc>
      </w:tr>
      <w:tr w:rsidR="0086323A" w14:paraId="4708D9FC" w14:textId="77777777" w:rsidTr="00401CE8">
        <w:trPr>
          <w:trHeight w:val="283"/>
        </w:trPr>
        <w:tc>
          <w:tcPr>
            <w:tcW w:w="1841" w:type="dxa"/>
          </w:tcPr>
          <w:p w14:paraId="45DEFE40" w14:textId="77777777" w:rsidR="0086323A" w:rsidRDefault="00000000" w:rsidP="00401CE8">
            <m:oMathPara>
              <m:oMath>
                <m:sSub>
                  <m:sSubPr>
                    <m:ctrlPr>
                      <w:rPr>
                        <w:rFonts w:ascii="Cambria Math" w:hAnsi="Cambria Math"/>
                        <w:i/>
                      </w:rPr>
                    </m:ctrlPr>
                  </m:sSubPr>
                  <m:e>
                    <m:r>
                      <w:rPr>
                        <w:rFonts w:ascii="Cambria Math" w:hAnsi="Cambria Math"/>
                      </w:rPr>
                      <m:t>v</m:t>
                    </m:r>
                  </m:e>
                  <m:sub>
                    <m:r>
                      <w:rPr>
                        <w:rFonts w:ascii="Cambria Math" w:hAnsi="Cambria Math"/>
                      </w:rPr>
                      <m:t>fj</m:t>
                    </m:r>
                  </m:sub>
                </m:sSub>
              </m:oMath>
            </m:oMathPara>
          </w:p>
        </w:tc>
        <w:tc>
          <w:tcPr>
            <w:tcW w:w="7189" w:type="dxa"/>
          </w:tcPr>
          <w:p w14:paraId="16CCBA04" w14:textId="77777777" w:rsidR="0086323A" w:rsidRDefault="0086323A" w:rsidP="00401CE8">
            <w:r>
              <w:t xml:space="preserve">Primary factor </w:t>
            </w:r>
            <m:oMath>
              <m:r>
                <w:rPr>
                  <w:rFonts w:ascii="Cambria Math" w:hAnsi="Cambria Math"/>
                </w:rPr>
                <m:t>f</m:t>
              </m:r>
            </m:oMath>
            <w:r>
              <w:t xml:space="preserve"> used for sector </w:t>
            </w:r>
            <m:oMath>
              <m:r>
                <w:rPr>
                  <w:rFonts w:ascii="Cambria Math" w:hAnsi="Cambria Math"/>
                </w:rPr>
                <m:t xml:space="preserve"> j</m:t>
              </m:r>
            </m:oMath>
          </w:p>
        </w:tc>
      </w:tr>
      <w:tr w:rsidR="0086323A" w14:paraId="3400D8DE" w14:textId="77777777" w:rsidTr="00401CE8">
        <w:trPr>
          <w:trHeight w:val="283"/>
        </w:trPr>
        <w:tc>
          <w:tcPr>
            <w:tcW w:w="1841" w:type="dxa"/>
          </w:tcPr>
          <w:p w14:paraId="399F6AAB" w14:textId="77777777" w:rsidR="0086323A" w:rsidRDefault="0086323A" w:rsidP="00401CE8">
            <m:oMathPara>
              <m:oMath>
                <m:r>
                  <w:rPr>
                    <w:rFonts w:ascii="Cambria Math" w:hAnsi="Cambria Math"/>
                  </w:rPr>
                  <m:t>m</m:t>
                </m:r>
              </m:oMath>
            </m:oMathPara>
          </w:p>
        </w:tc>
        <w:tc>
          <w:tcPr>
            <w:tcW w:w="7189" w:type="dxa"/>
          </w:tcPr>
          <w:p w14:paraId="33CBFEF5" w14:textId="77777777" w:rsidR="0086323A" w:rsidRDefault="0086323A" w:rsidP="00401CE8">
            <w:r>
              <w:t>Total rent from all primary factors employed</w:t>
            </w:r>
          </w:p>
        </w:tc>
      </w:tr>
    </w:tbl>
    <w:p w14:paraId="1F8C8AA7" w14:textId="77777777" w:rsidR="0086323A" w:rsidRDefault="0086323A" w:rsidP="0086323A"/>
    <w:p w14:paraId="6DAFDF83" w14:textId="5E8DE859" w:rsidR="0086323A" w:rsidRDefault="0086323A" w:rsidP="0086323A">
      <w:r>
        <w:t xml:space="preserve">The households in this model are assumed to be utility maximises (Assumption </w:t>
      </w:r>
      <w:r>
        <w:fldChar w:fldCharType="begin"/>
      </w:r>
      <w:r>
        <w:instrText xml:space="preserve"> REF _Ref141428847 \n \h </w:instrText>
      </w:r>
      <w:r>
        <w:fldChar w:fldCharType="separate"/>
      </w:r>
      <w:r w:rsidR="00FC1132">
        <w:t>8</w:t>
      </w:r>
      <w:r>
        <w:fldChar w:fldCharType="end"/>
      </w:r>
      <w:r>
        <w:t>) and therefore the agent problem can be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634"/>
      </w:tblGrid>
      <w:tr w:rsidR="0086323A" w14:paraId="562EA4A6" w14:textId="77777777" w:rsidTr="00FC1132">
        <w:tc>
          <w:tcPr>
            <w:tcW w:w="5382" w:type="dxa"/>
          </w:tcPr>
          <w:p w14:paraId="3E8D1A67" w14:textId="5E55D72D" w:rsidR="0086323A" w:rsidRPr="0086323A" w:rsidRDefault="00000000" w:rsidP="0086323A">
            <w:pPr>
              <w:rPr>
                <w:i/>
              </w:rPr>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c</m:t>
                            </m:r>
                          </m:e>
                          <m:sub>
                            <m:r>
                              <w:rPr>
                                <w:rFonts w:ascii="Cambria Math" w:hAnsi="Cambria Math"/>
                              </w:rPr>
                              <m:t>i</m:t>
                            </m:r>
                          </m:sub>
                        </m:sSub>
                      </m:lim>
                    </m:limLow>
                  </m:fName>
                  <m:e>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func>
                <m:r>
                  <w:rPr>
                    <w:rFonts w:ascii="Cambria Math" w:hAnsi="Cambria Math"/>
                  </w:rPr>
                  <m:t xml:space="preserve"> </m:t>
                </m:r>
                <m:r>
                  <m:rPr>
                    <m:sty m:val="p"/>
                  </m:rPr>
                  <w:rPr>
                    <w:rFonts w:ascii="Cambria Math" w:hAnsi="Cambria Math"/>
                  </w:rPr>
                  <m:t xml:space="preserve">subject to </m:t>
                </m:r>
                <m:r>
                  <w:rPr>
                    <w:rFonts w:ascii="Cambria Math" w:hAnsi="Cambria Math"/>
                  </w:rPr>
                  <m:t>m=</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m:oMathPara>
          </w:p>
        </w:tc>
        <w:tc>
          <w:tcPr>
            <w:tcW w:w="3634" w:type="dxa"/>
            <w:vAlign w:val="bottom"/>
          </w:tcPr>
          <w:p w14:paraId="463ABB42" w14:textId="79F45D07" w:rsidR="0086323A" w:rsidRDefault="0086323A" w:rsidP="0086323A">
            <w:pPr>
              <w:pStyle w:val="Caption"/>
              <w:rPr>
                <w:noProof/>
              </w:rPr>
            </w:pPr>
            <w:r>
              <w:t xml:space="preserve">Equation </w:t>
            </w:r>
            <w:r>
              <w:fldChar w:fldCharType="begin"/>
            </w:r>
            <w:r>
              <w:instrText xml:space="preserve"> SEQ Equation \* ARABIC </w:instrText>
            </w:r>
            <w:r>
              <w:fldChar w:fldCharType="separate"/>
            </w:r>
            <w:r w:rsidR="00FC1132">
              <w:rPr>
                <w:noProof/>
              </w:rPr>
              <w:t>5</w:t>
            </w:r>
            <w:r>
              <w:rPr>
                <w:noProof/>
              </w:rPr>
              <w:fldChar w:fldCharType="end"/>
            </w:r>
            <w:r>
              <w:t xml:space="preserve"> Agent Utility </w:t>
            </w:r>
            <w:r>
              <w:rPr>
                <w:noProof/>
              </w:rPr>
              <w:t>Maximisation</w:t>
            </w:r>
          </w:p>
        </w:tc>
      </w:tr>
    </w:tbl>
    <w:p w14:paraId="29E00985" w14:textId="77777777" w:rsidR="0086323A" w:rsidRDefault="0086323A" w:rsidP="0086323A"/>
    <w:p w14:paraId="21856952" w14:textId="77777777" w:rsidR="0086323A" w:rsidRDefault="0086323A" w:rsidP="0086323A">
      <w:r>
        <w:t xml:space="preserve">The where the function </w:t>
      </w:r>
      <m:oMath>
        <m:r>
          <w:rPr>
            <w:rFonts w:ascii="Cambria Math" w:hAnsi="Cambria Math"/>
          </w:rPr>
          <m:t>U(∙)</m:t>
        </m:r>
      </m:oMath>
      <w:r>
        <w:t xml:space="preserve">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634"/>
      </w:tblGrid>
      <w:tr w:rsidR="0086323A" w14:paraId="727E6664" w14:textId="77777777" w:rsidTr="00FC1132">
        <w:tc>
          <w:tcPr>
            <w:tcW w:w="5382" w:type="dxa"/>
          </w:tcPr>
          <w:p w14:paraId="7C896C4F" w14:textId="32B5320C" w:rsidR="0086323A" w:rsidRPr="0086323A" w:rsidRDefault="0086323A" w:rsidP="0086323A">
            <m:oMathPara>
              <m:oMathParaPr>
                <m:jc m:val="left"/>
              </m:oMathParaPr>
              <m:oMath>
                <m:r>
                  <w:rPr>
                    <w:rFonts w:ascii="Cambria Math" w:hAnsi="Cambria Math"/>
                  </w:rPr>
                  <m:t>U=</m:t>
                </m:r>
                <m:sSub>
                  <m:sSubPr>
                    <m:ctrlPr>
                      <w:rPr>
                        <w:rFonts w:ascii="Cambria Math" w:hAnsi="Cambria Math"/>
                        <w:i/>
                      </w:rPr>
                    </m:ctrlPr>
                  </m:sSubPr>
                  <m:e>
                    <m:r>
                      <w:rPr>
                        <w:rFonts w:ascii="Cambria Math" w:hAnsi="Cambria Math"/>
                      </w:rPr>
                      <m:t>A</m:t>
                    </m:r>
                  </m:e>
                  <m:sub>
                    <m:r>
                      <w:rPr>
                        <w:rFonts w:ascii="Cambria Math" w:hAnsi="Cambria Math"/>
                      </w:rPr>
                      <m:t>c</m:t>
                    </m:r>
                  </m:sub>
                </m:sSub>
                <m:sSubSup>
                  <m:sSubSupPr>
                    <m:ctrlPr>
                      <w:rPr>
                        <w:rFonts w:ascii="Cambria Math" w:hAnsi="Cambria Math"/>
                        <w:i/>
                      </w:rPr>
                    </m:ctrlPr>
                  </m:sSubSupPr>
                  <m:e>
                    <m:r>
                      <w:rPr>
                        <w:rFonts w:ascii="Cambria Math" w:hAnsi="Cambria Math"/>
                      </w:rPr>
                      <m:t>c</m:t>
                    </m:r>
                  </m:e>
                  <m:sub>
                    <m:r>
                      <w:rPr>
                        <w:rFonts w:ascii="Cambria Math" w:hAnsi="Cambria Math"/>
                      </w:rPr>
                      <m:t>1</m:t>
                    </m:r>
                  </m:sub>
                  <m:sup>
                    <m:sSub>
                      <m:sSubPr>
                        <m:ctrlPr>
                          <w:rPr>
                            <w:rFonts w:ascii="Cambria Math" w:hAnsi="Cambria Math"/>
                            <w:i/>
                          </w:rPr>
                        </m:ctrlPr>
                      </m:sSubPr>
                      <m:e>
                        <m:r>
                          <w:rPr>
                            <w:rFonts w:ascii="Cambria Math" w:hAnsi="Cambria Math"/>
                          </w:rPr>
                          <m:t>α</m:t>
                        </m:r>
                      </m:e>
                      <m:sub>
                        <m:r>
                          <w:rPr>
                            <w:rFonts w:ascii="Cambria Math" w:hAnsi="Cambria Math"/>
                          </w:rPr>
                          <m:t>1</m:t>
                        </m:r>
                      </m:sub>
                    </m:sSub>
                  </m:sup>
                </m:sSubSup>
                <m:sSubSup>
                  <m:sSubSupPr>
                    <m:ctrlPr>
                      <w:rPr>
                        <w:rFonts w:ascii="Cambria Math" w:hAnsi="Cambria Math"/>
                        <w:i/>
                      </w:rPr>
                    </m:ctrlPr>
                  </m:sSubSupPr>
                  <m:e>
                    <m:r>
                      <w:rPr>
                        <w:rFonts w:ascii="Cambria Math" w:hAnsi="Cambria Math"/>
                      </w:rPr>
                      <m:t>c</m:t>
                    </m:r>
                  </m:e>
                  <m:sub>
                    <m:r>
                      <w:rPr>
                        <w:rFonts w:ascii="Cambria Math" w:hAnsi="Cambria Math"/>
                      </w:rPr>
                      <m:t>2</m:t>
                    </m:r>
                  </m:sub>
                  <m:sup>
                    <m:sSub>
                      <m:sSubPr>
                        <m:ctrlPr>
                          <w:rPr>
                            <w:rFonts w:ascii="Cambria Math" w:hAnsi="Cambria Math"/>
                            <w:i/>
                          </w:rPr>
                        </m:ctrlPr>
                      </m:sSubPr>
                      <m:e>
                        <m:r>
                          <w:rPr>
                            <w:rFonts w:ascii="Cambria Math" w:hAnsi="Cambria Math"/>
                          </w:rPr>
                          <m:t>α</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sSub>
                      <m:sSubPr>
                        <m:ctrlPr>
                          <w:rPr>
                            <w:rFonts w:ascii="Cambria Math" w:hAnsi="Cambria Math"/>
                            <w:i/>
                          </w:rPr>
                        </m:ctrlPr>
                      </m:sSubPr>
                      <m:e>
                        <m:r>
                          <w:rPr>
                            <w:rFonts w:ascii="Cambria Math" w:hAnsi="Cambria Math"/>
                          </w:rPr>
                          <m:t>α</m:t>
                        </m:r>
                      </m:e>
                      <m:sub>
                        <m:r>
                          <w:rPr>
                            <w:rFonts w:ascii="Cambria Math" w:hAnsi="Cambria Math"/>
                          </w:rPr>
                          <m:t>N</m:t>
                        </m:r>
                      </m:sub>
                    </m:sSub>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sSub>
                          <m:sSubPr>
                            <m:ctrlPr>
                              <w:rPr>
                                <w:rFonts w:ascii="Cambria Math" w:hAnsi="Cambria Math"/>
                                <w:i/>
                              </w:rPr>
                            </m:ctrlPr>
                          </m:sSubPr>
                          <m:e>
                            <m:r>
                              <w:rPr>
                                <w:rFonts w:ascii="Cambria Math" w:hAnsi="Cambria Math"/>
                              </w:rPr>
                              <m:t>α</m:t>
                            </m:r>
                          </m:e>
                          <m:sub>
                            <m:r>
                              <w:rPr>
                                <w:rFonts w:ascii="Cambria Math" w:hAnsi="Cambria Math"/>
                              </w:rPr>
                              <m:t>i</m:t>
                            </m:r>
                          </m:sub>
                        </m:sSub>
                      </m:sup>
                    </m:sSubSup>
                  </m:e>
                </m:nary>
              </m:oMath>
            </m:oMathPara>
          </w:p>
        </w:tc>
        <w:tc>
          <w:tcPr>
            <w:tcW w:w="3634" w:type="dxa"/>
            <w:vAlign w:val="bottom"/>
          </w:tcPr>
          <w:p w14:paraId="3F0D0B7C" w14:textId="4F94E657" w:rsidR="0086323A" w:rsidRDefault="0086323A" w:rsidP="0086323A">
            <w:pPr>
              <w:pStyle w:val="Caption"/>
            </w:pPr>
            <w:r>
              <w:t xml:space="preserve">Equation </w:t>
            </w:r>
            <w:r>
              <w:fldChar w:fldCharType="begin"/>
            </w:r>
            <w:r>
              <w:instrText xml:space="preserve"> SEQ Equation \* ARABIC </w:instrText>
            </w:r>
            <w:r>
              <w:fldChar w:fldCharType="separate"/>
            </w:r>
            <w:r w:rsidR="00FC1132">
              <w:rPr>
                <w:noProof/>
              </w:rPr>
              <w:t>6</w:t>
            </w:r>
            <w:r>
              <w:rPr>
                <w:noProof/>
              </w:rPr>
              <w:fldChar w:fldCharType="end"/>
            </w:r>
            <w:r>
              <w:t xml:space="preserve"> Cobb-Douglas Utility Function</w:t>
            </w:r>
          </w:p>
        </w:tc>
      </w:tr>
    </w:tbl>
    <w:p w14:paraId="4ADAAB5A" w14:textId="77777777" w:rsidR="0086323A" w:rsidRDefault="0086323A" w:rsidP="0086323A"/>
    <w:p w14:paraId="495D362E" w14:textId="529FA989" w:rsidR="0086323A" w:rsidRDefault="0086323A" w:rsidP="0086323A">
      <w:pPr>
        <w:rPr>
          <w:iCs/>
        </w:rPr>
      </w:pPr>
      <w:r>
        <w:rPr>
          <w:iCs/>
        </w:rPr>
        <w:t xml:space="preserve">The producers in this are model are assumed to be profit maximises (Assumption </w:t>
      </w:r>
      <w:r>
        <w:rPr>
          <w:iCs/>
        </w:rPr>
        <w:fldChar w:fldCharType="begin"/>
      </w:r>
      <w:r>
        <w:rPr>
          <w:iCs/>
        </w:rPr>
        <w:instrText xml:space="preserve"> REF _Ref141431030 \n \h </w:instrText>
      </w:r>
      <w:r>
        <w:rPr>
          <w:iCs/>
        </w:rPr>
      </w:r>
      <w:r>
        <w:rPr>
          <w:iCs/>
        </w:rPr>
        <w:fldChar w:fldCharType="separate"/>
      </w:r>
      <w:r w:rsidR="00FC1132">
        <w:rPr>
          <w:iCs/>
        </w:rPr>
        <w:t>1</w:t>
      </w:r>
      <w:r>
        <w:rPr>
          <w:iCs/>
        </w:rPr>
        <w:fldChar w:fldCharType="end"/>
      </w:r>
      <w:r>
        <w:rPr>
          <w:iCs/>
        </w:rPr>
        <w:t>) and therefore the producer’s problem can be defined as:</w:t>
      </w:r>
    </w:p>
    <w:p w14:paraId="17F44FE4" w14:textId="77777777" w:rsidR="0086323A" w:rsidRPr="003A59D8" w:rsidRDefault="00000000" w:rsidP="0086323A">
      <w:pPr>
        <w:rPr>
          <w:i/>
          <w:iCs/>
        </w:rPr>
      </w:pPr>
      <m:oMathPara>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ij</m:t>
                      </m:r>
                    </m:sub>
                  </m:sSub>
                </m:lim>
              </m:limLow>
            </m:fName>
            <m:e>
              <m:sSub>
                <m:sSubPr>
                  <m:ctrlPr>
                    <w:rPr>
                      <w:rFonts w:ascii="Cambria Math" w:hAnsi="Cambria Math"/>
                      <w:i/>
                      <w:iCs/>
                    </w:rPr>
                  </m:ctrlPr>
                </m:sSubPr>
                <m:e>
                  <m:r>
                    <w:rPr>
                      <w:rFonts w:ascii="Cambria Math" w:hAnsi="Cambria Math"/>
                    </w:rPr>
                    <m:t>π</m:t>
                  </m:r>
                </m:e>
                <m:sub>
                  <m:r>
                    <w:rPr>
                      <w:rFonts w:ascii="Cambria Math" w:hAnsi="Cambria Math"/>
                    </w:rPr>
                    <m:t>j</m:t>
                  </m:r>
                </m:sub>
              </m:sSub>
            </m:e>
          </m:func>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j</m:t>
              </m:r>
            </m:sub>
          </m:sSub>
          <m:sSub>
            <m:sSubPr>
              <m:ctrlPr>
                <w:rPr>
                  <w:rFonts w:ascii="Cambria Math" w:hAnsi="Cambria Math"/>
                  <w:i/>
                  <w:iCs/>
                </w:rPr>
              </m:ctrlPr>
            </m:sSubPr>
            <m:e>
              <m:r>
                <w:rPr>
                  <w:rFonts w:ascii="Cambria Math" w:hAnsi="Cambria Math"/>
                </w:rPr>
                <m:t>y</m:t>
              </m:r>
            </m:e>
            <m:sub>
              <m:r>
                <w:rPr>
                  <w:rFonts w:ascii="Cambria Math" w:hAnsi="Cambria Math"/>
                </w:rPr>
                <m:t>j</m:t>
              </m:r>
            </m:sub>
          </m:sSub>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p</m:t>
                  </m:r>
                </m:e>
                <m:sub>
                  <m:r>
                    <w:rPr>
                      <w:rFonts w:ascii="Cambria Math" w:hAnsi="Cambria Math"/>
                    </w:rPr>
                    <m:t>i</m:t>
                  </m:r>
                </m:sub>
              </m:sSub>
              <m:sSub>
                <m:sSubPr>
                  <m:ctrlPr>
                    <w:rPr>
                      <w:rFonts w:ascii="Cambria Math" w:hAnsi="Cambria Math"/>
                      <w:i/>
                      <w:iCs/>
                    </w:rPr>
                  </m:ctrlPr>
                </m:sSubPr>
                <m:e>
                  <m:r>
                    <w:rPr>
                      <w:rFonts w:ascii="Cambria Math" w:hAnsi="Cambria Math"/>
                    </w:rPr>
                    <m:t>x</m:t>
                  </m:r>
                </m:e>
                <m:sub>
                  <m:r>
                    <w:rPr>
                      <w:rFonts w:ascii="Cambria Math" w:hAnsi="Cambria Math"/>
                    </w:rPr>
                    <m:t>ij</m:t>
                  </m:r>
                </m:sub>
              </m:sSub>
            </m:e>
          </m:nary>
          <m:r>
            <w:rPr>
              <w:rFonts w:ascii="Cambria Math" w:hAnsi="Cambria Math"/>
            </w:rPr>
            <m:t>-</m:t>
          </m:r>
          <m:nary>
            <m:naryPr>
              <m:chr m:val="∑"/>
              <m:limLoc m:val="undOvr"/>
              <m:ctrlPr>
                <w:rPr>
                  <w:rFonts w:ascii="Cambria Math" w:hAnsi="Cambria Math"/>
                  <w:i/>
                  <w:iCs/>
                </w:rPr>
              </m:ctrlPr>
            </m:naryPr>
            <m:sub>
              <m:r>
                <w:rPr>
                  <w:rFonts w:ascii="Cambria Math" w:hAnsi="Cambria Math"/>
                </w:rPr>
                <m:t>f=1</m:t>
              </m:r>
            </m:sub>
            <m:sup>
              <m:r>
                <w:rPr>
                  <w:rFonts w:ascii="Cambria Math" w:hAnsi="Cambria Math"/>
                </w:rPr>
                <m:t>F</m:t>
              </m:r>
            </m:sup>
            <m:e>
              <m:sSub>
                <m:sSubPr>
                  <m:ctrlPr>
                    <w:rPr>
                      <w:rFonts w:ascii="Cambria Math" w:hAnsi="Cambria Math"/>
                      <w:i/>
                      <w:iCs/>
                    </w:rPr>
                  </m:ctrlPr>
                </m:sSubPr>
                <m:e>
                  <m:r>
                    <w:rPr>
                      <w:rFonts w:ascii="Cambria Math" w:hAnsi="Cambria Math"/>
                    </w:rPr>
                    <m:t>w</m:t>
                  </m:r>
                </m:e>
                <m:sub>
                  <m:r>
                    <w:rPr>
                      <w:rFonts w:ascii="Cambria Math" w:hAnsi="Cambria Math"/>
                    </w:rPr>
                    <m:t>f</m:t>
                  </m:r>
                </m:sub>
              </m:sSub>
              <m:sSub>
                <m:sSubPr>
                  <m:ctrlPr>
                    <w:rPr>
                      <w:rFonts w:ascii="Cambria Math" w:hAnsi="Cambria Math"/>
                      <w:i/>
                      <w:iCs/>
                    </w:rPr>
                  </m:ctrlPr>
                </m:sSubPr>
                <m:e>
                  <m:r>
                    <w:rPr>
                      <w:rFonts w:ascii="Cambria Math" w:hAnsi="Cambria Math"/>
                    </w:rPr>
                    <m:t>v</m:t>
                  </m:r>
                </m:e>
                <m:sub>
                  <m:r>
                    <w:rPr>
                      <w:rFonts w:ascii="Cambria Math" w:hAnsi="Cambria Math"/>
                    </w:rPr>
                    <m:t>fj</m:t>
                  </m:r>
                </m:sub>
              </m:sSub>
            </m:e>
          </m:nary>
          <m:r>
            <w:rPr>
              <w:rFonts w:ascii="Cambria Math" w:hAnsi="Cambria Math"/>
            </w:rPr>
            <m:t xml:space="preserve"> </m:t>
          </m:r>
          <m:r>
            <m:rPr>
              <m:sty m:val="p"/>
            </m:rPr>
            <w:rPr>
              <w:rFonts w:ascii="Cambria Math" w:hAnsi="Cambria Math"/>
            </w:rPr>
            <m:t xml:space="preserve">subject to </m:t>
          </m:r>
          <m:sSub>
            <m:sSubPr>
              <m:ctrlPr>
                <w:rPr>
                  <w:rFonts w:ascii="Cambria Math" w:hAnsi="Cambria Math"/>
                  <w:i/>
                  <w:iCs/>
                </w:rPr>
              </m:ctrlPr>
            </m:sSubPr>
            <m:e>
              <m:r>
                <w:rPr>
                  <w:rFonts w:ascii="Cambria Math" w:hAnsi="Cambria Math"/>
                </w:rPr>
                <m:t>y</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ϑ</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1j</m:t>
              </m:r>
            </m:sub>
          </m:sSub>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Nj</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v</m:t>
              </m:r>
            </m:e>
            <m:sub>
              <m:r>
                <w:rPr>
                  <w:rFonts w:ascii="Cambria Math" w:hAnsi="Cambria Math"/>
                </w:rPr>
                <m:t>Fj</m:t>
              </m:r>
            </m:sub>
          </m:sSub>
          <m:r>
            <w:rPr>
              <w:rFonts w:ascii="Cambria Math" w:hAnsi="Cambria Math"/>
            </w:rPr>
            <m:t>)</m:t>
          </m:r>
        </m:oMath>
      </m:oMathPara>
    </w:p>
    <w:p w14:paraId="12A994C1" w14:textId="4AADAFC3" w:rsidR="0086323A" w:rsidRPr="003A59D8" w:rsidRDefault="0086323A" w:rsidP="0086323A">
      <w:pPr>
        <w:pStyle w:val="Caption"/>
        <w:rPr>
          <w:i w:val="0"/>
          <w:iCs w:val="0"/>
        </w:rPr>
      </w:pPr>
      <w:r>
        <w:t xml:space="preserve">Equation </w:t>
      </w:r>
      <w:r>
        <w:fldChar w:fldCharType="begin"/>
      </w:r>
      <w:r>
        <w:instrText xml:space="preserve"> SEQ Equation \* ARABIC </w:instrText>
      </w:r>
      <w:r>
        <w:fldChar w:fldCharType="separate"/>
      </w:r>
      <w:r w:rsidR="00FC1132">
        <w:rPr>
          <w:noProof/>
        </w:rPr>
        <w:t>7</w:t>
      </w:r>
      <w:r>
        <w:rPr>
          <w:noProof/>
        </w:rPr>
        <w:fldChar w:fldCharType="end"/>
      </w:r>
      <w:r>
        <w:t xml:space="preserve"> Produces Profit Maximisation</w:t>
      </w:r>
    </w:p>
    <w:p w14:paraId="0EBC6910" w14:textId="058DC72F" w:rsidR="0086323A" w:rsidRDefault="0086323A" w:rsidP="0086323A">
      <w:r>
        <w:t xml:space="preserve">Where </w:t>
      </w:r>
      <m:oMath>
        <m:sSub>
          <m:sSubPr>
            <m:ctrlPr>
              <w:rPr>
                <w:rFonts w:ascii="Cambria Math" w:hAnsi="Cambria Math"/>
                <w:i/>
              </w:rPr>
            </m:ctrlPr>
          </m:sSubPr>
          <m:e>
            <m:r>
              <w:rPr>
                <w:rFonts w:ascii="Cambria Math" w:hAnsi="Cambria Math"/>
              </w:rPr>
              <m:t>ϑ</m:t>
            </m:r>
          </m:e>
          <m:sub>
            <m:r>
              <w:rPr>
                <w:rFonts w:ascii="Cambria Math" w:hAnsi="Cambria Math"/>
              </w:rPr>
              <m:t>j</m:t>
            </m:r>
          </m:sub>
        </m:sSub>
        <m:r>
          <w:rPr>
            <w:rFonts w:ascii="Cambria Math" w:hAnsi="Cambria Math"/>
          </w:rPr>
          <m:t>(∙)</m:t>
        </m:r>
      </m:oMath>
      <w:r>
        <w:t xml:space="preserve"> is specified as the production function. For this model it will be an extension of the CD investigated in </w:t>
      </w:r>
      <w:r>
        <w:fldChar w:fldCharType="begin"/>
      </w:r>
      <w:r>
        <w:instrText xml:space="preserve"> REF _Ref140421647 \h </w:instrText>
      </w:r>
      <w:r>
        <w:fldChar w:fldCharType="separate"/>
      </w:r>
      <w:r w:rsidR="00FC1132">
        <w:t xml:space="preserve">Equation </w:t>
      </w:r>
      <w:r w:rsidR="00FC1132">
        <w:rPr>
          <w:noProof/>
        </w:rPr>
        <w:t>20</w:t>
      </w:r>
      <w:r>
        <w:fldChar w:fldCharType="end"/>
      </w:r>
      <w:r>
        <w:t xml:space="preserve"> to:</w:t>
      </w:r>
    </w:p>
    <w:p w14:paraId="6D174016" w14:textId="77777777" w:rsidR="0086323A" w:rsidRPr="003A59D8" w:rsidRDefault="00000000" w:rsidP="0086323A">
      <m:oMathPara>
        <m:oMath>
          <m:sSub>
            <m:sSubPr>
              <m:ctrlPr>
                <w:rPr>
                  <w:rFonts w:ascii="Cambria Math" w:hAnsi="Cambria Math"/>
                  <w:i/>
                </w:rPr>
              </m:ctrlPr>
            </m:sSubPr>
            <m:e>
              <m:r>
                <w:rPr>
                  <w:rFonts w:ascii="Cambria Math" w:hAnsi="Cambria Math"/>
                </w:rPr>
                <m:t>ϑ</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1j</m:t>
                  </m:r>
                </m:sub>
                <m:sup>
                  <m:sSub>
                    <m:sSubPr>
                      <m:ctrlPr>
                        <w:rPr>
                          <w:rFonts w:ascii="Cambria Math" w:hAnsi="Cambria Math"/>
                          <w:i/>
                        </w:rPr>
                      </m:ctrlPr>
                    </m:sSubPr>
                    <m:e>
                      <m:r>
                        <w:rPr>
                          <w:rFonts w:ascii="Cambria Math" w:hAnsi="Cambria Math"/>
                        </w:rPr>
                        <m:t>β</m:t>
                      </m:r>
                    </m:e>
                    <m:sub>
                      <m:r>
                        <w:rPr>
                          <w:rFonts w:ascii="Cambria Math" w:hAnsi="Cambria Math"/>
                        </w:rPr>
                        <m:t>1j</m:t>
                      </m:r>
                    </m:sub>
                  </m:sSub>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Nj</m:t>
                  </m:r>
                </m:sub>
                <m:sup>
                  <m:sSub>
                    <m:sSubPr>
                      <m:ctrlPr>
                        <w:rPr>
                          <w:rFonts w:ascii="Cambria Math" w:hAnsi="Cambria Math"/>
                          <w:i/>
                        </w:rPr>
                      </m:ctrlPr>
                    </m:sSubPr>
                    <m:e>
                      <m:r>
                        <w:rPr>
                          <w:rFonts w:ascii="Cambria Math" w:hAnsi="Cambria Math"/>
                        </w:rPr>
                        <m:t>β</m:t>
                      </m:r>
                    </m:e>
                    <m:sub>
                      <m:r>
                        <w:rPr>
                          <w:rFonts w:ascii="Cambria Math" w:hAnsi="Cambria Math"/>
                        </w:rPr>
                        <m:t>N</m:t>
                      </m:r>
                    </m:sub>
                  </m:sSub>
                  <m:r>
                    <w:rPr>
                      <w:rFonts w:ascii="Cambria Math" w:hAnsi="Cambria Math"/>
                    </w:rPr>
                    <m:t>j</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1j</m:t>
                  </m:r>
                </m:sub>
                <m:sup>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j</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Nj</m:t>
                  </m:r>
                </m:sub>
                <m:sup>
                  <m:sSub>
                    <m:sSubPr>
                      <m:ctrlPr>
                        <w:rPr>
                          <w:rFonts w:ascii="Cambria Math" w:hAnsi="Cambria Math"/>
                          <w:i/>
                        </w:rPr>
                      </m:ctrlPr>
                    </m:sSubPr>
                    <m:e>
                      <m:r>
                        <w:rPr>
                          <w:rFonts w:ascii="Cambria Math" w:hAnsi="Cambria Math"/>
                        </w:rPr>
                        <m:t>γ</m:t>
                      </m:r>
                    </m:e>
                    <m:sub>
                      <m:r>
                        <w:rPr>
                          <w:rFonts w:ascii="Cambria Math" w:hAnsi="Cambria Math"/>
                        </w:rPr>
                        <m:t>Nj</m:t>
                      </m:r>
                    </m:sub>
                  </m:sSub>
                </m:sup>
              </m:sSub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ij</m:t>
                  </m:r>
                </m:sub>
                <m:sup>
                  <m:sSub>
                    <m:sSubPr>
                      <m:ctrlPr>
                        <w:rPr>
                          <w:rFonts w:ascii="Cambria Math" w:hAnsi="Cambria Math"/>
                          <w:i/>
                        </w:rPr>
                      </m:ctrlPr>
                    </m:sSubPr>
                    <m:e>
                      <m:r>
                        <w:rPr>
                          <w:rFonts w:ascii="Cambria Math" w:hAnsi="Cambria Math"/>
                        </w:rPr>
                        <m:t>β</m:t>
                      </m:r>
                    </m:e>
                    <m:sub>
                      <m:r>
                        <w:rPr>
                          <w:rFonts w:ascii="Cambria Math" w:hAnsi="Cambria Math"/>
                        </w:rPr>
                        <m:t>ij</m:t>
                      </m:r>
                    </m:sub>
                  </m:sSub>
                </m:sup>
              </m:sSubSup>
            </m:e>
          </m:nary>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Sup>
                <m:sSubSupPr>
                  <m:ctrlPr>
                    <w:rPr>
                      <w:rFonts w:ascii="Cambria Math" w:hAnsi="Cambria Math"/>
                      <w:i/>
                    </w:rPr>
                  </m:ctrlPr>
                </m:sSubSupPr>
                <m:e>
                  <m:r>
                    <w:rPr>
                      <w:rFonts w:ascii="Cambria Math" w:hAnsi="Cambria Math"/>
                    </w:rPr>
                    <m:t>v</m:t>
                  </m:r>
                </m:e>
                <m:sub>
                  <m:r>
                    <w:rPr>
                      <w:rFonts w:ascii="Cambria Math" w:hAnsi="Cambria Math"/>
                    </w:rPr>
                    <m:t>fj</m:t>
                  </m:r>
                </m:sub>
                <m:sup>
                  <m:sSub>
                    <m:sSubPr>
                      <m:ctrlPr>
                        <w:rPr>
                          <w:rFonts w:ascii="Cambria Math" w:hAnsi="Cambria Math"/>
                          <w:i/>
                        </w:rPr>
                      </m:ctrlPr>
                    </m:sSubPr>
                    <m:e>
                      <m:r>
                        <w:rPr>
                          <w:rFonts w:ascii="Cambria Math" w:hAnsi="Cambria Math"/>
                        </w:rPr>
                        <m:t>γ</m:t>
                      </m:r>
                    </m:e>
                    <m:sub>
                      <m:r>
                        <w:rPr>
                          <w:rFonts w:ascii="Cambria Math" w:hAnsi="Cambria Math"/>
                        </w:rPr>
                        <m:t>fj</m:t>
                      </m:r>
                    </m:sub>
                  </m:sSub>
                </m:sup>
              </m:sSubSup>
            </m:e>
          </m:nary>
        </m:oMath>
      </m:oMathPara>
    </w:p>
    <w:p w14:paraId="30026B74" w14:textId="68A0CC04" w:rsidR="0086323A" w:rsidRDefault="0086323A" w:rsidP="0086323A">
      <w:pPr>
        <w:pStyle w:val="Caption"/>
      </w:pPr>
      <w:r>
        <w:t xml:space="preserve">Equation </w:t>
      </w:r>
      <w:r>
        <w:fldChar w:fldCharType="begin"/>
      </w:r>
      <w:r>
        <w:instrText xml:space="preserve"> SEQ Equation \* ARABIC </w:instrText>
      </w:r>
      <w:r>
        <w:fldChar w:fldCharType="separate"/>
      </w:r>
      <w:r w:rsidR="00FC1132">
        <w:rPr>
          <w:noProof/>
        </w:rPr>
        <w:t>8</w:t>
      </w:r>
      <w:r>
        <w:rPr>
          <w:noProof/>
        </w:rPr>
        <w:fldChar w:fldCharType="end"/>
      </w:r>
      <w:r>
        <w:t xml:space="preserve"> Produces Cobb-Douglas with Intermediate Goods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059"/>
      </w:tblGrid>
      <w:tr w:rsidR="0086323A" w14:paraId="34AC160A" w14:textId="77777777" w:rsidTr="00FC1132">
        <w:tc>
          <w:tcPr>
            <w:tcW w:w="4957" w:type="dxa"/>
          </w:tcPr>
          <w:p w14:paraId="06EC667E" w14:textId="514C8A70" w:rsidR="0086323A" w:rsidRDefault="0086323A" w:rsidP="0086323A">
            <w:r>
              <w:t xml:space="preserve">Where: </w:t>
            </w:r>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Nj</m:t>
                      </m:r>
                    </m:sub>
                  </m:sSub>
                  <m:r>
                    <w:rPr>
                      <w:rFonts w:ascii="Cambria Math" w:hAnsi="Cambria Math"/>
                    </w:rPr>
                    <m:t>=1</m:t>
                  </m:r>
                </m:e>
              </m:d>
            </m:oMath>
          </w:p>
        </w:tc>
        <w:tc>
          <w:tcPr>
            <w:tcW w:w="4059" w:type="dxa"/>
          </w:tcPr>
          <w:p w14:paraId="36249670" w14:textId="77ABCE09" w:rsidR="0086323A" w:rsidRDefault="0086323A" w:rsidP="0086323A">
            <w:pPr>
              <w:pStyle w:val="Caption"/>
            </w:pPr>
            <w:r>
              <w:t xml:space="preserve">Equation </w:t>
            </w:r>
            <w:r>
              <w:fldChar w:fldCharType="begin"/>
            </w:r>
            <w:r>
              <w:instrText xml:space="preserve"> SEQ Equation \* ARABIC </w:instrText>
            </w:r>
            <w:r>
              <w:fldChar w:fldCharType="separate"/>
            </w:r>
            <w:r w:rsidR="00FC1132">
              <w:rPr>
                <w:noProof/>
              </w:rPr>
              <w:t>9</w:t>
            </w:r>
            <w:r>
              <w:rPr>
                <w:noProof/>
              </w:rPr>
              <w:fldChar w:fldCharType="end"/>
            </w:r>
            <w:r>
              <w:t xml:space="preserve"> Constant Return to Scale</w:t>
            </w:r>
          </w:p>
        </w:tc>
      </w:tr>
    </w:tbl>
    <w:p w14:paraId="562ABAFB" w14:textId="77777777" w:rsidR="0086323A" w:rsidRPr="0086323A" w:rsidRDefault="0086323A" w:rsidP="0086323A"/>
    <w:p w14:paraId="643EF3BF" w14:textId="77777777" w:rsidR="0086323A" w:rsidRDefault="0086323A" w:rsidP="0086323A">
      <w:r>
        <w:lastRenderedPageBreak/>
        <w:t xml:space="preserve">From these equations </w:t>
      </w:r>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fj</m:t>
            </m:r>
          </m:sub>
        </m:sSub>
      </m:oMath>
      <w:r>
        <w:t xml:space="preserve"> can be derived as:</w:t>
      </w:r>
    </w:p>
    <w:p w14:paraId="5E19DDAC" w14:textId="77777777" w:rsidR="0086323A" w:rsidRDefault="00000000" w:rsidP="0086323A">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den>
          </m:f>
          <m:r>
            <w:rPr>
              <w:rFonts w:ascii="Cambria Math" w:hAnsi="Cambria Math"/>
            </w:rPr>
            <m:t xml:space="preserve">  &amp;  </m:t>
          </m:r>
          <m:sSub>
            <m:sSubPr>
              <m:ctrlPr>
                <w:rPr>
                  <w:rFonts w:ascii="Cambria Math" w:hAnsi="Cambria Math"/>
                  <w:i/>
                </w:rPr>
              </m:ctrlPr>
            </m:sSubPr>
            <m:e>
              <m:r>
                <w:rPr>
                  <w:rFonts w:ascii="Cambria Math" w:hAnsi="Cambria Math"/>
                </w:rPr>
                <m:t>γ</m:t>
              </m:r>
            </m:e>
            <m:sub>
              <m:r>
                <w:rPr>
                  <w:rFonts w:ascii="Cambria Math" w:hAnsi="Cambria Math"/>
                </w:rPr>
                <m:t>fj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fj</m:t>
                  </m:r>
                </m:sub>
              </m:sSub>
              <m:sSub>
                <m:sSubPr>
                  <m:ctrlPr>
                    <w:rPr>
                      <w:rFonts w:ascii="Cambria Math" w:hAnsi="Cambria Math"/>
                      <w:i/>
                    </w:rPr>
                  </m:ctrlPr>
                </m:sSubPr>
                <m:e>
                  <m:r>
                    <w:rPr>
                      <w:rFonts w:ascii="Cambria Math" w:hAnsi="Cambria Math"/>
                    </w:rPr>
                    <m:t>v</m:t>
                  </m:r>
                </m:e>
                <m:sub>
                  <m:r>
                    <w:rPr>
                      <w:rFonts w:ascii="Cambria Math" w:hAnsi="Cambria Math"/>
                    </w:rPr>
                    <m:t>fj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den>
          </m:f>
        </m:oMath>
      </m:oMathPara>
    </w:p>
    <w:p w14:paraId="2159EFEB" w14:textId="508881F6" w:rsidR="0086323A" w:rsidRDefault="0086323A" w:rsidP="0086323A">
      <w:r>
        <w:t xml:space="preserve">The aim is to create a benchmark within which price of each commodity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wage </w:t>
      </w:r>
      <m:oMath>
        <m:sSub>
          <m:sSubPr>
            <m:ctrlPr>
              <w:rPr>
                <w:rFonts w:ascii="Cambria Math" w:hAnsi="Cambria Math"/>
                <w:i/>
              </w:rPr>
            </m:ctrlPr>
          </m:sSubPr>
          <m:e>
            <m:r>
              <w:rPr>
                <w:rFonts w:ascii="Cambria Math" w:hAnsi="Cambria Math"/>
              </w:rPr>
              <m:t>w</m:t>
            </m:r>
          </m:e>
          <m:sub>
            <m:r>
              <w:rPr>
                <w:rFonts w:ascii="Cambria Math" w:hAnsi="Cambria Math"/>
              </w:rPr>
              <m:t>fj</m:t>
            </m:r>
          </m:sub>
        </m:sSub>
      </m:oMath>
      <w:r>
        <w:t xml:space="preserve"> are set to 1. This unity of prices and wages is a modelling assumption to enable algebraic simplification without the loss of generality in the modelling. There is no loss in generality of modelling as the prices and wages are relative to the base year and consumption/output is not modelled as unity. The following are the equations used to calculate the calibration parameters:</w:t>
      </w:r>
    </w:p>
    <w:tbl>
      <w:tblPr>
        <w:tblStyle w:val="TableGrid"/>
        <w:tblW w:w="9398" w:type="dxa"/>
        <w:tblLook w:val="04A0" w:firstRow="1" w:lastRow="0" w:firstColumn="1" w:lastColumn="0" w:noHBand="0" w:noVBand="1"/>
      </w:tblPr>
      <w:tblGrid>
        <w:gridCol w:w="4699"/>
        <w:gridCol w:w="4699"/>
      </w:tblGrid>
      <w:tr w:rsidR="0086323A" w14:paraId="10DC3411" w14:textId="77777777" w:rsidTr="0086323A">
        <w:trPr>
          <w:trHeight w:val="783"/>
        </w:trPr>
        <w:tc>
          <w:tcPr>
            <w:tcW w:w="4699" w:type="dxa"/>
            <w:vAlign w:val="center"/>
          </w:tcPr>
          <w:p w14:paraId="1255DB72" w14:textId="77777777" w:rsidR="0086323A" w:rsidRDefault="00000000" w:rsidP="00401CE8">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ic</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m:t>
                    </m:r>
                  </m:sub>
                </m:sSub>
              </m:oMath>
            </m:oMathPara>
          </w:p>
        </w:tc>
        <w:tc>
          <w:tcPr>
            <w:tcW w:w="4699" w:type="dxa"/>
            <w:vAlign w:val="center"/>
          </w:tcPr>
          <w:p w14:paraId="02D06C6D" w14:textId="77777777" w:rsidR="0086323A" w:rsidRDefault="00000000" w:rsidP="00401CE8">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m:t>
                        </m:r>
                      </m:sub>
                    </m:sSub>
                  </m:num>
                  <m:den>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g</m:t>
                                </m:r>
                              </m:e>
                            </m:acc>
                          </m:e>
                          <m:sub>
                            <m:r>
                              <w:rPr>
                                <w:rFonts w:ascii="Cambria Math" w:hAnsi="Cambria Math"/>
                              </w:rPr>
                              <m:t>ic</m:t>
                            </m:r>
                          </m:sub>
                          <m:sup>
                            <m:sSub>
                              <m:sSubPr>
                                <m:ctrlPr>
                                  <w:rPr>
                                    <w:rFonts w:ascii="Cambria Math" w:hAnsi="Cambria Math"/>
                                    <w:i/>
                                  </w:rPr>
                                </m:ctrlPr>
                              </m:sSubPr>
                              <m:e>
                                <m:r>
                                  <w:rPr>
                                    <w:rFonts w:ascii="Cambria Math" w:hAnsi="Cambria Math"/>
                                  </w:rPr>
                                  <m:t>α</m:t>
                                </m:r>
                              </m:e>
                              <m:sub>
                                <m:r>
                                  <w:rPr>
                                    <w:rFonts w:ascii="Cambria Math" w:hAnsi="Cambria Math"/>
                                  </w:rPr>
                                  <m:t>1</m:t>
                                </m:r>
                              </m:sub>
                            </m:sSub>
                          </m:sup>
                        </m:sSubSup>
                      </m:e>
                    </m:nary>
                    <m:r>
                      <w:rPr>
                        <w:rFonts w:ascii="Cambria Math" w:hAnsi="Cambria Math"/>
                      </w:rPr>
                      <m:t>)</m:t>
                    </m:r>
                  </m:den>
                </m:f>
              </m:oMath>
            </m:oMathPara>
          </w:p>
        </w:tc>
      </w:tr>
      <w:tr w:rsidR="0086323A" w14:paraId="29E1C751" w14:textId="77777777" w:rsidTr="0086323A">
        <w:trPr>
          <w:trHeight w:val="744"/>
        </w:trPr>
        <w:tc>
          <w:tcPr>
            <w:tcW w:w="4699" w:type="dxa"/>
            <w:vAlign w:val="center"/>
          </w:tcPr>
          <w:p w14:paraId="6AC638EE" w14:textId="77777777" w:rsidR="0086323A" w:rsidRDefault="00000000" w:rsidP="00401CE8">
            <w:pPr>
              <w:jc w:val="center"/>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ij</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j</m:t>
                        </m:r>
                      </m:sub>
                    </m:sSub>
                  </m:den>
                </m:f>
              </m:oMath>
            </m:oMathPara>
          </w:p>
        </w:tc>
        <w:tc>
          <w:tcPr>
            <w:tcW w:w="4699" w:type="dxa"/>
            <w:vAlign w:val="center"/>
          </w:tcPr>
          <w:p w14:paraId="5183019D" w14:textId="77777777" w:rsidR="0086323A" w:rsidRDefault="00000000" w:rsidP="00401CE8">
            <w:pPr>
              <w:jc w:val="center"/>
            </w:pPr>
            <m:oMathPara>
              <m:oMath>
                <m:sSub>
                  <m:sSubPr>
                    <m:ctrlPr>
                      <w:rPr>
                        <w:rFonts w:ascii="Cambria Math" w:hAnsi="Cambria Math"/>
                        <w:i/>
                      </w:rPr>
                    </m:ctrlPr>
                  </m:sSubPr>
                  <m:e>
                    <m:r>
                      <w:rPr>
                        <w:rFonts w:ascii="Cambria Math" w:hAnsi="Cambria Math"/>
                      </w:rPr>
                      <m:t>γ</m:t>
                    </m:r>
                  </m:e>
                  <m:sub>
                    <m:r>
                      <w:rPr>
                        <w:rFonts w:ascii="Cambria Math" w:hAnsi="Cambria Math"/>
                      </w:rPr>
                      <m:t>fj</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fj</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j</m:t>
                        </m:r>
                      </m:sub>
                    </m:sSub>
                  </m:den>
                </m:f>
              </m:oMath>
            </m:oMathPara>
          </w:p>
        </w:tc>
      </w:tr>
      <w:tr w:rsidR="0086323A" w14:paraId="231C6A87" w14:textId="77777777" w:rsidTr="0086323A">
        <w:trPr>
          <w:trHeight w:val="852"/>
        </w:trPr>
        <w:tc>
          <w:tcPr>
            <w:tcW w:w="4699" w:type="dxa"/>
            <w:vAlign w:val="center"/>
          </w:tcPr>
          <w:p w14:paraId="55A83BC0" w14:textId="77777777" w:rsidR="0086323A" w:rsidRDefault="00000000" w:rsidP="00401CE8">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j</m:t>
                        </m:r>
                      </m:sub>
                    </m:sSub>
                  </m:num>
                  <m:den>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ij</m:t>
                                </m:r>
                              </m:sub>
                              <m:sup>
                                <m:sSub>
                                  <m:sSubPr>
                                    <m:ctrlPr>
                                      <w:rPr>
                                        <w:rFonts w:ascii="Cambria Math" w:hAnsi="Cambria Math"/>
                                        <w:i/>
                                      </w:rPr>
                                    </m:ctrlPr>
                                  </m:sSubPr>
                                  <m:e>
                                    <m:r>
                                      <w:rPr>
                                        <w:rFonts w:ascii="Cambria Math" w:hAnsi="Cambria Math"/>
                                      </w:rPr>
                                      <m:t>β</m:t>
                                    </m:r>
                                  </m:e>
                                  <m:sub>
                                    <m:r>
                                      <w:rPr>
                                        <w:rFonts w:ascii="Cambria Math" w:hAnsi="Cambria Math"/>
                                      </w:rPr>
                                      <m:t>ij</m:t>
                                    </m:r>
                                  </m:sub>
                                </m:sSub>
                              </m:sup>
                            </m:sSubSup>
                          </m:e>
                        </m:nary>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fj</m:t>
                                </m:r>
                              </m:sub>
                              <m:sup>
                                <m:sSub>
                                  <m:sSubPr>
                                    <m:ctrlPr>
                                      <w:rPr>
                                        <w:rFonts w:ascii="Cambria Math" w:hAnsi="Cambria Math"/>
                                        <w:i/>
                                      </w:rPr>
                                    </m:ctrlPr>
                                  </m:sSubPr>
                                  <m:e>
                                    <m:r>
                                      <w:rPr>
                                        <w:rFonts w:ascii="Cambria Math" w:hAnsi="Cambria Math"/>
                                      </w:rPr>
                                      <m:t>γ</m:t>
                                    </m:r>
                                  </m:e>
                                  <m:sub>
                                    <m:r>
                                      <w:rPr>
                                        <w:rFonts w:ascii="Cambria Math" w:hAnsi="Cambria Math"/>
                                      </w:rPr>
                                      <m:t>fj</m:t>
                                    </m:r>
                                  </m:sub>
                                </m:sSub>
                              </m:sup>
                            </m:sSubSup>
                          </m:e>
                        </m:nary>
                      </m:e>
                    </m:d>
                  </m:den>
                </m:f>
              </m:oMath>
            </m:oMathPara>
          </w:p>
        </w:tc>
        <w:tc>
          <w:tcPr>
            <w:tcW w:w="4699" w:type="dxa"/>
            <w:vAlign w:val="center"/>
          </w:tcPr>
          <w:p w14:paraId="32091FF9" w14:textId="77777777" w:rsidR="0086323A" w:rsidRDefault="00000000" w:rsidP="00401CE8">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is</m:t>
                    </m:r>
                  </m:sub>
                </m:sSub>
              </m:oMath>
            </m:oMathPara>
          </w:p>
        </w:tc>
      </w:tr>
      <w:tr w:rsidR="0086323A" w14:paraId="66BB2695" w14:textId="77777777" w:rsidTr="0086323A">
        <w:trPr>
          <w:trHeight w:val="905"/>
        </w:trPr>
        <w:tc>
          <w:tcPr>
            <w:tcW w:w="4699" w:type="dxa"/>
            <w:vAlign w:val="center"/>
          </w:tcPr>
          <w:p w14:paraId="142F7312" w14:textId="77777777" w:rsidR="0086323A" w:rsidRDefault="00000000" w:rsidP="00401CE8">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f</m:t>
                    </m:r>
                  </m:sub>
                </m:sSub>
              </m:oMath>
            </m:oMathPara>
          </w:p>
        </w:tc>
        <w:tc>
          <w:tcPr>
            <w:tcW w:w="4699" w:type="dxa"/>
            <w:vAlign w:val="center"/>
          </w:tcPr>
          <w:p w14:paraId="7B5E2B96" w14:textId="77777777" w:rsidR="0086323A" w:rsidRDefault="00000000" w:rsidP="00401CE8">
            <w:pPr>
              <w:jc w:val="center"/>
            </w:pPr>
            <m:oMathPara>
              <m:oMath>
                <m:acc>
                  <m:accPr>
                    <m:chr m:val="̅"/>
                    <m:ctrlPr>
                      <w:rPr>
                        <w:rFonts w:ascii="Cambria Math" w:hAnsi="Cambria Math"/>
                        <w:i/>
                      </w:rPr>
                    </m:ctrlPr>
                  </m:accPr>
                  <m:e>
                    <m:r>
                      <w:rPr>
                        <w:rFonts w:ascii="Cambria Math" w:hAnsi="Cambria Math"/>
                      </w:rPr>
                      <m:t>m</m:t>
                    </m:r>
                  </m:e>
                </m:acc>
                <m:r>
                  <w:rPr>
                    <w:rFonts w:ascii="Cambria Math" w:hAnsi="Cambria Math"/>
                  </w:rPr>
                  <m:t>=</m:t>
                </m:r>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f</m:t>
                        </m:r>
                      </m:sub>
                    </m:sSub>
                  </m:e>
                </m:nary>
              </m:oMath>
            </m:oMathPara>
          </w:p>
        </w:tc>
      </w:tr>
    </w:tbl>
    <w:p w14:paraId="5DD428B2" w14:textId="6415EB79" w:rsidR="0086323A" w:rsidRDefault="0086323A" w:rsidP="0086323A">
      <w:pPr>
        <w:pStyle w:val="Caption"/>
      </w:pPr>
      <w:bookmarkStart w:id="5" w:name="_Ref142746761"/>
      <w:r>
        <w:t xml:space="preserve">Equation </w:t>
      </w:r>
      <w:r>
        <w:fldChar w:fldCharType="begin"/>
      </w:r>
      <w:r>
        <w:instrText xml:space="preserve"> SEQ Equation \* ARABIC </w:instrText>
      </w:r>
      <w:r>
        <w:fldChar w:fldCharType="separate"/>
      </w:r>
      <w:r w:rsidR="00FC1132">
        <w:rPr>
          <w:noProof/>
        </w:rPr>
        <w:t>10</w:t>
      </w:r>
      <w:r>
        <w:rPr>
          <w:noProof/>
        </w:rPr>
        <w:fldChar w:fldCharType="end"/>
      </w:r>
      <w:bookmarkEnd w:id="5"/>
      <w:r>
        <w:t xml:space="preserve"> Calibration Equations</w:t>
      </w:r>
    </w:p>
    <w:p w14:paraId="2F2A18D8" w14:textId="77777777" w:rsidR="0086323A" w:rsidRDefault="0086323A" w:rsidP="0086323A">
      <w:r>
        <w:t>With the above definitions for calibration the general equilibrium equations can be reformulated as:</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387"/>
      </w:tblGrid>
      <w:tr w:rsidR="0086323A" w14:paraId="710A8351" w14:textId="77777777" w:rsidTr="00FC1132">
        <w:tc>
          <w:tcPr>
            <w:tcW w:w="3964" w:type="dxa"/>
          </w:tcPr>
          <w:p w14:paraId="24A96F6C" w14:textId="2D45C7C6" w:rsidR="0086323A" w:rsidRPr="0086323A" w:rsidRDefault="00000000" w:rsidP="0086323A">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id</m:t>
                        </m:r>
                      </m:sub>
                    </m:sSub>
                  </m:e>
                </m:nary>
              </m:oMath>
            </m:oMathPara>
          </w:p>
        </w:tc>
        <w:tc>
          <w:tcPr>
            <w:tcW w:w="5387" w:type="dxa"/>
            <w:vAlign w:val="bottom"/>
          </w:tcPr>
          <w:p w14:paraId="13244227" w14:textId="07998FD6" w:rsidR="0086323A" w:rsidRDefault="0086323A" w:rsidP="0086323A">
            <w:pPr>
              <w:pStyle w:val="Caption"/>
            </w:pPr>
            <w:bookmarkStart w:id="6" w:name="_Ref142746681"/>
            <w:r>
              <w:t xml:space="preserve">Equation </w:t>
            </w:r>
            <w:r>
              <w:fldChar w:fldCharType="begin"/>
            </w:r>
            <w:r>
              <w:instrText xml:space="preserve"> SEQ Equation \* ARABIC </w:instrText>
            </w:r>
            <w:r>
              <w:fldChar w:fldCharType="separate"/>
            </w:r>
            <w:r w:rsidR="00FC1132">
              <w:rPr>
                <w:noProof/>
              </w:rPr>
              <w:t>11</w:t>
            </w:r>
            <w:r>
              <w:rPr>
                <w:noProof/>
              </w:rPr>
              <w:fldChar w:fldCharType="end"/>
            </w:r>
            <w:bookmarkEnd w:id="6"/>
            <w:r>
              <w:t xml:space="preserve"> Benchmark Commodity Market Clearance</w:t>
            </w:r>
          </w:p>
        </w:tc>
      </w:tr>
      <w:tr w:rsidR="0086323A" w14:paraId="408EE968" w14:textId="77777777" w:rsidTr="00FC1132">
        <w:tc>
          <w:tcPr>
            <w:tcW w:w="3964" w:type="dxa"/>
          </w:tcPr>
          <w:p w14:paraId="3B5CC09F" w14:textId="1BFC94F8" w:rsidR="0086323A" w:rsidRPr="0086323A" w:rsidRDefault="00000000" w:rsidP="0086323A">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fj</m:t>
                        </m:r>
                      </m:sub>
                    </m:sSub>
                  </m:e>
                </m:nary>
              </m:oMath>
            </m:oMathPara>
          </w:p>
        </w:tc>
        <w:tc>
          <w:tcPr>
            <w:tcW w:w="5387" w:type="dxa"/>
            <w:vAlign w:val="bottom"/>
          </w:tcPr>
          <w:p w14:paraId="705679E3" w14:textId="5C0BF388" w:rsidR="0086323A" w:rsidRPr="0086323A" w:rsidRDefault="0086323A" w:rsidP="0086323A">
            <w:pPr>
              <w:pStyle w:val="Caption"/>
              <w:rPr>
                <w:i w:val="0"/>
              </w:rPr>
            </w:pPr>
            <w:r>
              <w:t xml:space="preserve">Equation </w:t>
            </w:r>
            <w:r>
              <w:fldChar w:fldCharType="begin"/>
            </w:r>
            <w:r>
              <w:instrText xml:space="preserve"> SEQ Equation \* ARABIC </w:instrText>
            </w:r>
            <w:r>
              <w:fldChar w:fldCharType="separate"/>
            </w:r>
            <w:r w:rsidR="00FC1132">
              <w:rPr>
                <w:noProof/>
              </w:rPr>
              <w:t>12</w:t>
            </w:r>
            <w:r>
              <w:rPr>
                <w:noProof/>
              </w:rPr>
              <w:fldChar w:fldCharType="end"/>
            </w:r>
            <w:r>
              <w:t xml:space="preserve"> Benchmark Factor Market Clearance</w:t>
            </w:r>
          </w:p>
        </w:tc>
      </w:tr>
      <w:tr w:rsidR="0086323A" w14:paraId="28D38BB9" w14:textId="77777777" w:rsidTr="00FC1132">
        <w:tc>
          <w:tcPr>
            <w:tcW w:w="3964" w:type="dxa"/>
          </w:tcPr>
          <w:p w14:paraId="459D2302" w14:textId="281732F7" w:rsidR="0086323A" w:rsidRPr="0086323A" w:rsidRDefault="00000000" w:rsidP="0086323A">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F</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fj</m:t>
                        </m:r>
                      </m:sub>
                    </m:sSub>
                  </m:e>
                </m:nary>
              </m:oMath>
            </m:oMathPara>
          </w:p>
        </w:tc>
        <w:tc>
          <w:tcPr>
            <w:tcW w:w="5387" w:type="dxa"/>
            <w:vAlign w:val="bottom"/>
          </w:tcPr>
          <w:p w14:paraId="3854D09B" w14:textId="4724EB70" w:rsidR="0086323A" w:rsidRDefault="0086323A" w:rsidP="0086323A">
            <w:pPr>
              <w:pStyle w:val="Caption"/>
            </w:pPr>
            <w:r>
              <w:t xml:space="preserve">Equation </w:t>
            </w:r>
            <w:r>
              <w:fldChar w:fldCharType="begin"/>
            </w:r>
            <w:r>
              <w:instrText xml:space="preserve"> SEQ Equation \* ARABIC </w:instrText>
            </w:r>
            <w:r>
              <w:fldChar w:fldCharType="separate"/>
            </w:r>
            <w:r w:rsidR="00FC1132">
              <w:rPr>
                <w:noProof/>
              </w:rPr>
              <w:t>13</w:t>
            </w:r>
            <w:r>
              <w:rPr>
                <w:noProof/>
              </w:rPr>
              <w:fldChar w:fldCharType="end"/>
            </w:r>
            <w:r>
              <w:t xml:space="preserve"> Benchmark Full Employment</w:t>
            </w:r>
          </w:p>
        </w:tc>
      </w:tr>
      <w:tr w:rsidR="0086323A" w14:paraId="5AB0FE3D" w14:textId="77777777" w:rsidTr="00FC1132">
        <w:tc>
          <w:tcPr>
            <w:tcW w:w="3964" w:type="dxa"/>
          </w:tcPr>
          <w:p w14:paraId="56A401A3" w14:textId="1E47D0D7" w:rsidR="0086323A" w:rsidRPr="0086323A" w:rsidRDefault="00000000" w:rsidP="0086323A">
            <m:oMathPara>
              <m:oMathParaPr>
                <m:jc m:val="left"/>
              </m:oMathParaPr>
              <m:oMath>
                <m:acc>
                  <m:accPr>
                    <m:chr m:val="̅"/>
                    <m:ctrlPr>
                      <w:rPr>
                        <w:rFonts w:ascii="Cambria Math" w:hAnsi="Cambria Math"/>
                        <w:i/>
                      </w:rPr>
                    </m:ctrlPr>
                  </m:accPr>
                  <m:e>
                    <m:r>
                      <w:rPr>
                        <w:rFonts w:ascii="Cambria Math" w:hAnsi="Cambria Math"/>
                      </w:rPr>
                      <m:t>m</m:t>
                    </m:r>
                  </m:e>
                </m:acc>
                <m:r>
                  <w:rPr>
                    <w:rFonts w:ascii="Cambria Math" w:hAnsi="Cambria Math"/>
                  </w:rPr>
                  <m:t>=</m:t>
                </m:r>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f</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id</m:t>
                            </m:r>
                          </m:sub>
                        </m:sSub>
                      </m:e>
                    </m:nary>
                  </m:e>
                </m:nary>
              </m:oMath>
            </m:oMathPara>
          </w:p>
        </w:tc>
        <w:tc>
          <w:tcPr>
            <w:tcW w:w="5387" w:type="dxa"/>
            <w:vAlign w:val="bottom"/>
          </w:tcPr>
          <w:p w14:paraId="6CDFA45A" w14:textId="007CA867" w:rsidR="0086323A" w:rsidRPr="0086323A" w:rsidRDefault="0086323A" w:rsidP="0086323A">
            <w:pPr>
              <w:pStyle w:val="Caption"/>
              <w:rPr>
                <w:i w:val="0"/>
              </w:rPr>
            </w:pPr>
            <w:bookmarkStart w:id="7" w:name="_Ref142746693"/>
            <w:r>
              <w:t xml:space="preserve">Equation </w:t>
            </w:r>
            <w:r>
              <w:fldChar w:fldCharType="begin"/>
            </w:r>
            <w:r>
              <w:instrText xml:space="preserve"> SEQ Equation \* ARABIC </w:instrText>
            </w:r>
            <w:r>
              <w:fldChar w:fldCharType="separate"/>
            </w:r>
            <w:r w:rsidR="00FC1132">
              <w:rPr>
                <w:noProof/>
              </w:rPr>
              <w:t>14</w:t>
            </w:r>
            <w:r>
              <w:rPr>
                <w:noProof/>
              </w:rPr>
              <w:fldChar w:fldCharType="end"/>
            </w:r>
            <w:bookmarkEnd w:id="7"/>
            <w:r>
              <w:t xml:space="preserve"> Benchmark Zero Profit</w:t>
            </w:r>
          </w:p>
        </w:tc>
      </w:tr>
    </w:tbl>
    <w:p w14:paraId="20CF2EE0" w14:textId="77777777" w:rsidR="0086323A" w:rsidRDefault="0086323A" w:rsidP="0086323A"/>
    <w:p w14:paraId="371FFB6D" w14:textId="39BB1DAD" w:rsidR="0086323A" w:rsidRDefault="0086323A" w:rsidP="0086323A">
      <w:r>
        <w:t>Rearranging</w:t>
      </w:r>
      <w:r w:rsidR="00FC1132">
        <w:t xml:space="preserve"> </w:t>
      </w:r>
      <w:r w:rsidR="00FC1132">
        <w:fldChar w:fldCharType="begin"/>
      </w:r>
      <w:r w:rsidR="00FC1132">
        <w:instrText xml:space="preserve"> REF _Ref142746681 \h </w:instrText>
      </w:r>
      <w:r w:rsidR="00FC1132">
        <w:fldChar w:fldCharType="separate"/>
      </w:r>
      <w:r w:rsidR="00FC1132">
        <w:t xml:space="preserve">Equation </w:t>
      </w:r>
      <w:r w:rsidR="00FC1132">
        <w:rPr>
          <w:noProof/>
        </w:rPr>
        <w:t>11</w:t>
      </w:r>
      <w:r w:rsidR="00FC1132">
        <w:fldChar w:fldCharType="end"/>
      </w:r>
      <w:r>
        <w:t xml:space="preserve"> to </w:t>
      </w:r>
      <w:r w:rsidR="00FC1132">
        <w:fldChar w:fldCharType="begin"/>
      </w:r>
      <w:r w:rsidR="00FC1132">
        <w:instrText xml:space="preserve"> REF _Ref142746693 \h </w:instrText>
      </w:r>
      <w:r w:rsidR="00FC1132">
        <w:fldChar w:fldCharType="separate"/>
      </w:r>
      <w:r w:rsidR="00FC1132">
        <w:t xml:space="preserve">Equation </w:t>
      </w:r>
      <w:r w:rsidR="00FC1132">
        <w:rPr>
          <w:noProof/>
        </w:rPr>
        <w:t>14</w:t>
      </w:r>
      <w:r w:rsidR="00FC1132">
        <w:fldChar w:fldCharType="end"/>
      </w:r>
      <w:r>
        <w:fldChar w:fldCharType="begin"/>
      </w:r>
      <w:r>
        <w:instrText xml:space="preserve"> REF _Ref141438941 \h  \* MERGEFORMAT </w:instrText>
      </w:r>
      <w:r w:rsidR="00000000">
        <w:fldChar w:fldCharType="separate"/>
      </w:r>
      <w:r>
        <w:fldChar w:fldCharType="end"/>
      </w:r>
      <w:r>
        <w:t xml:space="preserve"> and inserting the calibration definitions from </w:t>
      </w:r>
      <w:r w:rsidR="00FC1132">
        <w:fldChar w:fldCharType="begin"/>
      </w:r>
      <w:r w:rsidR="00FC1132">
        <w:instrText xml:space="preserve"> REF _Ref142746761 \h </w:instrText>
      </w:r>
      <w:r w:rsidR="00FC1132">
        <w:fldChar w:fldCharType="separate"/>
      </w:r>
      <w:r w:rsidR="00FC1132">
        <w:t xml:space="preserve">Equation </w:t>
      </w:r>
      <w:r w:rsidR="00FC1132">
        <w:rPr>
          <w:noProof/>
        </w:rPr>
        <w:t>10</w:t>
      </w:r>
      <w:r w:rsidR="00FC1132">
        <w:fldChar w:fldCharType="end"/>
      </w:r>
      <w:r>
        <w:fldChar w:fldCharType="begin"/>
      </w:r>
      <w:r>
        <w:instrText xml:space="preserve"> REF _Ref141439236 \h </w:instrText>
      </w:r>
      <w:r w:rsidR="00000000">
        <w:fldChar w:fldCharType="separate"/>
      </w:r>
      <w:r>
        <w:fldChar w:fldCharType="end"/>
      </w:r>
      <w:r>
        <w:t>, the following delta</w:t>
      </w:r>
      <w:r w:rsidR="00FC1132">
        <w:t>s</w:t>
      </w:r>
      <w:r>
        <w:t xml:space="preserve"> can be derived: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2925"/>
      </w:tblGrid>
      <w:tr w:rsidR="0086323A" w14:paraId="18CBD4DF" w14:textId="77777777" w:rsidTr="00FC1132">
        <w:tc>
          <w:tcPr>
            <w:tcW w:w="6091" w:type="dxa"/>
          </w:tcPr>
          <w:p w14:paraId="00A6747E" w14:textId="178DCA6B" w:rsidR="0086323A" w:rsidRPr="0086323A" w:rsidRDefault="00000000" w:rsidP="0086323A">
            <m:oMathPara>
              <m:oMathParaPr>
                <m:jc m:val="left"/>
              </m:oMathParaPr>
              <m:oMath>
                <m:sSubSup>
                  <m:sSubSupPr>
                    <m:ctrlPr>
                      <w:rPr>
                        <w:rFonts w:ascii="Cambria Math" w:hAnsi="Cambria Math"/>
                        <w:i/>
                      </w:rPr>
                    </m:ctrlPr>
                  </m:sSubSupPr>
                  <m:e>
                    <m:r>
                      <w:rPr>
                        <w:rFonts w:ascii="Cambria Math" w:hAnsi="Cambria Math"/>
                      </w:rPr>
                      <m:t>∆</m:t>
                    </m:r>
                  </m:e>
                  <m:sub>
                    <m:r>
                      <w:rPr>
                        <w:rFonts w:ascii="Cambria Math" w:hAnsi="Cambria Math"/>
                      </w:rPr>
                      <m:t>i</m:t>
                    </m:r>
                  </m:sub>
                  <m:sup>
                    <m:r>
                      <w:rPr>
                        <w:rFonts w:ascii="Cambria Math" w:hAnsi="Cambria Math"/>
                      </w:rPr>
                      <m:t>C</m:t>
                    </m:r>
                  </m:sup>
                </m:sSubSup>
                <m: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w</m:t>
                            </m:r>
                          </m:e>
                          <m:sub>
                            <m:r>
                              <w:rPr>
                                <w:rFonts w:ascii="Cambria Math" w:hAnsi="Cambria Math"/>
                              </w:rPr>
                              <m:t>f</m:t>
                            </m:r>
                          </m:sub>
                        </m:sSub>
                        <m:sSub>
                          <m:sSubPr>
                            <m:ctrlPr>
                              <w:rPr>
                                <w:rFonts w:ascii="Cambria Math" w:hAnsi="Cambria Math"/>
                                <w:i/>
                              </w:rPr>
                            </m:ctrlPr>
                          </m:sSubPr>
                          <m:e>
                            <m:r>
                              <w:rPr>
                                <w:rFonts w:ascii="Cambria Math" w:hAnsi="Cambria Math"/>
                              </w:rPr>
                              <m:t>V</m:t>
                            </m:r>
                          </m:e>
                          <m:sub>
                            <m:r>
                              <w:rPr>
                                <w:rFonts w:ascii="Cambria Math" w:hAnsi="Cambria Math"/>
                              </w:rPr>
                              <m:t>f</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2925" w:type="dxa"/>
            <w:vAlign w:val="bottom"/>
          </w:tcPr>
          <w:p w14:paraId="0CCFBE7F" w14:textId="35FF6905" w:rsidR="0086323A" w:rsidRDefault="0086323A" w:rsidP="0086323A">
            <w:pPr>
              <w:pStyle w:val="Caption"/>
            </w:pPr>
            <w:r>
              <w:t xml:space="preserve">Equation </w:t>
            </w:r>
            <w:r>
              <w:fldChar w:fldCharType="begin"/>
            </w:r>
            <w:r>
              <w:instrText xml:space="preserve"> SEQ Equation \* ARABIC </w:instrText>
            </w:r>
            <w:r>
              <w:fldChar w:fldCharType="separate"/>
            </w:r>
            <w:r w:rsidR="00FC1132">
              <w:rPr>
                <w:noProof/>
              </w:rPr>
              <w:t>15</w:t>
            </w:r>
            <w:r>
              <w:rPr>
                <w:noProof/>
              </w:rPr>
              <w:fldChar w:fldCharType="end"/>
            </w:r>
            <w:r>
              <w:t xml:space="preserve"> Delta Consumption</w:t>
            </w:r>
          </w:p>
        </w:tc>
      </w:tr>
      <w:tr w:rsidR="0086323A" w14:paraId="60A6ADF5" w14:textId="77777777" w:rsidTr="00FC1132">
        <w:tc>
          <w:tcPr>
            <w:tcW w:w="6091" w:type="dxa"/>
          </w:tcPr>
          <w:p w14:paraId="5EB23FF8" w14:textId="59EB157A" w:rsidR="0086323A" w:rsidRPr="0086323A" w:rsidRDefault="00000000" w:rsidP="0086323A">
            <w:pPr>
              <w:rPr>
                <w:i/>
              </w:rPr>
            </w:pPr>
            <m:oMathPara>
              <m:oMathParaPr>
                <m:jc m:val="left"/>
              </m:oMathParaPr>
              <m:oMath>
                <m:sSubSup>
                  <m:sSubSupPr>
                    <m:ctrlPr>
                      <w:rPr>
                        <w:rFonts w:ascii="Cambria Math" w:hAnsi="Cambria Math"/>
                        <w:i/>
                      </w:rPr>
                    </m:ctrlPr>
                  </m:sSubSupPr>
                  <m:e>
                    <m:r>
                      <w:rPr>
                        <w:rFonts w:ascii="Cambria Math" w:hAnsi="Cambria Math"/>
                      </w:rPr>
                      <m:t>∆</m:t>
                    </m:r>
                  </m:e>
                  <m:sub>
                    <m:r>
                      <w:rPr>
                        <w:rFonts w:ascii="Cambria Math" w:hAnsi="Cambria Math"/>
                      </w:rPr>
                      <m:t>f</m:t>
                    </m:r>
                  </m:sub>
                  <m:sup>
                    <m:r>
                      <w:rPr>
                        <w:rFonts w:ascii="Cambria Math" w:hAnsi="Cambria Math"/>
                      </w:rPr>
                      <m:t>F</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fj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num>
                      <m:den>
                        <m:sSub>
                          <m:sSubPr>
                            <m:ctrlPr>
                              <w:rPr>
                                <w:rFonts w:ascii="Cambria Math" w:hAnsi="Cambria Math"/>
                                <w:i/>
                              </w:rPr>
                            </m:ctrlPr>
                          </m:sSubPr>
                          <m:e>
                            <m:r>
                              <w:rPr>
                                <w:rFonts w:ascii="Cambria Math" w:hAnsi="Cambria Math"/>
                              </w:rPr>
                              <m:t>w</m:t>
                            </m:r>
                          </m:e>
                          <m:sub>
                            <m:r>
                              <w:rPr>
                                <w:rFonts w:ascii="Cambria Math" w:hAnsi="Cambria Math"/>
                              </w:rPr>
                              <m:t>f</m:t>
                            </m:r>
                          </m:sub>
                        </m:sSub>
                      </m:den>
                    </m:f>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m:oMathPara>
          </w:p>
        </w:tc>
        <w:tc>
          <w:tcPr>
            <w:tcW w:w="2925" w:type="dxa"/>
            <w:vAlign w:val="bottom"/>
          </w:tcPr>
          <w:p w14:paraId="774D0430" w14:textId="073406A3" w:rsidR="0086323A" w:rsidRDefault="0086323A" w:rsidP="0086323A">
            <w:pPr>
              <w:pStyle w:val="Caption"/>
            </w:pPr>
            <w:r>
              <w:t xml:space="preserve">Equation </w:t>
            </w:r>
            <w:r>
              <w:fldChar w:fldCharType="begin"/>
            </w:r>
            <w:r>
              <w:instrText xml:space="preserve"> SEQ Equation \* ARABIC </w:instrText>
            </w:r>
            <w:r>
              <w:fldChar w:fldCharType="separate"/>
            </w:r>
            <w:r w:rsidR="00FC1132">
              <w:rPr>
                <w:noProof/>
              </w:rPr>
              <w:t>16</w:t>
            </w:r>
            <w:r>
              <w:rPr>
                <w:noProof/>
              </w:rPr>
              <w:fldChar w:fldCharType="end"/>
            </w:r>
            <w:r>
              <w:t xml:space="preserve"> Delta Primary Factor</w:t>
            </w:r>
          </w:p>
        </w:tc>
      </w:tr>
      <w:tr w:rsidR="0086323A" w14:paraId="6BA6323D" w14:textId="77777777" w:rsidTr="00FC1132">
        <w:tc>
          <w:tcPr>
            <w:tcW w:w="6091" w:type="dxa"/>
          </w:tcPr>
          <w:p w14:paraId="756C680B" w14:textId="3309B8EE" w:rsidR="0086323A" w:rsidRPr="0086323A" w:rsidRDefault="00000000" w:rsidP="0086323A">
            <w:pPr>
              <w:rPr>
                <w:i/>
              </w:rPr>
            </w:pPr>
            <m:oMathPara>
              <m:oMathParaPr>
                <m:jc m:val="left"/>
              </m:oMathParaPr>
              <m:oMath>
                <m:sSubSup>
                  <m:sSubSupPr>
                    <m:ctrlPr>
                      <w:rPr>
                        <w:rFonts w:ascii="Cambria Math" w:hAnsi="Cambria Math"/>
                        <w:i/>
                      </w:rPr>
                    </m:ctrlPr>
                  </m:sSubSupPr>
                  <m:e>
                    <m:r>
                      <w:rPr>
                        <w:rFonts w:ascii="Cambria Math" w:hAnsi="Cambria Math"/>
                      </w:rPr>
                      <m:t>∆</m:t>
                    </m:r>
                  </m:e>
                  <m:sub>
                    <m:r>
                      <w:rPr>
                        <w:rFonts w:ascii="Cambria Math" w:hAnsi="Cambria Math"/>
                      </w:rPr>
                      <m:t>j</m:t>
                    </m:r>
                  </m:sub>
                  <m:sup>
                    <m:r>
                      <w:rPr>
                        <w:rFonts w:ascii="Cambria Math" w:hAnsi="Cambria Math"/>
                      </w:rPr>
                      <m:t>π</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β</m:t>
                                    </m:r>
                                  </m:e>
                                  <m:sub>
                                    <m:r>
                                      <w:rPr>
                                        <w:rFonts w:ascii="Cambria Math" w:hAnsi="Cambria Math"/>
                                      </w:rPr>
                                      <m:t>ij</m:t>
                                    </m:r>
                                  </m:sub>
                                </m:sSub>
                              </m:den>
                            </m:f>
                          </m:e>
                        </m:d>
                      </m:e>
                      <m:sup>
                        <m:sSub>
                          <m:sSubPr>
                            <m:ctrlPr>
                              <w:rPr>
                                <w:rFonts w:ascii="Cambria Math" w:hAnsi="Cambria Math"/>
                                <w:i/>
                              </w:rPr>
                            </m:ctrlPr>
                          </m:sSubPr>
                          <m:e>
                            <m:r>
                              <w:rPr>
                                <w:rFonts w:ascii="Cambria Math" w:hAnsi="Cambria Math"/>
                              </w:rPr>
                              <m:t>β</m:t>
                            </m:r>
                          </m:e>
                          <m:sub>
                            <m:r>
                              <w:rPr>
                                <w:rFonts w:ascii="Cambria Math" w:hAnsi="Cambria Math"/>
                              </w:rPr>
                              <m:t>ij</m:t>
                            </m:r>
                          </m:sub>
                        </m:sSub>
                      </m:sup>
                    </m:sSup>
                  </m:e>
                </m:nary>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f</m:t>
                                    </m:r>
                                  </m:sub>
                                </m:sSub>
                              </m:num>
                              <m:den>
                                <m:sSub>
                                  <m:sSubPr>
                                    <m:ctrlPr>
                                      <w:rPr>
                                        <w:rFonts w:ascii="Cambria Math" w:hAnsi="Cambria Math"/>
                                        <w:i/>
                                      </w:rPr>
                                    </m:ctrlPr>
                                  </m:sSubPr>
                                  <m:e>
                                    <m:r>
                                      <w:rPr>
                                        <w:rFonts w:ascii="Cambria Math" w:hAnsi="Cambria Math"/>
                                      </w:rPr>
                                      <m:t>γ</m:t>
                                    </m:r>
                                  </m:e>
                                  <m:sub>
                                    <m:r>
                                      <w:rPr>
                                        <w:rFonts w:ascii="Cambria Math" w:hAnsi="Cambria Math"/>
                                      </w:rPr>
                                      <m:t>fj</m:t>
                                    </m:r>
                                  </m:sub>
                                </m:sSub>
                              </m:den>
                            </m:f>
                          </m:e>
                        </m:d>
                      </m:e>
                      <m:sup>
                        <m:sSub>
                          <m:sSubPr>
                            <m:ctrlPr>
                              <w:rPr>
                                <w:rFonts w:ascii="Cambria Math" w:hAnsi="Cambria Math"/>
                                <w:i/>
                              </w:rPr>
                            </m:ctrlPr>
                          </m:sSubPr>
                          <m:e>
                            <m:r>
                              <w:rPr>
                                <w:rFonts w:ascii="Cambria Math" w:hAnsi="Cambria Math"/>
                              </w:rPr>
                              <m:t>γ</m:t>
                            </m:r>
                          </m:e>
                          <m:sub>
                            <m:r>
                              <w:rPr>
                                <w:rFonts w:ascii="Cambria Math" w:hAnsi="Cambria Math"/>
                              </w:rPr>
                              <m:t>fj</m:t>
                            </m:r>
                          </m:sub>
                        </m:sSub>
                      </m:sup>
                    </m:sSup>
                  </m:e>
                </m:nary>
              </m:oMath>
            </m:oMathPara>
          </w:p>
        </w:tc>
        <w:tc>
          <w:tcPr>
            <w:tcW w:w="2925" w:type="dxa"/>
            <w:vAlign w:val="bottom"/>
          </w:tcPr>
          <w:p w14:paraId="5AE0583E" w14:textId="773199FE" w:rsidR="0086323A" w:rsidRDefault="0086323A" w:rsidP="0086323A">
            <w:pPr>
              <w:pStyle w:val="Caption"/>
            </w:pPr>
            <w:r>
              <w:t xml:space="preserve">Equation </w:t>
            </w:r>
            <w:r>
              <w:fldChar w:fldCharType="begin"/>
            </w:r>
            <w:r>
              <w:instrText xml:space="preserve"> SEQ Equation \* ARABIC </w:instrText>
            </w:r>
            <w:r>
              <w:fldChar w:fldCharType="separate"/>
            </w:r>
            <w:r w:rsidR="00FC1132">
              <w:rPr>
                <w:noProof/>
              </w:rPr>
              <w:t>17</w:t>
            </w:r>
            <w:r>
              <w:rPr>
                <w:noProof/>
              </w:rPr>
              <w:fldChar w:fldCharType="end"/>
            </w:r>
            <w:r>
              <w:t xml:space="preserve"> Delta Profit</w:t>
            </w:r>
          </w:p>
        </w:tc>
      </w:tr>
      <w:tr w:rsidR="0086323A" w14:paraId="364CAC5E" w14:textId="77777777" w:rsidTr="00FC1132">
        <w:tc>
          <w:tcPr>
            <w:tcW w:w="6091" w:type="dxa"/>
          </w:tcPr>
          <w:p w14:paraId="61E247B1" w14:textId="45C2810B" w:rsidR="0086323A" w:rsidRPr="0086323A" w:rsidRDefault="00000000" w:rsidP="0086323A">
            <w:pPr>
              <w:rPr>
                <w:i/>
              </w:rPr>
            </w:pPr>
            <m:oMathPara>
              <m:oMathParaPr>
                <m:jc m:val="left"/>
              </m:oMathParaPr>
              <m:oMath>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w</m:t>
                        </m:r>
                      </m:e>
                      <m:sub>
                        <m:r>
                          <w:rPr>
                            <w:rFonts w:ascii="Cambria Math" w:hAnsi="Cambria Math"/>
                          </w:rPr>
                          <m:t>f</m:t>
                        </m:r>
                      </m:sub>
                    </m:sSub>
                    <m:sSub>
                      <m:sSubPr>
                        <m:ctrlPr>
                          <w:rPr>
                            <w:rFonts w:ascii="Cambria Math" w:hAnsi="Cambria Math"/>
                            <w:i/>
                          </w:rPr>
                        </m:ctrlPr>
                      </m:sSubPr>
                      <m:e>
                        <m:r>
                          <w:rPr>
                            <w:rFonts w:ascii="Cambria Math" w:hAnsi="Cambria Math"/>
                          </w:rPr>
                          <m:t>V</m:t>
                        </m:r>
                      </m:e>
                      <m:sub>
                        <m:r>
                          <w:rPr>
                            <w:rFonts w:ascii="Cambria Math" w:hAnsi="Cambria Math"/>
                          </w:rPr>
                          <m:t>f</m:t>
                        </m:r>
                      </m:sub>
                    </m:sSub>
                  </m:e>
                </m:nary>
                <m:r>
                  <w:rPr>
                    <w:rFonts w:ascii="Cambria Math" w:hAnsi="Cambria Math"/>
                  </w:rPr>
                  <m:t>-m</m:t>
                </m:r>
              </m:oMath>
            </m:oMathPara>
          </w:p>
        </w:tc>
        <w:tc>
          <w:tcPr>
            <w:tcW w:w="2925" w:type="dxa"/>
            <w:vAlign w:val="bottom"/>
          </w:tcPr>
          <w:p w14:paraId="40E5431E" w14:textId="1BDF2C0C" w:rsidR="0086323A" w:rsidRDefault="0086323A" w:rsidP="0086323A">
            <w:pPr>
              <w:pStyle w:val="Caption"/>
            </w:pPr>
            <w:r>
              <w:t xml:space="preserve">Equation </w:t>
            </w:r>
            <w:r>
              <w:fldChar w:fldCharType="begin"/>
            </w:r>
            <w:r>
              <w:instrText xml:space="preserve"> SEQ Equation \* ARABIC </w:instrText>
            </w:r>
            <w:r>
              <w:fldChar w:fldCharType="separate"/>
            </w:r>
            <w:r w:rsidR="00FC1132">
              <w:rPr>
                <w:noProof/>
              </w:rPr>
              <w:t>18</w:t>
            </w:r>
            <w:r>
              <w:rPr>
                <w:noProof/>
              </w:rPr>
              <w:fldChar w:fldCharType="end"/>
            </w:r>
            <w:r>
              <w:t xml:space="preserve"> Delta Factor Clearance</w:t>
            </w:r>
          </w:p>
        </w:tc>
      </w:tr>
    </w:tbl>
    <w:p w14:paraId="27136B40" w14:textId="77777777" w:rsidR="0086323A" w:rsidRDefault="0086323A" w:rsidP="0086323A"/>
    <w:p w14:paraId="262344A6" w14:textId="77777777" w:rsidR="0086323A" w:rsidRDefault="0086323A" w:rsidP="0086323A">
      <w:r>
        <w:t xml:space="preserve">This delta function can be combined into a single function of function: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2925"/>
      </w:tblGrid>
      <w:tr w:rsidR="0086323A" w14:paraId="4D445F0B" w14:textId="77777777" w:rsidTr="00FC1132">
        <w:tc>
          <w:tcPr>
            <w:tcW w:w="6091" w:type="dxa"/>
          </w:tcPr>
          <w:p w14:paraId="38BE47F3" w14:textId="68401B55" w:rsidR="0086323A" w:rsidRPr="0086323A" w:rsidRDefault="0086323A" w:rsidP="0086323A">
            <m:oMathPara>
              <m:oMathParaPr>
                <m:jc m:val="left"/>
              </m:oMathParaPr>
              <m:oMath>
                <m:r>
                  <m:rPr>
                    <m:sty m:val="bi"/>
                  </m:rPr>
                  <w:rPr>
                    <w:rFonts w:ascii="Cambria Math" w:hAnsi="Cambria Math"/>
                  </w:rPr>
                  <m:t>ξ</m:t>
                </m:r>
                <m:d>
                  <m:dPr>
                    <m:ctrlPr>
                      <w:rPr>
                        <w:rFonts w:ascii="Cambria Math" w:hAnsi="Cambria Math"/>
                        <w:b/>
                        <w:bCs/>
                        <w:i/>
                      </w:rPr>
                    </m:ctrlPr>
                  </m:dPr>
                  <m:e>
                    <m:r>
                      <m:rPr>
                        <m:sty m:val="bi"/>
                      </m:rPr>
                      <w:rPr>
                        <w:rFonts w:ascii="Cambria Math" w:hAnsi="Cambria Math"/>
                      </w:rPr>
                      <m:t>∙</m:t>
                    </m:r>
                  </m:e>
                </m:d>
                <m:r>
                  <m:rPr>
                    <m:sty m:val="bi"/>
                  </m:rPr>
                  <w:rPr>
                    <w:rFonts w:ascii="Cambria Math" w:hAnsi="Cambria Math"/>
                  </w:rPr>
                  <m:t>=[</m:t>
                </m:r>
                <m:sSup>
                  <m:sSupPr>
                    <m:ctrlPr>
                      <w:rPr>
                        <w:rFonts w:ascii="Cambria Math" w:hAnsi="Cambria Math"/>
                      </w:rPr>
                    </m:ctrlPr>
                  </m:sSupPr>
                  <m:e>
                    <m:r>
                      <m:rPr>
                        <m:sty m:val="p"/>
                      </m:rPr>
                      <w:rPr>
                        <w:rFonts w:ascii="Cambria Math" w:hAnsi="Cambria Math"/>
                      </w:rPr>
                      <m:t>∆</m:t>
                    </m:r>
                    <m:ctrlPr>
                      <w:rPr>
                        <w:rFonts w:ascii="Cambria Math" w:hAnsi="Cambria Math"/>
                        <w:i/>
                      </w:rPr>
                    </m:ctrlP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F</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π</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m:t>
                </m:r>
              </m:oMath>
            </m:oMathPara>
          </w:p>
        </w:tc>
        <w:tc>
          <w:tcPr>
            <w:tcW w:w="2925" w:type="dxa"/>
            <w:vAlign w:val="bottom"/>
          </w:tcPr>
          <w:p w14:paraId="76DB11BC" w14:textId="6714FA77" w:rsidR="0086323A" w:rsidRDefault="0086323A" w:rsidP="0086323A">
            <w:pPr>
              <w:pStyle w:val="Caption"/>
            </w:pPr>
            <w:bookmarkStart w:id="8" w:name="_Ref142736329"/>
            <w:r>
              <w:t xml:space="preserve">Equation </w:t>
            </w:r>
            <w:r>
              <w:fldChar w:fldCharType="begin"/>
            </w:r>
            <w:r>
              <w:instrText xml:space="preserve"> SEQ Equation \* ARABIC </w:instrText>
            </w:r>
            <w:r>
              <w:fldChar w:fldCharType="separate"/>
            </w:r>
            <w:r w:rsidR="00FC1132">
              <w:rPr>
                <w:noProof/>
              </w:rPr>
              <w:t>19</w:t>
            </w:r>
            <w:r>
              <w:rPr>
                <w:noProof/>
              </w:rPr>
              <w:fldChar w:fldCharType="end"/>
            </w:r>
            <w:bookmarkEnd w:id="8"/>
            <w:r>
              <w:t xml:space="preserve"> Delta Function</w:t>
            </w:r>
          </w:p>
        </w:tc>
      </w:tr>
    </w:tbl>
    <w:p w14:paraId="4E6EBD12" w14:textId="77777777" w:rsidR="0086323A" w:rsidRDefault="0086323A" w:rsidP="0086323A">
      <w:pPr>
        <w:rPr>
          <w:b/>
          <w:bCs/>
        </w:rPr>
      </w:pPr>
      <w:r>
        <w:t xml:space="preserve">For a given set </w:t>
      </w:r>
      <m:oMath>
        <m:r>
          <m:rPr>
            <m:sty m:val="p"/>
          </m:rP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A</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fj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 xml:space="preserve">, </m:t>
            </m:r>
            <m:acc>
              <m:accPr>
                <m:chr m:val="̅"/>
                <m:ctrlPr>
                  <w:rPr>
                    <w:rFonts w:ascii="Cambria Math" w:hAnsi="Cambria Math"/>
                    <w:i/>
                  </w:rPr>
                </m:ctrlPr>
              </m:accPr>
              <m:e>
                <m:r>
                  <w:rPr>
                    <w:rFonts w:ascii="Cambria Math" w:hAnsi="Cambria Math"/>
                  </w:rPr>
                  <m:t>m</m:t>
                </m:r>
              </m:e>
            </m:acc>
          </m:e>
        </m:d>
        <m:r>
          <w:rPr>
            <w:rFonts w:ascii="Cambria Math" w:hAnsi="Cambria Math"/>
          </w:rPr>
          <m:t xml:space="preserve"> </m:t>
        </m:r>
      </m:oMath>
      <w:r>
        <w:t xml:space="preserve">of calibration inputs a vector </w:t>
      </w:r>
      <m:oMath>
        <m:r>
          <m:rPr>
            <m:sty m:val="bi"/>
          </m:rPr>
          <w:rPr>
            <w:rFonts w:ascii="Cambria Math" w:hAnsi="Cambria Math"/>
          </w:rPr>
          <m:t>z=[p,w,y,</m:t>
        </m:r>
        <m:r>
          <w:rPr>
            <w:rFonts w:ascii="Cambria Math" w:hAnsi="Cambria Math"/>
          </w:rPr>
          <m:t>m]</m:t>
        </m:r>
      </m:oMath>
      <w:r>
        <w:t xml:space="preserve"> is in equilibrium </w:t>
      </w:r>
      <m:oMath>
        <m:r>
          <w:rPr>
            <w:rFonts w:ascii="Cambria Math" w:hAnsi="Cambria Math"/>
          </w:rPr>
          <m:t xml:space="preserve">iff </m:t>
        </m:r>
        <m:r>
          <m:rPr>
            <m:sty m:val="bi"/>
          </m:rPr>
          <w:rPr>
            <w:rFonts w:ascii="Cambria Math" w:hAnsi="Cambria Math"/>
          </w:rPr>
          <m:t>ξ</m:t>
        </m:r>
        <m:d>
          <m:dPr>
            <m:ctrlPr>
              <w:rPr>
                <w:rFonts w:ascii="Cambria Math" w:hAnsi="Cambria Math"/>
                <w:b/>
                <w:bCs/>
                <w:i/>
              </w:rPr>
            </m:ctrlPr>
          </m:dPr>
          <m:e>
            <m:r>
              <m:rPr>
                <m:sty m:val="bi"/>
              </m:rPr>
              <w:rPr>
                <w:rFonts w:ascii="Cambria Math" w:hAnsi="Cambria Math"/>
              </w:rPr>
              <m:t>z</m:t>
            </m:r>
          </m:e>
        </m:d>
        <m:r>
          <m:rPr>
            <m:sty m:val="bi"/>
          </m:rPr>
          <w:rPr>
            <w:rFonts w:ascii="Cambria Math" w:hAnsi="Cambria Math"/>
          </w:rPr>
          <m:t>=0</m:t>
        </m:r>
      </m:oMath>
    </w:p>
    <w:p w14:paraId="62E084AE" w14:textId="137061B8" w:rsidR="0086323A" w:rsidRPr="00053501" w:rsidRDefault="0086323A" w:rsidP="00053501">
      <w:r>
        <w:t xml:space="preserve">The difference of </w:t>
      </w:r>
      <m:oMath>
        <m:r>
          <m:rPr>
            <m:sty m:val="bi"/>
          </m:rPr>
          <w:rPr>
            <w:rFonts w:ascii="Cambria Math" w:hAnsi="Cambria Math"/>
          </w:rPr>
          <m:t>ξ</m:t>
        </m:r>
        <m:d>
          <m:dPr>
            <m:ctrlPr>
              <w:rPr>
                <w:rFonts w:ascii="Cambria Math" w:hAnsi="Cambria Math"/>
                <w:b/>
                <w:bCs/>
                <w:i/>
              </w:rPr>
            </m:ctrlPr>
          </m:dPr>
          <m:e>
            <m:r>
              <m:rPr>
                <m:sty m:val="bi"/>
              </m:rPr>
              <w:rPr>
                <w:rFonts w:ascii="Cambria Math" w:hAnsi="Cambria Math"/>
              </w:rPr>
              <m:t>z</m:t>
            </m:r>
          </m:e>
        </m:d>
      </m:oMath>
      <w:r>
        <w:rPr>
          <w:b/>
          <w:bCs/>
        </w:rPr>
        <w:t xml:space="preserve"> </w:t>
      </w:r>
      <w:r>
        <w:t xml:space="preserve">from </w:t>
      </w:r>
      <m:oMath>
        <m:r>
          <m:rPr>
            <m:sty m:val="bi"/>
          </m:rPr>
          <w:rPr>
            <w:rFonts w:ascii="Cambria Math" w:hAnsi="Cambria Math"/>
          </w:rPr>
          <m:t>0</m:t>
        </m:r>
      </m:oMath>
      <w:r>
        <w:rPr>
          <w:b/>
          <w:bCs/>
        </w:rPr>
        <w:t xml:space="preserve"> </w:t>
      </w:r>
      <w:r>
        <w:t xml:space="preserve">can be interrupted as the amount the vector </w:t>
      </w:r>
      <m:oMath>
        <m:r>
          <m:rPr>
            <m:sty m:val="bi"/>
          </m:rPr>
          <w:rPr>
            <w:rFonts w:ascii="Cambria Math" w:hAnsi="Cambria Math"/>
          </w:rPr>
          <m:t>z</m:t>
        </m:r>
      </m:oMath>
      <w:r>
        <w:rPr>
          <w:b/>
          <w:bCs/>
        </w:rPr>
        <w:t xml:space="preserve"> </w:t>
      </w:r>
      <w:r>
        <w:t>needs to change to move the model to equilibrium.</w:t>
      </w:r>
    </w:p>
    <w:p w14:paraId="5A1F4DF7" w14:textId="68A98376" w:rsidR="0040048F" w:rsidRPr="0040048F" w:rsidRDefault="0040048F" w:rsidP="0040048F">
      <w:pPr>
        <w:pStyle w:val="Heading3"/>
      </w:pPr>
      <w:r>
        <w:t>Model 1</w:t>
      </w:r>
    </w:p>
    <w:p w14:paraId="2902930C" w14:textId="24C8E278" w:rsidR="005B1FC1" w:rsidRDefault="001657AB" w:rsidP="001657AB">
      <w:r>
        <w:t>For the model to more computable</w:t>
      </w:r>
      <w:r w:rsidR="00B836FC">
        <w:t xml:space="preserve"> with initial modelling the </w:t>
      </w:r>
      <w:r w:rsidR="00AA238D">
        <w:t>5-sector</w:t>
      </w:r>
      <w:r w:rsidR="00B836FC">
        <w:t xml:space="preserve"> disaggregation has been used.</w:t>
      </w:r>
      <w:r>
        <w:t xml:space="preserve"> From this 2015 ONS input data was taken and a benchmark CGEM was constructed.</w:t>
      </w:r>
      <w:r w:rsidR="0040048F">
        <w:t xml:space="preserve"> This </w:t>
      </w:r>
      <w:r w:rsidR="00B836FC">
        <w:t xml:space="preserve">version of the </w:t>
      </w:r>
      <w:r w:rsidR="0040048F">
        <w:t>model assumed no savings, capital</w:t>
      </w:r>
      <w:r w:rsidR="00FE4DCF">
        <w:t>, imports, exports,</w:t>
      </w:r>
      <w:r w:rsidR="0040048F">
        <w:t xml:space="preserve"> or government involvement.  </w:t>
      </w:r>
    </w:p>
    <w:p w14:paraId="58F1F8F6" w14:textId="68E6F704" w:rsidR="00BA3ECB" w:rsidRDefault="005B1FC1" w:rsidP="001657AB">
      <w:r>
        <w:t>However</w:t>
      </w:r>
      <w:r w:rsidR="00BA3ECB">
        <w:t>,</w:t>
      </w:r>
      <w:r>
        <w:t xml:space="preserve"> </w:t>
      </w:r>
      <w:r w:rsidR="00BA3ECB">
        <w:t>t</w:t>
      </w:r>
      <w:r>
        <w:t xml:space="preserve">his is not the case in the data from ONS which are presented in current price year opposed at a unit production level. </w:t>
      </w:r>
      <w:r w:rsidR="00BA3ECB">
        <w:t xml:space="preserve">So, the outputs had to themselves calibrated to unity price and wages, which is presented in the code: </w:t>
      </w:r>
      <w:r w:rsidR="00BA3ECB" w:rsidRPr="00BA3ECB">
        <w:t>11_Model_1_Calibration.R</w:t>
      </w:r>
      <w:r w:rsidR="00BA3ECB">
        <w:t>.</w:t>
      </w:r>
    </w:p>
    <w:p w14:paraId="093E4440" w14:textId="03327E32" w:rsidR="00FE4DCF" w:rsidRPr="00BA3ECB" w:rsidRDefault="00FE4DCF" w:rsidP="001657AB">
      <w:r>
        <w:t xml:space="preserve">The ONS data provide a unit input-output for intermediate goods which could be used for the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within the model. From this a corresponding set of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γ</m:t>
            </m:r>
          </m:e>
          <m:sub>
            <m:r>
              <w:rPr>
                <w:rFonts w:ascii="Cambria Math" w:hAnsi="Cambria Math"/>
              </w:rPr>
              <m:t>ji</m:t>
            </m:r>
          </m:sub>
        </m:sSub>
      </m:oMath>
      <w:r>
        <w:t xml:space="preserve">. The model constructed its own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(technology constant) to allow each sector to create enough output to cover both intermediate goods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and final demand </w:t>
      </w:r>
      <m:oMath>
        <m:sSub>
          <m:sSubPr>
            <m:ctrlPr>
              <w:rPr>
                <w:rFonts w:ascii="Cambria Math" w:hAnsi="Cambria Math"/>
                <w:i/>
              </w:rPr>
            </m:ctrlPr>
          </m:sSubPr>
          <m:e>
            <m:r>
              <w:rPr>
                <w:rFonts w:ascii="Cambria Math" w:hAnsi="Cambria Math"/>
              </w:rPr>
              <m:t>g</m:t>
            </m:r>
          </m:e>
          <m:sub>
            <m:r>
              <w:rPr>
                <w:rFonts w:ascii="Cambria Math" w:hAnsi="Cambria Math"/>
              </w:rPr>
              <m:t>id</m:t>
            </m:r>
          </m:sub>
        </m:sSub>
      </m:oMath>
      <w:r>
        <w:t>.</w:t>
      </w:r>
    </w:p>
    <w:p w14:paraId="0640842D" w14:textId="00B8E4F6" w:rsidR="00BA3ECB" w:rsidRDefault="00BA3ECB" w:rsidP="001657AB">
      <w:r>
        <w:t xml:space="preserve">Implementing this </w:t>
      </w:r>
      <w:r w:rsidR="0096015B">
        <w:t>approach,</w:t>
      </w:r>
      <w:r>
        <w:t xml:space="preserve"> the benchmark model was able to reach general equilibrium</w:t>
      </w:r>
      <w:r w:rsidR="00FE4DCF">
        <w:t xml:space="preserve"> as within the realms of computational tolerance</w:t>
      </w:r>
      <w:r w:rsidR="0086323A">
        <w:t>, account for floating point errors</w:t>
      </w:r>
      <w:r w:rsidR="00B73B34">
        <w:t xml:space="preserve">. </w:t>
      </w:r>
    </w:p>
    <w:p w14:paraId="669CC133" w14:textId="784499A9" w:rsidR="00AA238D" w:rsidRDefault="00BA3ECB" w:rsidP="001657AB">
      <w:r>
        <w:t xml:space="preserve">This could be tested with the </w:t>
      </w:r>
      <w:r w:rsidR="0096015B">
        <w:t xml:space="preserve">delta function in </w:t>
      </w:r>
      <w:r w:rsidR="0086323A">
        <w:fldChar w:fldCharType="begin"/>
      </w:r>
      <w:r w:rsidR="0086323A">
        <w:instrText xml:space="preserve"> REF _Ref142736329 \h </w:instrText>
      </w:r>
      <w:r w:rsidR="0086323A">
        <w:fldChar w:fldCharType="separate"/>
      </w:r>
      <w:r w:rsidR="00FC1132">
        <w:t xml:space="preserve">Equation </w:t>
      </w:r>
      <w:r w:rsidR="00FC1132">
        <w:rPr>
          <w:noProof/>
        </w:rPr>
        <w:t>19</w:t>
      </w:r>
      <w:r w:rsidR="0086323A">
        <w:fldChar w:fldCharType="end"/>
      </w:r>
      <w:r w:rsidR="0086323A">
        <w:t>.</w:t>
      </w:r>
    </w:p>
    <w:p w14:paraId="559119FC" w14:textId="6273D232" w:rsidR="006E41EE" w:rsidRDefault="006E41EE" w:rsidP="006E41EE">
      <w:pPr>
        <w:pStyle w:val="Heading3"/>
      </w:pPr>
      <w:r>
        <w:t>Model 2</w:t>
      </w:r>
    </w:p>
    <w:p w14:paraId="7F70D228" w14:textId="6E61FC61" w:rsidR="00FE4DCF" w:rsidRDefault="006E41EE" w:rsidP="00BA3ECB">
      <w:r>
        <w:t xml:space="preserve">For a more complex version of the model capital will be introduced as an additional required primary factor. </w:t>
      </w:r>
      <w:r w:rsidR="00FE4DCF">
        <w:t xml:space="preserve">The construction of the </w:t>
      </w:r>
      <w:r w:rsidR="00AA238D">
        <w:t xml:space="preserve">first began again with the ONS data, with an initial endowment of fixed capital levels in 2015 and employment figures. </w:t>
      </w:r>
    </w:p>
    <w:p w14:paraId="0ED7342A" w14:textId="3CDD3CD2" w:rsidR="00AA238D" w:rsidRDefault="00AA238D" w:rsidP="00BA3ECB">
      <w:r>
        <w:t xml:space="preserve">The total output was scale to match a salary </w:t>
      </w:r>
      <w:r w:rsidR="00B73B34">
        <w:t xml:space="preserve">cost of 1 </w:t>
      </w:r>
      <w:r>
        <w:t xml:space="preserve">and capital cost of </w:t>
      </w:r>
      <w:r w:rsidR="00B73B34">
        <w:t>0.1 (to represent an economic wide interest rate of 0.1)</w:t>
      </w:r>
      <w:r>
        <w:t xml:space="preserve">. </w:t>
      </w:r>
      <w:r w:rsidR="004F1F27">
        <w:t>This model produced a set of outputs include intermediate goods required and final consumption levels for consumers which match the return on labour and capital</w:t>
      </w:r>
      <w:r w:rsidR="00B73B34">
        <w:t xml:space="preserve">, </w:t>
      </w:r>
      <m:oMath>
        <m:sSubSup>
          <m:sSubSupPr>
            <m:ctrlPr>
              <w:rPr>
                <w:rFonts w:ascii="Cambria Math" w:hAnsi="Cambria Math"/>
                <w:i/>
              </w:rPr>
            </m:ctrlPr>
          </m:sSubSupPr>
          <m:e>
            <m:r>
              <w:rPr>
                <w:rFonts w:ascii="Cambria Math" w:hAnsi="Cambria Math"/>
              </w:rPr>
              <m:t>∆</m:t>
            </m:r>
          </m:e>
          <m:sub>
            <m:r>
              <w:rPr>
                <w:rFonts w:ascii="Cambria Math" w:hAnsi="Cambria Math"/>
              </w:rPr>
              <m:t>j</m:t>
            </m:r>
          </m:sub>
          <m:sup>
            <m:r>
              <w:rPr>
                <w:rFonts w:ascii="Cambria Math" w:hAnsi="Cambria Math"/>
              </w:rPr>
              <m:t>F</m:t>
            </m:r>
          </m:sup>
        </m:sSub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=0</m:t>
        </m:r>
      </m:oMath>
      <w:r w:rsidR="00B73B34">
        <w:t xml:space="preserve">. However, as the initial input data is based on real world values, with the additionality complexity of two primary factors the model could not be engineered such that all the deltas were zero. </w:t>
      </w:r>
    </w:p>
    <w:p w14:paraId="3E3D5D62" w14:textId="7B5B9E2F" w:rsidR="00AA238D" w:rsidRDefault="00AA238D" w:rsidP="00AA238D">
      <w:pPr>
        <w:pStyle w:val="Heading3"/>
      </w:pPr>
      <w:r>
        <w:t>Model 2 Next Steps</w:t>
      </w:r>
    </w:p>
    <w:p w14:paraId="50A12954" w14:textId="1F8250A6" w:rsidR="00AA238D" w:rsidRDefault="00AA238D" w:rsidP="00AA238D">
      <w:r>
        <w:t xml:space="preserve">The next test for the model is varying the initial </w:t>
      </w:r>
      <w:r w:rsidR="00B73B34">
        <w:t xml:space="preserve">endogenous variables </w:t>
      </w:r>
      <w:r>
        <w:t xml:space="preserve">and </w:t>
      </w:r>
      <w:r w:rsidR="00B73B34">
        <w:t xml:space="preserve">so the benchmark </w:t>
      </w:r>
      <w:r>
        <w:t>model comes to an equilibrium</w:t>
      </w:r>
      <w:r w:rsidR="0086323A">
        <w:t>.</w:t>
      </w:r>
      <w:r w:rsidR="00F77C41">
        <w:t xml:space="preserve"> This requires the creation of an algorithm to search for the equilibrium point. The endogenous variables </w:t>
      </w:r>
      <w:r w:rsidR="00B73B34">
        <w:t>in</w:t>
      </w:r>
      <w:r w:rsidR="00F77C41">
        <w:t xml:space="preserve"> Model 2 that could be altered are the vectors </w:t>
      </w:r>
      <w:r w:rsidR="00F77C41">
        <w:lastRenderedPageBreak/>
        <w:t xml:space="preserve">of price </w:t>
      </w:r>
      <m:oMath>
        <m:r>
          <m:rPr>
            <m:sty m:val="bi"/>
          </m:rPr>
          <w:rPr>
            <w:rFonts w:ascii="Cambria Math" w:hAnsi="Cambria Math"/>
          </w:rPr>
          <m:t>p</m:t>
        </m:r>
      </m:oMath>
      <w:r w:rsidR="00F77C41">
        <w:t xml:space="preserve">, wages </w:t>
      </w:r>
      <m:oMath>
        <m:r>
          <m:rPr>
            <m:sty m:val="bi"/>
          </m:rPr>
          <w:rPr>
            <w:rFonts w:ascii="Cambria Math" w:hAnsi="Cambria Math"/>
          </w:rPr>
          <m:t>w</m:t>
        </m:r>
      </m:oMath>
      <w:r w:rsidR="00F77C41">
        <w:t xml:space="preserve">, and consumption </w:t>
      </w:r>
      <m:oMath>
        <m:r>
          <m:rPr>
            <m:sty m:val="bi"/>
          </m:rPr>
          <w:rPr>
            <w:rFonts w:ascii="Cambria Math" w:hAnsi="Cambria Math"/>
          </w:rPr>
          <m:t>g</m:t>
        </m:r>
      </m:oMath>
      <w:r w:rsidR="00F77C41">
        <w:t xml:space="preserve"> (consumption alters total output </w:t>
      </w:r>
      <m:oMath>
        <m:r>
          <m:rPr>
            <m:sty m:val="bi"/>
          </m:rPr>
          <w:rPr>
            <w:rFonts w:ascii="Cambria Math" w:hAnsi="Cambria Math"/>
          </w:rPr>
          <m:t>y</m:t>
        </m:r>
      </m:oMath>
      <w:r w:rsidR="00F77C41">
        <w:t xml:space="preserve">), each of which are containing 5 elements. </w:t>
      </w:r>
    </w:p>
    <w:p w14:paraId="2DFF4C58" w14:textId="388DAAB2" w:rsidR="00AA238D" w:rsidRDefault="00F77C41" w:rsidP="00BA3ECB">
      <w:r>
        <w:t xml:space="preserve">This gives 15 variables which could be scaled, and table below present the relationship between the deltas and increase in the variables. When the delta is has a subscript </w:t>
      </w:r>
      <m:oMath>
        <m:r>
          <w:rPr>
            <w:rFonts w:ascii="Cambria Math" w:hAnsi="Cambria Math"/>
          </w:rPr>
          <m:t>j</m:t>
        </m:r>
      </m:oMath>
      <w:r>
        <w:t xml:space="preserve"> this means the change of a delta for a different commodity. </w:t>
      </w:r>
    </w:p>
    <w:tbl>
      <w:tblPr>
        <w:tblStyle w:val="TableGrid"/>
        <w:tblW w:w="9064" w:type="dxa"/>
        <w:tblLook w:val="04A0" w:firstRow="1" w:lastRow="0" w:firstColumn="1" w:lastColumn="0" w:noHBand="0" w:noVBand="1"/>
      </w:tblPr>
      <w:tblGrid>
        <w:gridCol w:w="2266"/>
        <w:gridCol w:w="2266"/>
        <w:gridCol w:w="2266"/>
        <w:gridCol w:w="2266"/>
      </w:tblGrid>
      <w:tr w:rsidR="00F77C41" w14:paraId="31EA63D5" w14:textId="77777777" w:rsidTr="00F77C41">
        <w:trPr>
          <w:trHeight w:val="291"/>
        </w:trPr>
        <w:tc>
          <w:tcPr>
            <w:tcW w:w="2266" w:type="dxa"/>
          </w:tcPr>
          <w:p w14:paraId="016C4C3D" w14:textId="515AD237" w:rsidR="00F77C41" w:rsidRDefault="00F77C41" w:rsidP="00BA3ECB">
            <w:r w:rsidRPr="00F77C41">
              <w:rPr>
                <w:b/>
                <w:bCs/>
              </w:rPr>
              <w:t>Increase</w:t>
            </w:r>
            <w:r>
              <w:t xml:space="preserve"> in Variable</w:t>
            </w:r>
          </w:p>
        </w:tc>
        <w:tc>
          <w:tcPr>
            <w:tcW w:w="2266" w:type="dxa"/>
          </w:tcPr>
          <w:p w14:paraId="32B58026" w14:textId="67F5ACA7" w:rsidR="00F77C41" w:rsidRDefault="00000000" w:rsidP="00BA3ECB">
            <m:oMathPara>
              <m:oMath>
                <m:sSub>
                  <m:sSubPr>
                    <m:ctrlPr>
                      <w:rPr>
                        <w:rFonts w:ascii="Cambria Math" w:hAnsi="Cambria Math"/>
                        <w:i/>
                      </w:rPr>
                    </m:ctrlPr>
                  </m:sSubPr>
                  <m:e>
                    <m:r>
                      <w:rPr>
                        <w:rFonts w:ascii="Cambria Math" w:hAnsi="Cambria Math"/>
                      </w:rPr>
                      <m:t>p</m:t>
                    </m:r>
                  </m:e>
                  <m:sub>
                    <m:r>
                      <w:rPr>
                        <w:rFonts w:ascii="Cambria Math" w:hAnsi="Cambria Math"/>
                      </w:rPr>
                      <m:t>i</m:t>
                    </m:r>
                  </m:sub>
                </m:sSub>
              </m:oMath>
            </m:oMathPara>
          </w:p>
        </w:tc>
        <w:tc>
          <w:tcPr>
            <w:tcW w:w="2266" w:type="dxa"/>
          </w:tcPr>
          <w:p w14:paraId="7802104A" w14:textId="373014FC" w:rsidR="00F77C41" w:rsidRDefault="00000000" w:rsidP="00BA3ECB">
            <m:oMathPara>
              <m:oMath>
                <m:sSub>
                  <m:sSubPr>
                    <m:ctrlPr>
                      <w:rPr>
                        <w:rFonts w:ascii="Cambria Math" w:hAnsi="Cambria Math"/>
                        <w:i/>
                      </w:rPr>
                    </m:ctrlPr>
                  </m:sSubPr>
                  <m:e>
                    <m:r>
                      <w:rPr>
                        <w:rFonts w:ascii="Cambria Math" w:hAnsi="Cambria Math"/>
                      </w:rPr>
                      <m:t>w</m:t>
                    </m:r>
                  </m:e>
                  <m:sub>
                    <m:r>
                      <w:rPr>
                        <w:rFonts w:ascii="Cambria Math" w:hAnsi="Cambria Math"/>
                      </w:rPr>
                      <m:t>i</m:t>
                    </m:r>
                  </m:sub>
                </m:sSub>
              </m:oMath>
            </m:oMathPara>
          </w:p>
        </w:tc>
        <w:tc>
          <w:tcPr>
            <w:tcW w:w="2266" w:type="dxa"/>
          </w:tcPr>
          <w:p w14:paraId="0237CE1A" w14:textId="69614394" w:rsidR="00F77C41" w:rsidRDefault="00000000" w:rsidP="00BA3ECB">
            <m:oMathPara>
              <m:oMath>
                <m:sSub>
                  <m:sSubPr>
                    <m:ctrlPr>
                      <w:rPr>
                        <w:rFonts w:ascii="Cambria Math" w:hAnsi="Cambria Math"/>
                        <w:i/>
                      </w:rPr>
                    </m:ctrlPr>
                  </m:sSubPr>
                  <m:e>
                    <m:r>
                      <w:rPr>
                        <w:rFonts w:ascii="Cambria Math" w:hAnsi="Cambria Math"/>
                      </w:rPr>
                      <m:t>g</m:t>
                    </m:r>
                  </m:e>
                  <m:sub>
                    <m:r>
                      <w:rPr>
                        <w:rFonts w:ascii="Cambria Math" w:hAnsi="Cambria Math"/>
                      </w:rPr>
                      <m:t>i</m:t>
                    </m:r>
                  </m:sub>
                </m:sSub>
              </m:oMath>
            </m:oMathPara>
          </w:p>
        </w:tc>
      </w:tr>
      <w:tr w:rsidR="00F77C41" w14:paraId="26A77596" w14:textId="77777777" w:rsidTr="00F77C41">
        <w:trPr>
          <w:trHeight w:val="291"/>
        </w:trPr>
        <w:tc>
          <w:tcPr>
            <w:tcW w:w="2266" w:type="dxa"/>
          </w:tcPr>
          <w:p w14:paraId="0804B88D" w14:textId="7CE6F2AC" w:rsidR="00F77C41" w:rsidRDefault="00000000" w:rsidP="00BA3ECB">
            <m:oMathPara>
              <m:oMath>
                <m:sSubSup>
                  <m:sSubSupPr>
                    <m:ctrlPr>
                      <w:rPr>
                        <w:rFonts w:ascii="Cambria Math" w:hAnsi="Cambria Math"/>
                        <w:i/>
                      </w:rPr>
                    </m:ctrlPr>
                  </m:sSubSupPr>
                  <m:e>
                    <m:r>
                      <w:rPr>
                        <w:rFonts w:ascii="Cambria Math" w:hAnsi="Cambria Math"/>
                      </w:rPr>
                      <m:t>∆</m:t>
                    </m:r>
                  </m:e>
                  <m:sub>
                    <m:r>
                      <w:rPr>
                        <w:rFonts w:ascii="Cambria Math" w:hAnsi="Cambria Math"/>
                      </w:rPr>
                      <m:t>i</m:t>
                    </m:r>
                  </m:sub>
                  <m:sup>
                    <m:r>
                      <w:rPr>
                        <w:rFonts w:ascii="Cambria Math" w:hAnsi="Cambria Math"/>
                      </w:rPr>
                      <m:t>c</m:t>
                    </m:r>
                  </m:sup>
                </m:sSubSup>
              </m:oMath>
            </m:oMathPara>
          </w:p>
        </w:tc>
        <w:tc>
          <w:tcPr>
            <w:tcW w:w="2266" w:type="dxa"/>
          </w:tcPr>
          <w:p w14:paraId="3828BF5B" w14:textId="65937CB0" w:rsidR="00F77C41" w:rsidRDefault="00F77C41" w:rsidP="00BA3ECB">
            <m:oMathPara>
              <m:oMath>
                <m:r>
                  <w:rPr>
                    <w:rFonts w:ascii="Cambria Math" w:hAnsi="Cambria Math"/>
                  </w:rPr>
                  <m:t>↓</m:t>
                </m:r>
              </m:oMath>
            </m:oMathPara>
          </w:p>
        </w:tc>
        <w:tc>
          <w:tcPr>
            <w:tcW w:w="2266" w:type="dxa"/>
          </w:tcPr>
          <w:p w14:paraId="0E41E080" w14:textId="0369EF7C" w:rsidR="00F77C41" w:rsidRDefault="00F77C41" w:rsidP="00BA3ECB">
            <m:oMathPara>
              <m:oMath>
                <m:r>
                  <w:rPr>
                    <w:rFonts w:ascii="Cambria Math" w:hAnsi="Cambria Math"/>
                  </w:rPr>
                  <m:t>↑</m:t>
                </m:r>
              </m:oMath>
            </m:oMathPara>
          </w:p>
        </w:tc>
        <w:tc>
          <w:tcPr>
            <w:tcW w:w="2266" w:type="dxa"/>
          </w:tcPr>
          <w:p w14:paraId="104E4B32" w14:textId="4E890F24" w:rsidR="00F77C41" w:rsidRDefault="00F77C41" w:rsidP="00BA3ECB">
            <m:oMathPara>
              <m:oMath>
                <m:r>
                  <w:rPr>
                    <w:rFonts w:ascii="Cambria Math" w:hAnsi="Cambria Math"/>
                  </w:rPr>
                  <m:t>↓</m:t>
                </m:r>
              </m:oMath>
            </m:oMathPara>
          </w:p>
        </w:tc>
      </w:tr>
      <w:tr w:rsidR="00F77C41" w14:paraId="7CA798BD" w14:textId="77777777" w:rsidTr="00F77C41">
        <w:trPr>
          <w:trHeight w:val="291"/>
        </w:trPr>
        <w:tc>
          <w:tcPr>
            <w:tcW w:w="2266" w:type="dxa"/>
          </w:tcPr>
          <w:p w14:paraId="0156CCB8" w14:textId="49591424" w:rsidR="00F77C41" w:rsidRDefault="00000000" w:rsidP="00BA3ECB">
            <m:oMathPara>
              <m:oMath>
                <m:sSubSup>
                  <m:sSubSupPr>
                    <m:ctrlPr>
                      <w:rPr>
                        <w:rFonts w:ascii="Cambria Math" w:hAnsi="Cambria Math"/>
                        <w:i/>
                      </w:rPr>
                    </m:ctrlPr>
                  </m:sSubSupPr>
                  <m:e>
                    <m:r>
                      <w:rPr>
                        <w:rFonts w:ascii="Cambria Math" w:hAnsi="Cambria Math"/>
                      </w:rPr>
                      <m:t>∆</m:t>
                    </m:r>
                  </m:e>
                  <m:sub>
                    <m:r>
                      <w:rPr>
                        <w:rFonts w:ascii="Cambria Math" w:hAnsi="Cambria Math"/>
                      </w:rPr>
                      <m:t>j</m:t>
                    </m:r>
                  </m:sub>
                  <m:sup>
                    <m:r>
                      <w:rPr>
                        <w:rFonts w:ascii="Cambria Math" w:hAnsi="Cambria Math"/>
                      </w:rPr>
                      <m:t>c</m:t>
                    </m:r>
                  </m:sup>
                </m:sSubSup>
              </m:oMath>
            </m:oMathPara>
          </w:p>
        </w:tc>
        <w:tc>
          <w:tcPr>
            <w:tcW w:w="2266" w:type="dxa"/>
          </w:tcPr>
          <w:p w14:paraId="79F85E6C" w14:textId="3E44995D" w:rsidR="00F77C41" w:rsidRDefault="00F77C41" w:rsidP="00BA3ECB">
            <m:oMathPara>
              <m:oMath>
                <m:r>
                  <w:rPr>
                    <w:rFonts w:ascii="Cambria Math" w:hAnsi="Cambria Math"/>
                  </w:rPr>
                  <m:t>↑</m:t>
                </m:r>
              </m:oMath>
            </m:oMathPara>
          </w:p>
        </w:tc>
        <w:tc>
          <w:tcPr>
            <w:tcW w:w="2266" w:type="dxa"/>
          </w:tcPr>
          <w:p w14:paraId="484B3C30" w14:textId="12150BDE" w:rsidR="00F77C41" w:rsidRDefault="00F77C41" w:rsidP="00BA3ECB">
            <m:oMathPara>
              <m:oMath>
                <m:r>
                  <w:rPr>
                    <w:rFonts w:ascii="Cambria Math" w:hAnsi="Cambria Math"/>
                  </w:rPr>
                  <m:t>↑</m:t>
                </m:r>
              </m:oMath>
            </m:oMathPara>
          </w:p>
        </w:tc>
        <w:tc>
          <w:tcPr>
            <w:tcW w:w="2266" w:type="dxa"/>
          </w:tcPr>
          <w:p w14:paraId="0950D27C" w14:textId="084C3CDF" w:rsidR="00F77C41" w:rsidRDefault="00F77C41" w:rsidP="00BA3ECB">
            <m:oMathPara>
              <m:oMath>
                <m:r>
                  <w:rPr>
                    <w:rFonts w:ascii="Cambria Math" w:hAnsi="Cambria Math"/>
                  </w:rPr>
                  <m:t>↑</m:t>
                </m:r>
              </m:oMath>
            </m:oMathPara>
          </w:p>
        </w:tc>
      </w:tr>
      <w:tr w:rsidR="00F77C41" w14:paraId="6DA1047F" w14:textId="77777777" w:rsidTr="00F77C41">
        <w:trPr>
          <w:trHeight w:val="291"/>
        </w:trPr>
        <w:tc>
          <w:tcPr>
            <w:tcW w:w="2266" w:type="dxa"/>
          </w:tcPr>
          <w:p w14:paraId="449B859E" w14:textId="312D72C1" w:rsidR="00F77C41" w:rsidRDefault="00000000" w:rsidP="00BA3ECB">
            <m:oMathPara>
              <m:oMath>
                <m:sSubSup>
                  <m:sSubSupPr>
                    <m:ctrlPr>
                      <w:rPr>
                        <w:rFonts w:ascii="Cambria Math" w:hAnsi="Cambria Math"/>
                        <w:i/>
                      </w:rPr>
                    </m:ctrlPr>
                  </m:sSubSupPr>
                  <m:e>
                    <m:r>
                      <w:rPr>
                        <w:rFonts w:ascii="Cambria Math" w:hAnsi="Cambria Math"/>
                      </w:rPr>
                      <m:t>∆</m:t>
                    </m:r>
                  </m:e>
                  <m:sub>
                    <m:r>
                      <w:rPr>
                        <w:rFonts w:ascii="Cambria Math" w:hAnsi="Cambria Math"/>
                      </w:rPr>
                      <m:t>i</m:t>
                    </m:r>
                  </m:sub>
                  <m:sup>
                    <m:r>
                      <w:rPr>
                        <w:rFonts w:ascii="Cambria Math" w:hAnsi="Cambria Math"/>
                      </w:rPr>
                      <m:t>F</m:t>
                    </m:r>
                  </m:sup>
                </m:sSubSup>
              </m:oMath>
            </m:oMathPara>
          </w:p>
        </w:tc>
        <w:tc>
          <w:tcPr>
            <w:tcW w:w="2266" w:type="dxa"/>
          </w:tcPr>
          <w:p w14:paraId="1D61DB16" w14:textId="68BC552E" w:rsidR="00F77C41" w:rsidRDefault="00F77C41" w:rsidP="00BA3ECB">
            <m:oMathPara>
              <m:oMath>
                <m:r>
                  <w:rPr>
                    <w:rFonts w:ascii="Cambria Math" w:hAnsi="Cambria Math"/>
                  </w:rPr>
                  <m:t>↑</m:t>
                </m:r>
              </m:oMath>
            </m:oMathPara>
          </w:p>
        </w:tc>
        <w:tc>
          <w:tcPr>
            <w:tcW w:w="2266" w:type="dxa"/>
          </w:tcPr>
          <w:p w14:paraId="4E1EA8EB" w14:textId="701F3762" w:rsidR="00F77C41" w:rsidRDefault="00F77C41" w:rsidP="00BA3ECB">
            <m:oMathPara>
              <m:oMath>
                <m:r>
                  <w:rPr>
                    <w:rFonts w:ascii="Cambria Math" w:hAnsi="Cambria Math"/>
                  </w:rPr>
                  <m:t>↓</m:t>
                </m:r>
              </m:oMath>
            </m:oMathPara>
          </w:p>
        </w:tc>
        <w:tc>
          <w:tcPr>
            <w:tcW w:w="2266" w:type="dxa"/>
          </w:tcPr>
          <w:p w14:paraId="0943159E" w14:textId="6FC7EE02" w:rsidR="00F77C41" w:rsidRDefault="00F77C41" w:rsidP="00BA3ECB">
            <m:oMathPara>
              <m:oMath>
                <m:r>
                  <w:rPr>
                    <w:rFonts w:ascii="Cambria Math" w:hAnsi="Cambria Math"/>
                  </w:rPr>
                  <m:t>↑</m:t>
                </m:r>
              </m:oMath>
            </m:oMathPara>
          </w:p>
        </w:tc>
      </w:tr>
      <w:tr w:rsidR="00F77C41" w14:paraId="2EE86F1F" w14:textId="77777777" w:rsidTr="00F77C41">
        <w:trPr>
          <w:trHeight w:val="291"/>
        </w:trPr>
        <w:tc>
          <w:tcPr>
            <w:tcW w:w="2266" w:type="dxa"/>
          </w:tcPr>
          <w:p w14:paraId="1EE44A52" w14:textId="3D15F0AC" w:rsidR="00F77C41" w:rsidRDefault="00000000" w:rsidP="00BA3ECB">
            <m:oMathPara>
              <m:oMath>
                <m:sSubSup>
                  <m:sSubSupPr>
                    <m:ctrlPr>
                      <w:rPr>
                        <w:rFonts w:ascii="Cambria Math" w:hAnsi="Cambria Math"/>
                        <w:i/>
                      </w:rPr>
                    </m:ctrlPr>
                  </m:sSubSupPr>
                  <m:e>
                    <m:r>
                      <w:rPr>
                        <w:rFonts w:ascii="Cambria Math" w:hAnsi="Cambria Math"/>
                      </w:rPr>
                      <m:t>∆</m:t>
                    </m:r>
                  </m:e>
                  <m:sub>
                    <m:r>
                      <w:rPr>
                        <w:rFonts w:ascii="Cambria Math" w:hAnsi="Cambria Math"/>
                      </w:rPr>
                      <m:t>i</m:t>
                    </m:r>
                  </m:sub>
                  <m:sup>
                    <m:r>
                      <w:rPr>
                        <w:rFonts w:ascii="Cambria Math" w:hAnsi="Cambria Math"/>
                      </w:rPr>
                      <m:t>π</m:t>
                    </m:r>
                  </m:sup>
                </m:sSubSup>
              </m:oMath>
            </m:oMathPara>
          </w:p>
        </w:tc>
        <w:tc>
          <w:tcPr>
            <w:tcW w:w="2266" w:type="dxa"/>
          </w:tcPr>
          <w:p w14:paraId="3703FF7C" w14:textId="1C1CC218" w:rsidR="00F77C41" w:rsidRDefault="00F77C41" w:rsidP="00BA3ECB">
            <m:oMathPara>
              <m:oMath>
                <m:r>
                  <w:rPr>
                    <w:rFonts w:ascii="Cambria Math" w:hAnsi="Cambria Math"/>
                  </w:rPr>
                  <m:t>↑</m:t>
                </m:r>
              </m:oMath>
            </m:oMathPara>
          </w:p>
        </w:tc>
        <w:tc>
          <w:tcPr>
            <w:tcW w:w="2266" w:type="dxa"/>
          </w:tcPr>
          <w:p w14:paraId="2F6D0DC4" w14:textId="789CA448" w:rsidR="00F77C41" w:rsidRDefault="00F77C41" w:rsidP="00BA3ECB">
            <m:oMathPara>
              <m:oMath>
                <m:r>
                  <w:rPr>
                    <w:rFonts w:ascii="Cambria Math" w:hAnsi="Cambria Math"/>
                  </w:rPr>
                  <m:t>↓</m:t>
                </m:r>
              </m:oMath>
            </m:oMathPara>
          </w:p>
        </w:tc>
        <w:tc>
          <w:tcPr>
            <w:tcW w:w="2266" w:type="dxa"/>
          </w:tcPr>
          <w:p w14:paraId="05B5EA41" w14:textId="778A98E5" w:rsidR="00F77C41" w:rsidRDefault="00F77C41" w:rsidP="00BA3ECB">
            <m:oMathPara>
              <m:oMath>
                <m:r>
                  <w:rPr>
                    <w:rFonts w:ascii="Cambria Math" w:hAnsi="Cambria Math"/>
                  </w:rPr>
                  <m:t>=</m:t>
                </m:r>
              </m:oMath>
            </m:oMathPara>
          </w:p>
        </w:tc>
      </w:tr>
      <w:tr w:rsidR="00F77C41" w14:paraId="0FAFD9B6" w14:textId="77777777" w:rsidTr="00F77C41">
        <w:trPr>
          <w:trHeight w:val="291"/>
        </w:trPr>
        <w:tc>
          <w:tcPr>
            <w:tcW w:w="2266" w:type="dxa"/>
          </w:tcPr>
          <w:p w14:paraId="12898B42" w14:textId="1DF4C4B3" w:rsidR="00F77C41" w:rsidRDefault="00000000" w:rsidP="00BA3ECB">
            <m:oMathPara>
              <m:oMath>
                <m:sSubSup>
                  <m:sSubSupPr>
                    <m:ctrlPr>
                      <w:rPr>
                        <w:rFonts w:ascii="Cambria Math" w:hAnsi="Cambria Math"/>
                        <w:i/>
                      </w:rPr>
                    </m:ctrlPr>
                  </m:sSubSupPr>
                  <m:e>
                    <m:r>
                      <w:rPr>
                        <w:rFonts w:ascii="Cambria Math" w:hAnsi="Cambria Math"/>
                      </w:rPr>
                      <m:t>∆</m:t>
                    </m:r>
                  </m:e>
                  <m:sub>
                    <m:r>
                      <w:rPr>
                        <w:rFonts w:ascii="Cambria Math" w:hAnsi="Cambria Math"/>
                      </w:rPr>
                      <m:t>j</m:t>
                    </m:r>
                  </m:sub>
                  <m:sup>
                    <m:r>
                      <w:rPr>
                        <w:rFonts w:ascii="Cambria Math" w:hAnsi="Cambria Math"/>
                      </w:rPr>
                      <m:t>π</m:t>
                    </m:r>
                  </m:sup>
                </m:sSubSup>
              </m:oMath>
            </m:oMathPara>
          </w:p>
        </w:tc>
        <w:tc>
          <w:tcPr>
            <w:tcW w:w="2266" w:type="dxa"/>
          </w:tcPr>
          <w:p w14:paraId="41B02D4E" w14:textId="66FC1785" w:rsidR="00F77C41" w:rsidRDefault="00F77C41" w:rsidP="00BA3ECB">
            <m:oMathPara>
              <m:oMath>
                <m:r>
                  <w:rPr>
                    <w:rFonts w:ascii="Cambria Math" w:hAnsi="Cambria Math"/>
                  </w:rPr>
                  <m:t>↓</m:t>
                </m:r>
              </m:oMath>
            </m:oMathPara>
          </w:p>
        </w:tc>
        <w:tc>
          <w:tcPr>
            <w:tcW w:w="2266" w:type="dxa"/>
          </w:tcPr>
          <w:p w14:paraId="1EC6EA5F" w14:textId="58E66A17" w:rsidR="00F77C41" w:rsidRDefault="00F77C41" w:rsidP="00BA3ECB">
            <m:oMathPara>
              <m:oMath>
                <m:r>
                  <w:rPr>
                    <w:rFonts w:ascii="Cambria Math" w:hAnsi="Cambria Math"/>
                  </w:rPr>
                  <m:t>=</m:t>
                </m:r>
              </m:oMath>
            </m:oMathPara>
          </w:p>
        </w:tc>
        <w:tc>
          <w:tcPr>
            <w:tcW w:w="2266" w:type="dxa"/>
          </w:tcPr>
          <w:p w14:paraId="5019FA9B" w14:textId="1A9CA78A" w:rsidR="00F77C41" w:rsidRDefault="00F77C41" w:rsidP="00BA3ECB">
            <m:oMathPara>
              <m:oMath>
                <m:r>
                  <w:rPr>
                    <w:rFonts w:ascii="Cambria Math" w:hAnsi="Cambria Math"/>
                  </w:rPr>
                  <m:t>=</m:t>
                </m:r>
              </m:oMath>
            </m:oMathPara>
          </w:p>
        </w:tc>
      </w:tr>
      <w:tr w:rsidR="00F77C41" w14:paraId="0E103434" w14:textId="77777777" w:rsidTr="00F77C41">
        <w:trPr>
          <w:trHeight w:val="291"/>
        </w:trPr>
        <w:tc>
          <w:tcPr>
            <w:tcW w:w="2266" w:type="dxa"/>
          </w:tcPr>
          <w:p w14:paraId="31C24B75" w14:textId="238FFBE1" w:rsidR="00F77C41" w:rsidRDefault="00000000" w:rsidP="00BA3ECB">
            <m:oMathPara>
              <m:oMath>
                <m:sSup>
                  <m:sSupPr>
                    <m:ctrlPr>
                      <w:rPr>
                        <w:rFonts w:ascii="Cambria Math" w:hAnsi="Cambria Math"/>
                        <w:i/>
                      </w:rPr>
                    </m:ctrlPr>
                  </m:sSupPr>
                  <m:e>
                    <m:r>
                      <w:rPr>
                        <w:rFonts w:ascii="Cambria Math" w:hAnsi="Cambria Math"/>
                      </w:rPr>
                      <m:t>∆</m:t>
                    </m:r>
                  </m:e>
                  <m:sup>
                    <m:r>
                      <w:rPr>
                        <w:rFonts w:ascii="Cambria Math" w:hAnsi="Cambria Math"/>
                      </w:rPr>
                      <m:t>m</m:t>
                    </m:r>
                  </m:sup>
                </m:sSup>
              </m:oMath>
            </m:oMathPara>
          </w:p>
        </w:tc>
        <w:tc>
          <w:tcPr>
            <w:tcW w:w="2266" w:type="dxa"/>
          </w:tcPr>
          <w:p w14:paraId="05D59C1A" w14:textId="72B2E858" w:rsidR="00F77C41" w:rsidRDefault="00F77C41" w:rsidP="00BA3ECB">
            <m:oMathPara>
              <m:oMath>
                <m:r>
                  <w:rPr>
                    <w:rFonts w:ascii="Cambria Math" w:hAnsi="Cambria Math"/>
                  </w:rPr>
                  <m:t>=</m:t>
                </m:r>
              </m:oMath>
            </m:oMathPara>
          </w:p>
        </w:tc>
        <w:tc>
          <w:tcPr>
            <w:tcW w:w="2266" w:type="dxa"/>
          </w:tcPr>
          <w:p w14:paraId="6ED247B1" w14:textId="01DCA255" w:rsidR="00F77C41" w:rsidRDefault="00F77C41" w:rsidP="00BA3ECB">
            <m:oMathPara>
              <m:oMath>
                <m:r>
                  <w:rPr>
                    <w:rFonts w:ascii="Cambria Math" w:hAnsi="Cambria Math"/>
                  </w:rPr>
                  <m:t>↑</m:t>
                </m:r>
              </m:oMath>
            </m:oMathPara>
          </w:p>
        </w:tc>
        <w:tc>
          <w:tcPr>
            <w:tcW w:w="2266" w:type="dxa"/>
          </w:tcPr>
          <w:p w14:paraId="14153EA0" w14:textId="743BFAD6" w:rsidR="00F77C41" w:rsidRDefault="00F77C41" w:rsidP="00BA3ECB">
            <m:oMathPara>
              <m:oMath>
                <m:r>
                  <w:rPr>
                    <w:rFonts w:ascii="Cambria Math" w:hAnsi="Cambria Math"/>
                  </w:rPr>
                  <m:t>↓</m:t>
                </m:r>
              </m:oMath>
            </m:oMathPara>
          </w:p>
        </w:tc>
      </w:tr>
    </w:tbl>
    <w:p w14:paraId="5487A1E4" w14:textId="250D679D" w:rsidR="00F632FB" w:rsidRDefault="00F632FB" w:rsidP="00F632FB">
      <w:r>
        <w:t xml:space="preserve">The literature recommends an approach </w:t>
      </w:r>
      <w:proofErr w:type="gramStart"/>
      <w:r>
        <w:t>similar to</w:t>
      </w:r>
      <w:proofErr w:type="gramEnd"/>
      <w:r>
        <w:t xml:space="preserve"> a Newton-type steepest-descent optimization algorithm </w:t>
      </w:r>
      <w:sdt>
        <w:sdtPr>
          <w:id w:val="1778287865"/>
          <w:citation/>
        </w:sdtPr>
        <w:sdtContent>
          <w:r>
            <w:fldChar w:fldCharType="begin"/>
          </w:r>
          <w:r>
            <w:instrText xml:space="preserve"> CITATION Keh91 \l 2057 </w:instrText>
          </w:r>
          <w:r>
            <w:fldChar w:fldCharType="separate"/>
          </w:r>
          <w:r w:rsidRPr="00F632FB">
            <w:rPr>
              <w:noProof/>
            </w:rPr>
            <w:t>(Kehoe, 1991)</w:t>
          </w:r>
          <w:r>
            <w:fldChar w:fldCharType="end"/>
          </w:r>
        </w:sdtContent>
      </w:sdt>
      <w:r w:rsidR="00773C92">
        <w:t xml:space="preserve">. An attempt to construct </w:t>
      </w:r>
      <w:proofErr w:type="gramStart"/>
      <w:r w:rsidR="00773C92">
        <w:t>a</w:t>
      </w:r>
      <w:proofErr w:type="gramEnd"/>
      <w:r w:rsidR="00773C92">
        <w:t xml:space="preserve"> algorithm to find the equilibrium can be found in the R code: </w:t>
      </w:r>
      <w:r w:rsidR="00773C92" w:rsidRPr="00773C92">
        <w:t>Model_2_Calibration.R</w:t>
      </w:r>
      <w:r w:rsidR="00773C92">
        <w:t>. However, this was unsuccessful.</w:t>
      </w:r>
    </w:p>
    <w:p w14:paraId="083BFF4E" w14:textId="6921B588" w:rsidR="00712120" w:rsidRDefault="00712120" w:rsidP="00712120">
      <w:pPr>
        <w:pStyle w:val="Heading2"/>
      </w:pPr>
      <w:r>
        <w:t xml:space="preserve">Modelling Weaknesses </w:t>
      </w:r>
    </w:p>
    <w:p w14:paraId="61ABCC95" w14:textId="2401D8EE" w:rsidR="00F77C41" w:rsidRPr="00F77C41" w:rsidRDefault="00F77C41" w:rsidP="00F77C41">
      <w:r>
        <w:t xml:space="preserve">Although the CGEM can investigate the opportunity costs of the intervention better than the previous approaches by showing which industries are impacted by incentivising the Automotive sector it does have some weaknesses. This section of the paper will discuss them and give some potential solutions where investigated. </w:t>
      </w:r>
    </w:p>
    <w:p w14:paraId="31B4F9E4" w14:textId="050266D6" w:rsidR="00F77C41" w:rsidRDefault="00F77C41" w:rsidP="00F77C41">
      <w:pPr>
        <w:pStyle w:val="Heading3"/>
      </w:pPr>
      <w:r>
        <w:t>Benchmark Approach</w:t>
      </w:r>
    </w:p>
    <w:p w14:paraId="3CFCF22C" w14:textId="77777777" w:rsidR="00773C92" w:rsidRDefault="00773C92" w:rsidP="00773C92">
      <w:pPr>
        <w:pStyle w:val="Heading4"/>
      </w:pPr>
      <w:r>
        <w:t>Unity Prices and Wages</w:t>
      </w:r>
    </w:p>
    <w:p w14:paraId="431897E0" w14:textId="1CDE7A3D" w:rsidR="00A35524" w:rsidRDefault="00773C92" w:rsidP="00290BED">
      <w:r>
        <w:t xml:space="preserve">The methodology reviewed in the documentation readily used in DBT (ex-DIT) assumes in the </w:t>
      </w:r>
      <w:r w:rsidR="00A35524">
        <w:t>benchmark</w:t>
      </w:r>
      <w:r>
        <w:t xml:space="preserve"> year prices and wages are set to 1. This enables the algebra </w:t>
      </w:r>
      <w:r w:rsidR="00A35524">
        <w:t>to construct future years relative to the first year. However, this assumption negates the main benefit that a model would be trying to predict. Therefore, an attempt to construct a version that assumes wages which are not equal to 1 was created. The code can be found in</w:t>
      </w:r>
      <w:r w:rsidR="00290BED">
        <w:t xml:space="preserve"> </w:t>
      </w:r>
      <w:r w:rsidR="00290BED" w:rsidRPr="00290BED">
        <w:t>00_Main_Model_v</w:t>
      </w:r>
      <w:proofErr w:type="gramStart"/>
      <w:r w:rsidR="00290BED" w:rsidRPr="00290BED">
        <w:t>1.R</w:t>
      </w:r>
      <w:proofErr w:type="gramEnd"/>
      <w:r w:rsidR="00290BED">
        <w:rPr>
          <w:rStyle w:val="FootnoteReference"/>
        </w:rPr>
        <w:footnoteReference w:id="5"/>
      </w:r>
      <w:r w:rsidR="00290BED">
        <w:t xml:space="preserve">. Code to find the equilibrium point was not produced for this version. </w:t>
      </w:r>
    </w:p>
    <w:p w14:paraId="275F3DFF" w14:textId="646A6881" w:rsidR="00F632FB" w:rsidRDefault="00F632FB" w:rsidP="00F632FB">
      <w:pPr>
        <w:pStyle w:val="Heading4"/>
      </w:pPr>
      <w:r>
        <w:t>Multiplicity of Equilibrium</w:t>
      </w:r>
    </w:p>
    <w:p w14:paraId="57DE093C" w14:textId="283899CD" w:rsidR="00F632FB" w:rsidRDefault="00F632FB" w:rsidP="00F632FB">
      <w:r>
        <w:t xml:space="preserve">It is </w:t>
      </w:r>
      <w:r w:rsidR="00601044">
        <w:t xml:space="preserve">extremely difficult to proof analytically that a given </w:t>
      </w:r>
      <w:r>
        <w:t>equilibrium solution</w:t>
      </w:r>
      <w:r w:rsidR="00601044">
        <w:t xml:space="preserve"> is unique</w:t>
      </w:r>
      <w:r>
        <w:t xml:space="preserve"> in real world models, especial when there is the inclusion of taxes distortion</w:t>
      </w:r>
      <w:r w:rsidR="00601044">
        <w:t xml:space="preserve">. There have been examples testing for multiplicity of equilibria in real-world CGE models. However, the complexity of doing so would means there are uncommon. </w:t>
      </w:r>
      <w:sdt>
        <w:sdtPr>
          <w:id w:val="-927273720"/>
          <w:citation/>
        </w:sdtPr>
        <w:sdtContent>
          <w:r w:rsidR="00601044">
            <w:fldChar w:fldCharType="begin"/>
          </w:r>
          <w:r w:rsidR="00601044">
            <w:instrText xml:space="preserve"> CITATION Ian04 \l 2057 </w:instrText>
          </w:r>
          <w:r w:rsidR="00601044">
            <w:fldChar w:fldCharType="separate"/>
          </w:r>
          <w:r w:rsidR="00601044" w:rsidRPr="00601044">
            <w:rPr>
              <w:noProof/>
            </w:rPr>
            <w:t>(Wing, 2004)</w:t>
          </w:r>
          <w:r w:rsidR="00601044">
            <w:fldChar w:fldCharType="end"/>
          </w:r>
        </w:sdtContent>
      </w:sdt>
      <w:r w:rsidR="00601044">
        <w:t xml:space="preserve">. </w:t>
      </w:r>
    </w:p>
    <w:p w14:paraId="18888E33" w14:textId="0C9E2F5D" w:rsidR="00601044" w:rsidRDefault="00601044" w:rsidP="00F632FB">
      <w:r>
        <w:t xml:space="preserve">This does provide a doubt on the solution and subsequential policy advice provided by any CGE modelling. </w:t>
      </w:r>
    </w:p>
    <w:p w14:paraId="1475D057" w14:textId="4EAC1DC9" w:rsidR="00F77C41" w:rsidRPr="00F77C41" w:rsidRDefault="00F77C41" w:rsidP="00F77C41">
      <w:pPr>
        <w:pStyle w:val="Heading4"/>
      </w:pPr>
      <w:r>
        <w:t>Production</w:t>
      </w:r>
    </w:p>
    <w:p w14:paraId="441FA498" w14:textId="59DB7730" w:rsidR="00F77C41" w:rsidRDefault="00F77C41" w:rsidP="00F77C41">
      <w:r>
        <w:t xml:space="preserve">The methodology presented by </w:t>
      </w:r>
      <w:sdt>
        <w:sdtPr>
          <w:id w:val="-1411004318"/>
          <w:citation/>
        </w:sdtPr>
        <w:sdtContent>
          <w:r>
            <w:fldChar w:fldCharType="begin"/>
          </w:r>
          <w:r>
            <w:instrText xml:space="preserve"> CITATION Ian04 \l 2057 </w:instrText>
          </w:r>
          <w:r>
            <w:fldChar w:fldCharType="separate"/>
          </w:r>
          <w:r w:rsidRPr="00F77C41">
            <w:rPr>
              <w:noProof/>
            </w:rPr>
            <w:t>(Wing, 2004)</w:t>
          </w:r>
          <w:r>
            <w:fldChar w:fldCharType="end"/>
          </w:r>
        </w:sdtContent>
      </w:sdt>
      <w:r>
        <w:t xml:space="preserve"> and used in the modelling above calculates the CD coefficients for production from a single year of data. Depending on the sensitivity of the results to these coefficients this may lend to misleading results. A potential solution to this is approximate the CD from many years of data.  </w:t>
      </w:r>
    </w:p>
    <w:p w14:paraId="64438859" w14:textId="77777777" w:rsidR="00F77C41" w:rsidRPr="00622464" w:rsidRDefault="00F77C41" w:rsidP="00F77C41">
      <w:r>
        <w:lastRenderedPageBreak/>
        <w:t>The three factor Cobb-Douglas is given as:</w:t>
      </w:r>
    </w:p>
    <w:p w14:paraId="0DD2BACB" w14:textId="77777777" w:rsidR="00F77C41" w:rsidRPr="005F37BD" w:rsidRDefault="00F77C41" w:rsidP="00F77C41">
      <w:pPr>
        <w:rPr>
          <w:rFonts w:eastAsiaTheme="minorEastAsia"/>
        </w:rPr>
      </w:pPr>
      <m:oMathPara>
        <m:oMath>
          <m:r>
            <w:rPr>
              <w:rFonts w:ascii="Cambria Math" w:hAnsi="Cambria Math"/>
            </w:rPr>
            <m:t>Q=A</m:t>
          </m:r>
          <m:sSup>
            <m:sSupPr>
              <m:ctrlPr>
                <w:rPr>
                  <w:rFonts w:ascii="Cambria Math" w:hAnsi="Cambria Math"/>
                  <w:i/>
                </w:rPr>
              </m:ctrlPr>
            </m:sSupPr>
            <m:e>
              <m:r>
                <w:rPr>
                  <w:rFonts w:ascii="Cambria Math" w:hAnsi="Cambria Math"/>
                </w:rPr>
                <m:t>G</m:t>
              </m:r>
            </m:e>
            <m:sup>
              <m:r>
                <w:rPr>
                  <w:rFonts w:ascii="Cambria Math" w:hAnsi="Cambria Math"/>
                </w:rPr>
                <m:t>α</m:t>
              </m:r>
            </m:sup>
          </m:sSup>
          <m:sSup>
            <m:sSupPr>
              <m:ctrlPr>
                <w:rPr>
                  <w:rFonts w:ascii="Cambria Math" w:hAnsi="Cambria Math"/>
                  <w:i/>
                </w:rPr>
              </m:ctrlPr>
            </m:sSupPr>
            <m:e>
              <m:r>
                <w:rPr>
                  <w:rFonts w:ascii="Cambria Math" w:hAnsi="Cambria Math"/>
                </w:rPr>
                <m:t>L</m:t>
              </m:r>
            </m:e>
            <m:sup>
              <m:r>
                <w:rPr>
                  <w:rFonts w:ascii="Cambria Math" w:hAnsi="Cambria Math"/>
                </w:rPr>
                <m:t>β</m:t>
              </m:r>
            </m:sup>
          </m:sSup>
          <m:sSup>
            <m:sSupPr>
              <m:ctrlPr>
                <w:rPr>
                  <w:rFonts w:ascii="Cambria Math" w:hAnsi="Cambria Math"/>
                  <w:i/>
                </w:rPr>
              </m:ctrlPr>
            </m:sSupPr>
            <m:e>
              <m:r>
                <w:rPr>
                  <w:rFonts w:ascii="Cambria Math" w:hAnsi="Cambria Math"/>
                </w:rPr>
                <m:t>K</m:t>
              </m:r>
            </m:e>
            <m:sup>
              <m:r>
                <w:rPr>
                  <w:rFonts w:ascii="Cambria Math" w:hAnsi="Cambria Math"/>
                </w:rPr>
                <m:t>γ</m:t>
              </m:r>
            </m:sup>
          </m:sSup>
          <m:r>
            <w:rPr>
              <w:rFonts w:ascii="Cambria Math" w:eastAsiaTheme="minorEastAsia" w:hAnsi="Cambria Math"/>
            </w:rPr>
            <m:t>,  0&lt;α,β,γ&lt;1</m:t>
          </m:r>
        </m:oMath>
      </m:oMathPara>
    </w:p>
    <w:p w14:paraId="090189A2" w14:textId="77777777" w:rsidR="00F77C41" w:rsidRDefault="00F77C41" w:rsidP="00F77C41">
      <w:pPr>
        <w:rPr>
          <w:rFonts w:eastAsiaTheme="minorEastAsia"/>
        </w:rPr>
      </w:pPr>
      <w:r>
        <w:rPr>
          <w:rFonts w:eastAsiaTheme="minorEastAsia"/>
        </w:rPr>
        <w:t xml:space="preserve">Where: </w:t>
      </w:r>
      <m:oMath>
        <m:r>
          <w:rPr>
            <w:rFonts w:ascii="Cambria Math" w:eastAsiaTheme="minorEastAsia" w:hAnsi="Cambria Math"/>
          </w:rPr>
          <m:t>Q=</m:t>
        </m:r>
      </m:oMath>
      <w:r>
        <w:rPr>
          <w:rFonts w:eastAsiaTheme="minorEastAsia"/>
        </w:rPr>
        <w:t xml:space="preserve"> Output, </w:t>
      </w:r>
      <m:oMath>
        <m:r>
          <w:rPr>
            <w:rFonts w:ascii="Cambria Math" w:eastAsiaTheme="minorEastAsia" w:hAnsi="Cambria Math"/>
          </w:rPr>
          <m:t>G=</m:t>
        </m:r>
      </m:oMath>
      <w:r>
        <w:rPr>
          <w:rFonts w:eastAsiaTheme="minorEastAsia"/>
        </w:rPr>
        <w:t xml:space="preserve"> </w:t>
      </w:r>
      <w:r>
        <w:rPr>
          <w:color w:val="000000"/>
        </w:rPr>
        <w:t xml:space="preserve">intermediate goods, </w:t>
      </w:r>
      <m:oMath>
        <m:r>
          <w:rPr>
            <w:rFonts w:ascii="Cambria Math" w:hAnsi="Cambria Math"/>
            <w:color w:val="000000"/>
          </w:rPr>
          <m:t>K=</m:t>
        </m:r>
      </m:oMath>
      <w:r>
        <w:rPr>
          <w:rFonts w:eastAsiaTheme="minorEastAsia"/>
          <w:color w:val="000000"/>
        </w:rPr>
        <w:t xml:space="preserve"> capital used, </w:t>
      </w:r>
      <m:oMath>
        <m:r>
          <w:rPr>
            <w:rFonts w:ascii="Cambria Math" w:eastAsiaTheme="minorEastAsia" w:hAnsi="Cambria Math"/>
            <w:color w:val="000000"/>
          </w:rPr>
          <m:t>L=</m:t>
        </m:r>
      </m:oMath>
      <w:r>
        <w:rPr>
          <w:rFonts w:eastAsiaTheme="minorEastAsia"/>
        </w:rPr>
        <w:t xml:space="preserve"> labour used, </w:t>
      </w:r>
      <m:oMath>
        <m:r>
          <w:rPr>
            <w:rFonts w:ascii="Cambria Math" w:eastAsiaTheme="minorEastAsia" w:hAnsi="Cambria Math"/>
          </w:rPr>
          <m:t xml:space="preserve">A= </m:t>
        </m:r>
      </m:oMath>
      <w:r>
        <w:rPr>
          <w:rFonts w:eastAsiaTheme="minorEastAsia"/>
        </w:rPr>
        <w:t xml:space="preserve">technology constant. </w:t>
      </w:r>
    </w:p>
    <w:p w14:paraId="14CE50D4" w14:textId="6B8E76A8" w:rsidR="00F77C41" w:rsidRDefault="00F77C41" w:rsidP="00F77C41">
      <w:pPr>
        <w:pStyle w:val="Caption"/>
        <w:rPr>
          <w:rFonts w:eastAsiaTheme="minorEastAsia"/>
        </w:rPr>
      </w:pPr>
      <w:bookmarkStart w:id="9" w:name="_Ref140421647"/>
      <w:r>
        <w:t xml:space="preserve">Equation </w:t>
      </w:r>
      <w:r>
        <w:fldChar w:fldCharType="begin"/>
      </w:r>
      <w:r>
        <w:instrText xml:space="preserve"> SEQ Equation \* ARABIC </w:instrText>
      </w:r>
      <w:r>
        <w:fldChar w:fldCharType="separate"/>
      </w:r>
      <w:r>
        <w:rPr>
          <w:noProof/>
        </w:rPr>
        <w:t>20</w:t>
      </w:r>
      <w:r>
        <w:rPr>
          <w:noProof/>
        </w:rPr>
        <w:fldChar w:fldCharType="end"/>
      </w:r>
      <w:bookmarkEnd w:id="9"/>
      <w:r>
        <w:t xml:space="preserve"> </w:t>
      </w:r>
      <w:r w:rsidRPr="00DD0A85">
        <w:t>Factor CD Production Function</w:t>
      </w:r>
    </w:p>
    <w:p w14:paraId="12295224" w14:textId="6DE24FF5" w:rsidR="00F77C41" w:rsidRDefault="00F77C41" w:rsidP="00F77C41">
      <w:pPr>
        <w:rPr>
          <w:rFonts w:eastAsiaTheme="minorEastAsia"/>
        </w:rPr>
      </w:pPr>
      <w:r>
        <w:rPr>
          <w:rFonts w:eastAsiaTheme="minorEastAsia"/>
        </w:rPr>
        <w:t xml:space="preserve">The </w:t>
      </w:r>
      <m:oMath>
        <m:r>
          <w:rPr>
            <w:rFonts w:ascii="Cambria Math" w:eastAsiaTheme="minorEastAsia" w:hAnsi="Cambria Math"/>
          </w:rPr>
          <m:t>α</m:t>
        </m:r>
      </m:oMath>
      <w:r>
        <w:rPr>
          <w:rFonts w:eastAsiaTheme="minorEastAsia"/>
        </w:rPr>
        <w:t xml:space="preserve"> would as be inferred from the ONS Input-Output tables. Linear regression modelling and an author derived data searching algorithms were used to calculate the parameters of </w:t>
      </w:r>
      <w:r>
        <w:rPr>
          <w:rFonts w:eastAsiaTheme="minorEastAsia"/>
        </w:rPr>
        <w:fldChar w:fldCharType="begin"/>
      </w:r>
      <w:r>
        <w:rPr>
          <w:rFonts w:eastAsiaTheme="minorEastAsia"/>
        </w:rPr>
        <w:instrText xml:space="preserve"> REF _Ref140421647 \h </w:instrText>
      </w:r>
      <w:r>
        <w:rPr>
          <w:rFonts w:eastAsiaTheme="minorEastAsia"/>
        </w:rPr>
      </w:r>
      <w:r>
        <w:rPr>
          <w:rFonts w:eastAsiaTheme="minorEastAsia"/>
        </w:rPr>
        <w:fldChar w:fldCharType="separate"/>
      </w:r>
      <w:r>
        <w:t xml:space="preserve">Equation </w:t>
      </w:r>
      <w:r>
        <w:rPr>
          <w:noProof/>
        </w:rPr>
        <w:t>20</w:t>
      </w:r>
      <w:r>
        <w:rPr>
          <w:rFonts w:eastAsiaTheme="minorEastAsia"/>
        </w:rPr>
        <w:fldChar w:fldCharType="end"/>
      </w:r>
      <w:r>
        <w:rPr>
          <w:rFonts w:eastAsiaTheme="minorEastAsia"/>
        </w:rPr>
        <w:t xml:space="preserve">. Full technical detail of the approach can be found in </w:t>
      </w:r>
      <w:r>
        <w:rPr>
          <w:rFonts w:eastAsiaTheme="minorEastAsia"/>
        </w:rPr>
        <w:fldChar w:fldCharType="begin"/>
      </w:r>
      <w:r>
        <w:rPr>
          <w:rFonts w:eastAsiaTheme="minorEastAsia"/>
        </w:rPr>
        <w:instrText xml:space="preserve"> REF _Ref140919682 \h </w:instrText>
      </w:r>
      <w:r>
        <w:rPr>
          <w:rFonts w:eastAsiaTheme="minorEastAsia"/>
        </w:rPr>
      </w:r>
      <w:r>
        <w:rPr>
          <w:rFonts w:eastAsiaTheme="minorEastAsia"/>
        </w:rPr>
        <w:fldChar w:fldCharType="separate"/>
      </w:r>
      <w:r>
        <w:t>Annex A: Technical</w:t>
      </w:r>
      <w:r>
        <w:rPr>
          <w:rFonts w:eastAsiaTheme="minorEastAsia"/>
        </w:rPr>
        <w:fldChar w:fldCharType="end"/>
      </w:r>
      <w:r>
        <w:rPr>
          <w:rFonts w:eastAsiaTheme="minorEastAsia"/>
        </w:rPr>
        <w:t xml:space="preserve">. </w:t>
      </w:r>
    </w:p>
    <w:p w14:paraId="26BC22BF" w14:textId="69264CE6" w:rsidR="00F77C41" w:rsidRDefault="00F77C41" w:rsidP="00F77C41">
      <w:pPr>
        <w:rPr>
          <w:rFonts w:eastAsiaTheme="minorEastAsia"/>
        </w:rPr>
      </w:pPr>
      <w:r>
        <w:rPr>
          <w:rFonts w:eastAsiaTheme="minorEastAsia"/>
        </w:rPr>
        <w:t xml:space="preserve">The benefit of this approach is to produce more robust coefficients. </w:t>
      </w:r>
    </w:p>
    <w:p w14:paraId="2B6BC92A" w14:textId="77777777" w:rsidR="00F77C41" w:rsidRDefault="00F77C41" w:rsidP="00F77C41">
      <w:pPr>
        <w:pStyle w:val="Heading4"/>
      </w:pPr>
      <w:r>
        <w:t>Utility Function</w:t>
      </w:r>
    </w:p>
    <w:p w14:paraId="1BE66131" w14:textId="4E00A27C" w:rsidR="00F77C41" w:rsidRDefault="00F77C41" w:rsidP="00F77C41">
      <w:r>
        <w:t xml:space="preserve">The CD utility function use in the initial modelling approach does not consider the income-elasticity of demand. Given the modelling is considers increasing the wages of individuals by incentivising more productive employment this missing functionality will not account for the changing demand in the economy. </w:t>
      </w:r>
    </w:p>
    <w:p w14:paraId="61111052" w14:textId="2D53438C" w:rsidR="00F77C41" w:rsidRDefault="00F77C41" w:rsidP="00F77C41">
      <w:r>
        <w:t xml:space="preserve">To improve the </w:t>
      </w:r>
      <w:r w:rsidR="00B73B34">
        <w:t>model’s</w:t>
      </w:r>
      <w:r>
        <w:t xml:space="preserve"> utility function, a Constant Difference of Elasticities (CDE) was considered. This which was first introduced by Hanoch (1975) and assumes implicit additivity and enables the incorporation of income effects on the demand system </w:t>
      </w:r>
      <w:sdt>
        <w:sdtPr>
          <w:id w:val="1683557375"/>
          <w:citation/>
        </w:sdtPr>
        <w:sdtContent>
          <w:r>
            <w:fldChar w:fldCharType="begin"/>
          </w:r>
          <w:r w:rsidR="00C00979">
            <w:instrText xml:space="preserve">CITATION Tho \l 2057 </w:instrText>
          </w:r>
          <w:r>
            <w:fldChar w:fldCharType="separate"/>
          </w:r>
          <w:r w:rsidR="00C00979" w:rsidRPr="00C00979">
            <w:rPr>
              <w:noProof/>
            </w:rPr>
            <w:t>(Hertel, et al., n.d.)</w:t>
          </w:r>
          <w:r>
            <w:fldChar w:fldCharType="end"/>
          </w:r>
        </w:sdtContent>
      </w:sdt>
      <w:r w:rsidR="00406282">
        <w:t xml:space="preserve">, </w:t>
      </w:r>
      <w:sdt>
        <w:sdtPr>
          <w:id w:val="-1176730772"/>
          <w:citation/>
        </w:sdtPr>
        <w:sdtContent>
          <w:r w:rsidR="00406282">
            <w:fldChar w:fldCharType="begin"/>
          </w:r>
          <w:r w:rsidR="00406282">
            <w:instrText xml:space="preserve"> CITATION Her16 \l 2057 </w:instrText>
          </w:r>
          <w:r w:rsidR="00406282">
            <w:fldChar w:fldCharType="separate"/>
          </w:r>
          <w:r w:rsidR="00406282" w:rsidRPr="00406282">
            <w:rPr>
              <w:noProof/>
            </w:rPr>
            <w:t>(Hertel &amp; van der Mensbrugghe, 2016)</w:t>
          </w:r>
          <w:r w:rsidR="00406282">
            <w:fldChar w:fldCharType="end"/>
          </w:r>
        </w:sdtContent>
      </w:sdt>
      <w:r>
        <w:t xml:space="preserve">. A further explanation and results from CDE modelling can be found in </w:t>
      </w:r>
      <w:r>
        <w:fldChar w:fldCharType="begin"/>
      </w:r>
      <w:r>
        <w:instrText xml:space="preserve"> REF _Ref140919682 \h </w:instrText>
      </w:r>
      <w:r>
        <w:fldChar w:fldCharType="separate"/>
      </w:r>
      <w:r>
        <w:t>Annex A: Technical</w:t>
      </w:r>
      <w:r>
        <w:fldChar w:fldCharType="end"/>
      </w:r>
      <w:r>
        <w:t xml:space="preserve">: </w:t>
      </w:r>
      <w:r>
        <w:fldChar w:fldCharType="begin"/>
      </w:r>
      <w:r>
        <w:instrText xml:space="preserve"> REF _Ref141459102 \r \h </w:instrText>
      </w:r>
      <w:r>
        <w:fldChar w:fldCharType="separate"/>
      </w:r>
      <w:r>
        <w:t>5</w:t>
      </w:r>
      <w:r>
        <w:fldChar w:fldCharType="end"/>
      </w:r>
      <w:r>
        <w:t xml:space="preserve"> </w:t>
      </w:r>
      <w:r>
        <w:fldChar w:fldCharType="begin"/>
      </w:r>
      <w:r>
        <w:instrText xml:space="preserve"> REF _Ref141459102 \h </w:instrText>
      </w:r>
      <w:r>
        <w:fldChar w:fldCharType="separate"/>
      </w:r>
      <w:r>
        <w:rPr>
          <w:rFonts w:eastAsiaTheme="minorEastAsia"/>
        </w:rPr>
        <w:t>Price Elasticity Modelling</w:t>
      </w:r>
      <w:r>
        <w:fldChar w:fldCharType="end"/>
      </w:r>
      <w:r>
        <w:t>.</w:t>
      </w:r>
    </w:p>
    <w:p w14:paraId="66ABFF3D" w14:textId="5087E0F2" w:rsidR="00F77C41" w:rsidRDefault="00F77C41" w:rsidP="00F77C41">
      <w:r>
        <w:t xml:space="preserve">This required the use of LASSO regression methods as the data had </w:t>
      </w:r>
      <w:r w:rsidRPr="00622464">
        <w:t>multicollinearity</w:t>
      </w:r>
      <w:r w:rsidR="00406282">
        <w:t xml:space="preserve">, </w:t>
      </w:r>
      <w:sdt>
        <w:sdtPr>
          <w:id w:val="615492124"/>
          <w:citation/>
        </w:sdtPr>
        <w:sdtContent>
          <w:r w:rsidR="00406282">
            <w:fldChar w:fldCharType="begin"/>
          </w:r>
          <w:r w:rsidR="00406282">
            <w:instrText xml:space="preserve"> CITATION Alt21 \l 2057 </w:instrText>
          </w:r>
          <w:r w:rsidR="00406282">
            <w:fldChar w:fldCharType="separate"/>
          </w:r>
          <w:r w:rsidR="00406282" w:rsidRPr="00406282">
            <w:rPr>
              <w:noProof/>
            </w:rPr>
            <w:t>(Altelbany, 2021)</w:t>
          </w:r>
          <w:r w:rsidR="00406282">
            <w:fldChar w:fldCharType="end"/>
          </w:r>
        </w:sdtContent>
      </w:sdt>
      <w:r>
        <w:t xml:space="preserve"> </w:t>
      </w:r>
      <w:r w:rsidR="00B73B34">
        <w:t>because of</w:t>
      </w:r>
      <w:r>
        <w:t xml:space="preserve"> have joint intermediate goods which would all move with commodity specific inflation.</w:t>
      </w:r>
    </w:p>
    <w:p w14:paraId="68EF9AA8" w14:textId="485F06C8" w:rsidR="00B73B34" w:rsidRDefault="00B73B34" w:rsidP="00290BED">
      <w:pPr>
        <w:pStyle w:val="Heading3"/>
      </w:pPr>
      <w:r>
        <w:t>Black Box</w:t>
      </w:r>
    </w:p>
    <w:p w14:paraId="4911D7BD" w14:textId="2DD20C57" w:rsidR="00290BED" w:rsidRDefault="00290BED" w:rsidP="00290BED">
      <w:r>
        <w:t xml:space="preserve">Simulation models like CGEM are criticized for being ‘Black Boxes’ </w:t>
      </w:r>
      <w:sdt>
        <w:sdtPr>
          <w:id w:val="985359714"/>
          <w:citation/>
        </w:sdtPr>
        <w:sdtContent>
          <w:r>
            <w:fldChar w:fldCharType="begin"/>
          </w:r>
          <w:r w:rsidR="00C00979">
            <w:instrText xml:space="preserve">CITATION Bur11 \l 2057 </w:instrText>
          </w:r>
          <w:r>
            <w:fldChar w:fldCharType="separate"/>
          </w:r>
          <w:r w:rsidR="00C00979" w:rsidRPr="00C00979">
            <w:rPr>
              <w:noProof/>
            </w:rPr>
            <w:t>(Burfisher, 2011)</w:t>
          </w:r>
          <w:r>
            <w:fldChar w:fldCharType="end"/>
          </w:r>
        </w:sdtContent>
      </w:sdt>
      <w:r>
        <w:t xml:space="preserve">, whose results are difficult to explain by clear causal chains </w:t>
      </w:r>
      <w:sdt>
        <w:sdtPr>
          <w:id w:val="1240363979"/>
          <w:citation/>
        </w:sdtPr>
        <w:sdtContent>
          <w:r>
            <w:fldChar w:fldCharType="begin"/>
          </w:r>
          <w:r w:rsidR="00C00979">
            <w:instrText xml:space="preserve">CITATION Pet13 \l 2057 </w:instrText>
          </w:r>
          <w:r>
            <w:fldChar w:fldCharType="separate"/>
          </w:r>
          <w:r w:rsidR="00C00979" w:rsidRPr="00C00979">
            <w:rPr>
              <w:noProof/>
            </w:rPr>
            <w:t>(Dixon &amp; Jorgenson, 2013)</w:t>
          </w:r>
          <w:r>
            <w:fldChar w:fldCharType="end"/>
          </w:r>
        </w:sdtContent>
      </w:sdt>
      <w:r>
        <w:t xml:space="preserve">. This is especial true for </w:t>
      </w:r>
      <w:r w:rsidRPr="00290BED">
        <w:t>proprietary</w:t>
      </w:r>
      <w:r>
        <w:t xml:space="preserve"> commercial modelling, which is the reason is the reason that R an open-source coding language was attempted when creating a new CGEM. </w:t>
      </w:r>
    </w:p>
    <w:p w14:paraId="1F40E563" w14:textId="77777777" w:rsidR="0011083B" w:rsidRDefault="0011083B" w:rsidP="00712120">
      <w:pPr>
        <w:pStyle w:val="Heading2"/>
      </w:pPr>
      <w:r>
        <w:t>Conclusion/Summary</w:t>
      </w:r>
    </w:p>
    <w:p w14:paraId="131D5097" w14:textId="77777777" w:rsidR="00051805" w:rsidRDefault="00290BED" w:rsidP="00F77C41">
      <w:r>
        <w:t>This paper was an investigation into the use of CGEM as a policy analysis tool for domestic intervention into an advance manufacturing sector. Due to the weakness discuss above</w:t>
      </w:r>
      <w:r w:rsidR="000417C4">
        <w:t xml:space="preserve"> a satisfactory model to appraise the policy decision has not been able to be completed. </w:t>
      </w:r>
    </w:p>
    <w:p w14:paraId="20F1E190" w14:textId="3ABA5AB5" w:rsidR="00CF68E5" w:rsidRPr="00F77C41" w:rsidRDefault="00051805" w:rsidP="00F77C41">
      <w:r>
        <w:t xml:space="preserve">Therefore, the ongoing policy decision of intervention level into the advanced manufacturing sectors the previous analytical framework should be continued to be used. However, this does not mean that this approach could not be utilised with additional work. It would require collaboration with analysis with additional skills in programming and data science. </w:t>
      </w:r>
    </w:p>
    <w:p w14:paraId="5F4F257E" w14:textId="77777777" w:rsidR="00051805" w:rsidRDefault="00051805" w:rsidP="0011083B">
      <w:r>
        <w:t>The future model structure recommendation would to be:</w:t>
      </w:r>
    </w:p>
    <w:p w14:paraId="04064FE1" w14:textId="2D476F90" w:rsidR="00051805" w:rsidRDefault="00051805" w:rsidP="00051805">
      <w:pPr>
        <w:pStyle w:val="BulletPoint"/>
      </w:pPr>
      <w:r>
        <w:t>Use of the multi-year Cobb-Douglas Production Function Parameters.</w:t>
      </w:r>
    </w:p>
    <w:p w14:paraId="7E673F23" w14:textId="288FB4CA" w:rsidR="00051805" w:rsidRDefault="00051805" w:rsidP="00051805">
      <w:pPr>
        <w:pStyle w:val="BulletPoint"/>
      </w:pPr>
      <w:r>
        <w:t>Intermediate good values from ONS.</w:t>
      </w:r>
    </w:p>
    <w:p w14:paraId="59BA05B0" w14:textId="11EDD839" w:rsidR="00051805" w:rsidRDefault="00051805" w:rsidP="00051805">
      <w:pPr>
        <w:pStyle w:val="BulletPoint"/>
      </w:pPr>
      <w:r>
        <w:t>Exogenous constant saving rate.</w:t>
      </w:r>
    </w:p>
    <w:p w14:paraId="13C7B629" w14:textId="66BE4AC6" w:rsidR="00051805" w:rsidRDefault="00051805" w:rsidP="00051805">
      <w:pPr>
        <w:pStyle w:val="BulletPoint"/>
      </w:pPr>
      <w:r>
        <w:t>Labour - primary factor costs (salary) based on ONS data.</w:t>
      </w:r>
    </w:p>
    <w:p w14:paraId="5148D345" w14:textId="77777777" w:rsidR="00051805" w:rsidRDefault="00051805" w:rsidP="00051805">
      <w:pPr>
        <w:pStyle w:val="BulletPoint"/>
      </w:pPr>
      <w:r>
        <w:t>Incorporating a tax system, simplest being a Poll Tax or flat rate of income and cooperation tax policy.</w:t>
      </w:r>
    </w:p>
    <w:p w14:paraId="267B8A25" w14:textId="42115D56" w:rsidR="00F73ACE" w:rsidRDefault="00051805" w:rsidP="00051805">
      <w:pPr>
        <w:pStyle w:val="BulletPoint"/>
      </w:pPr>
      <w:r>
        <w:lastRenderedPageBreak/>
        <w:t>Government expenditure would be model as increased consumption of sector goods based on ONS Input-Output table data.</w:t>
      </w:r>
      <w:r w:rsidR="00F73ACE">
        <w:br w:type="page"/>
      </w:r>
    </w:p>
    <w:p w14:paraId="4ED9BB64" w14:textId="3E4F15C5" w:rsidR="00872BCE" w:rsidRDefault="00E40374" w:rsidP="00E40374">
      <w:pPr>
        <w:pStyle w:val="Heading2"/>
      </w:pPr>
      <w:bookmarkStart w:id="10" w:name="_Ref140919682"/>
      <w:r>
        <w:lastRenderedPageBreak/>
        <w:t>Annex A: Technical</w:t>
      </w:r>
      <w:bookmarkEnd w:id="10"/>
    </w:p>
    <w:p w14:paraId="652BBF81" w14:textId="77777777" w:rsidR="001657AB" w:rsidRDefault="001657AB" w:rsidP="001657AB">
      <w:pPr>
        <w:pStyle w:val="HeadingNumbered"/>
      </w:pPr>
      <w:bookmarkStart w:id="11" w:name="_Ref141456887"/>
      <w:r>
        <w:t>Standard Industrial Classification (SIC)</w:t>
      </w:r>
      <w:bookmarkEnd w:id="11"/>
    </w:p>
    <w:p w14:paraId="5A5E96CC" w14:textId="4D0D96A5" w:rsidR="001657AB" w:rsidRDefault="001657AB" w:rsidP="001657AB">
      <w:r>
        <w:t xml:space="preserve">SIC was first introduced into the UK in 1948 for classifying business establishments </w:t>
      </w:r>
      <w:sdt>
        <w:sdtPr>
          <w:id w:val="-1183201840"/>
          <w:citation/>
        </w:sdtPr>
        <w:sdtContent>
          <w:r>
            <w:fldChar w:fldCharType="begin"/>
          </w:r>
          <w:r>
            <w:instrText xml:space="preserve"> CITATION ONS09 \l 2057 </w:instrText>
          </w:r>
          <w:r>
            <w:fldChar w:fldCharType="separate"/>
          </w:r>
          <w:r w:rsidR="00FC1132" w:rsidRPr="00FC1132">
            <w:rPr>
              <w:noProof/>
            </w:rPr>
            <w:t>(ONS, 2009)</w:t>
          </w:r>
          <w:r>
            <w:fldChar w:fldCharType="end"/>
          </w:r>
        </w:sdtContent>
      </w:sdt>
      <w:r>
        <w:t xml:space="preserve"> and can be used across multiple ONS datasets as a method of managing data disaggregated by production sector.</w:t>
      </w:r>
    </w:p>
    <w:p w14:paraId="643F22ED" w14:textId="4B836980" w:rsidR="001657AB" w:rsidRPr="001657AB" w:rsidRDefault="001657AB" w:rsidP="001657AB">
      <w:r>
        <w:t xml:space="preserve">The classifications are in a </w:t>
      </w:r>
      <w:r w:rsidRPr="00E40374">
        <w:t>hierarchy</w:t>
      </w:r>
      <w:r>
        <w:t xml:space="preserve"> structure, section (letter), division (2-digit), group (3-digit), class (4-digit) and subclass (5-digit). There are 39 </w:t>
      </w:r>
      <w:r w:rsidR="006E41EE">
        <w:t>classifications</w:t>
      </w:r>
      <w:r>
        <w:t xml:space="preserve"> used in </w:t>
      </w:r>
      <w:r w:rsidR="006E41EE">
        <w:t xml:space="preserve">parts of this report </w:t>
      </w:r>
      <w:r>
        <w:t>modelling, which are:</w:t>
      </w:r>
    </w:p>
    <w:tbl>
      <w:tblPr>
        <w:tblW w:w="10332" w:type="dxa"/>
        <w:jc w:val="center"/>
        <w:tblLook w:val="04A0" w:firstRow="1" w:lastRow="0" w:firstColumn="1" w:lastColumn="0" w:noHBand="0" w:noVBand="1"/>
      </w:tblPr>
      <w:tblGrid>
        <w:gridCol w:w="999"/>
        <w:gridCol w:w="8567"/>
        <w:gridCol w:w="766"/>
      </w:tblGrid>
      <w:tr w:rsidR="001657AB" w:rsidRPr="00C4712F" w14:paraId="6C94910C" w14:textId="77777777" w:rsidTr="006E41EE">
        <w:trPr>
          <w:trHeight w:val="151"/>
          <w:jc w:val="center"/>
        </w:trPr>
        <w:tc>
          <w:tcPr>
            <w:tcW w:w="99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C950A61" w14:textId="77777777" w:rsidR="001657AB" w:rsidRPr="00C4712F" w:rsidRDefault="001657AB" w:rsidP="006E41EE">
            <w:pPr>
              <w:spacing w:after="0" w:line="240" w:lineRule="auto"/>
              <w:rPr>
                <w:rFonts w:eastAsia="Times New Roman"/>
                <w:b/>
                <w:bCs/>
                <w:color w:val="000000"/>
              </w:rPr>
            </w:pPr>
            <w:bookmarkStart w:id="12" w:name="_Ref140421127"/>
            <w:r w:rsidRPr="00C4712F">
              <w:rPr>
                <w:rFonts w:eastAsia="Times New Roman"/>
                <w:b/>
                <w:bCs/>
                <w:color w:val="000000"/>
              </w:rPr>
              <w:t>Code</w:t>
            </w:r>
          </w:p>
        </w:tc>
        <w:tc>
          <w:tcPr>
            <w:tcW w:w="8567" w:type="dxa"/>
            <w:tcBorders>
              <w:top w:val="single" w:sz="4" w:space="0" w:color="auto"/>
              <w:left w:val="nil"/>
              <w:bottom w:val="single" w:sz="4" w:space="0" w:color="auto"/>
              <w:right w:val="single" w:sz="4" w:space="0" w:color="auto"/>
            </w:tcBorders>
            <w:shd w:val="clear" w:color="000000" w:fill="FFFFFF"/>
            <w:noWrap/>
            <w:vAlign w:val="bottom"/>
            <w:hideMark/>
          </w:tcPr>
          <w:p w14:paraId="0CBC0AED" w14:textId="77777777" w:rsidR="001657AB" w:rsidRPr="00C4712F" w:rsidRDefault="001657AB" w:rsidP="006E41EE">
            <w:pPr>
              <w:spacing w:after="0" w:line="240" w:lineRule="auto"/>
              <w:rPr>
                <w:rFonts w:eastAsia="Times New Roman"/>
                <w:b/>
                <w:bCs/>
                <w:color w:val="000000"/>
              </w:rPr>
            </w:pPr>
            <w:r w:rsidRPr="00C4712F">
              <w:rPr>
                <w:rFonts w:eastAsia="Times New Roman"/>
                <w:b/>
                <w:bCs/>
                <w:color w:val="000000"/>
              </w:rPr>
              <w:t>Description</w:t>
            </w:r>
          </w:p>
        </w:tc>
        <w:tc>
          <w:tcPr>
            <w:tcW w:w="766" w:type="dxa"/>
            <w:tcBorders>
              <w:top w:val="single" w:sz="4" w:space="0" w:color="auto"/>
              <w:left w:val="nil"/>
              <w:bottom w:val="single" w:sz="4" w:space="0" w:color="auto"/>
              <w:right w:val="single" w:sz="4" w:space="0" w:color="auto"/>
            </w:tcBorders>
            <w:shd w:val="clear" w:color="000000" w:fill="FFFFFF"/>
          </w:tcPr>
          <w:p w14:paraId="24FBD7DA" w14:textId="081F2155" w:rsidR="001657AB" w:rsidRPr="00C4712F" w:rsidRDefault="001657AB" w:rsidP="006E41EE">
            <w:pPr>
              <w:spacing w:after="0" w:line="240" w:lineRule="auto"/>
              <w:rPr>
                <w:rFonts w:eastAsia="Times New Roman"/>
                <w:b/>
                <w:bCs/>
                <w:color w:val="000000"/>
              </w:rPr>
            </w:pPr>
            <w:r>
              <w:rPr>
                <w:rFonts w:eastAsia="Times New Roman"/>
                <w:b/>
                <w:bCs/>
                <w:color w:val="000000"/>
              </w:rPr>
              <w:t>New Code</w:t>
            </w:r>
          </w:p>
        </w:tc>
      </w:tr>
      <w:tr w:rsidR="001657AB" w:rsidRPr="00C4712F" w14:paraId="1E932708"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1A8D64CF"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A01</w:t>
            </w:r>
          </w:p>
        </w:tc>
        <w:tc>
          <w:tcPr>
            <w:tcW w:w="8567" w:type="dxa"/>
            <w:tcBorders>
              <w:top w:val="nil"/>
              <w:left w:val="nil"/>
              <w:bottom w:val="single" w:sz="4" w:space="0" w:color="auto"/>
              <w:right w:val="single" w:sz="4" w:space="0" w:color="auto"/>
            </w:tcBorders>
            <w:shd w:val="clear" w:color="000000" w:fill="FFFFFF"/>
            <w:noWrap/>
            <w:vAlign w:val="bottom"/>
            <w:hideMark/>
          </w:tcPr>
          <w:p w14:paraId="3D611EF5"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01: Crop and animal production, hunting and related service activities</w:t>
            </w:r>
          </w:p>
        </w:tc>
        <w:tc>
          <w:tcPr>
            <w:tcW w:w="766" w:type="dxa"/>
            <w:tcBorders>
              <w:top w:val="nil"/>
              <w:left w:val="nil"/>
              <w:bottom w:val="single" w:sz="4" w:space="0" w:color="auto"/>
              <w:right w:val="single" w:sz="4" w:space="0" w:color="auto"/>
            </w:tcBorders>
            <w:shd w:val="clear" w:color="000000" w:fill="FFFFFF"/>
          </w:tcPr>
          <w:p w14:paraId="51ED7AF7" w14:textId="557D3F40" w:rsidR="001657AB" w:rsidRPr="00C4712F" w:rsidRDefault="001657AB" w:rsidP="006E41EE">
            <w:pPr>
              <w:spacing w:after="0" w:line="240" w:lineRule="auto"/>
              <w:rPr>
                <w:rFonts w:eastAsia="Times New Roman"/>
                <w:color w:val="000000"/>
              </w:rPr>
            </w:pPr>
            <w:r>
              <w:rPr>
                <w:color w:val="000000"/>
              </w:rPr>
              <w:t>A</w:t>
            </w:r>
          </w:p>
        </w:tc>
      </w:tr>
      <w:tr w:rsidR="001657AB" w:rsidRPr="00C4712F" w14:paraId="4641FAD4"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0E4D1475"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A02</w:t>
            </w:r>
          </w:p>
        </w:tc>
        <w:tc>
          <w:tcPr>
            <w:tcW w:w="8567" w:type="dxa"/>
            <w:tcBorders>
              <w:top w:val="nil"/>
              <w:left w:val="nil"/>
              <w:bottom w:val="single" w:sz="4" w:space="0" w:color="auto"/>
              <w:right w:val="single" w:sz="4" w:space="0" w:color="auto"/>
            </w:tcBorders>
            <w:shd w:val="clear" w:color="000000" w:fill="FFFFFF"/>
            <w:noWrap/>
            <w:vAlign w:val="bottom"/>
            <w:hideMark/>
          </w:tcPr>
          <w:p w14:paraId="3E1688F9"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02: Forestry and logging  </w:t>
            </w:r>
          </w:p>
        </w:tc>
        <w:tc>
          <w:tcPr>
            <w:tcW w:w="766" w:type="dxa"/>
            <w:tcBorders>
              <w:top w:val="nil"/>
              <w:left w:val="nil"/>
              <w:bottom w:val="single" w:sz="4" w:space="0" w:color="auto"/>
              <w:right w:val="single" w:sz="4" w:space="0" w:color="auto"/>
            </w:tcBorders>
            <w:shd w:val="clear" w:color="000000" w:fill="FFFFFF"/>
          </w:tcPr>
          <w:p w14:paraId="01918257" w14:textId="40F06AB8" w:rsidR="001657AB" w:rsidRPr="00C4712F" w:rsidRDefault="001657AB" w:rsidP="006E41EE">
            <w:pPr>
              <w:spacing w:after="0" w:line="240" w:lineRule="auto"/>
              <w:rPr>
                <w:rFonts w:eastAsia="Times New Roman"/>
                <w:color w:val="000000"/>
              </w:rPr>
            </w:pPr>
            <w:r>
              <w:rPr>
                <w:color w:val="000000"/>
              </w:rPr>
              <w:t>A</w:t>
            </w:r>
          </w:p>
        </w:tc>
      </w:tr>
      <w:tr w:rsidR="001657AB" w:rsidRPr="00C4712F" w14:paraId="1F37D3A4"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6C406BD5"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A03</w:t>
            </w:r>
          </w:p>
        </w:tc>
        <w:tc>
          <w:tcPr>
            <w:tcW w:w="8567" w:type="dxa"/>
            <w:tcBorders>
              <w:top w:val="nil"/>
              <w:left w:val="nil"/>
              <w:bottom w:val="single" w:sz="4" w:space="0" w:color="auto"/>
              <w:right w:val="single" w:sz="4" w:space="0" w:color="auto"/>
            </w:tcBorders>
            <w:shd w:val="clear" w:color="000000" w:fill="FFFFFF"/>
            <w:noWrap/>
            <w:vAlign w:val="bottom"/>
            <w:hideMark/>
          </w:tcPr>
          <w:p w14:paraId="7E75C75B"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03: Fishing and aquaculture  </w:t>
            </w:r>
          </w:p>
        </w:tc>
        <w:tc>
          <w:tcPr>
            <w:tcW w:w="766" w:type="dxa"/>
            <w:tcBorders>
              <w:top w:val="nil"/>
              <w:left w:val="nil"/>
              <w:bottom w:val="single" w:sz="4" w:space="0" w:color="auto"/>
              <w:right w:val="single" w:sz="4" w:space="0" w:color="auto"/>
            </w:tcBorders>
            <w:shd w:val="clear" w:color="000000" w:fill="FFFFFF"/>
          </w:tcPr>
          <w:p w14:paraId="076DED5E" w14:textId="623AE0F8" w:rsidR="001657AB" w:rsidRPr="00C4712F" w:rsidRDefault="001657AB" w:rsidP="006E41EE">
            <w:pPr>
              <w:spacing w:after="0" w:line="240" w:lineRule="auto"/>
              <w:rPr>
                <w:rFonts w:eastAsia="Times New Roman"/>
                <w:color w:val="000000"/>
              </w:rPr>
            </w:pPr>
            <w:r>
              <w:rPr>
                <w:color w:val="000000"/>
              </w:rPr>
              <w:t>A</w:t>
            </w:r>
          </w:p>
        </w:tc>
      </w:tr>
      <w:tr w:rsidR="001657AB" w:rsidRPr="00C4712F" w14:paraId="0F7A7187"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3BBEFFAA"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B</w:t>
            </w:r>
          </w:p>
        </w:tc>
        <w:tc>
          <w:tcPr>
            <w:tcW w:w="8567" w:type="dxa"/>
            <w:tcBorders>
              <w:top w:val="nil"/>
              <w:left w:val="nil"/>
              <w:bottom w:val="single" w:sz="4" w:space="0" w:color="auto"/>
              <w:right w:val="single" w:sz="4" w:space="0" w:color="auto"/>
            </w:tcBorders>
            <w:shd w:val="clear" w:color="000000" w:fill="FFFFFF"/>
            <w:noWrap/>
            <w:vAlign w:val="bottom"/>
            <w:hideMark/>
          </w:tcPr>
          <w:p w14:paraId="2962E25E"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B: MINING AND QUARRYING  </w:t>
            </w:r>
          </w:p>
        </w:tc>
        <w:tc>
          <w:tcPr>
            <w:tcW w:w="766" w:type="dxa"/>
            <w:tcBorders>
              <w:top w:val="nil"/>
              <w:left w:val="nil"/>
              <w:bottom w:val="single" w:sz="4" w:space="0" w:color="auto"/>
              <w:right w:val="single" w:sz="4" w:space="0" w:color="auto"/>
            </w:tcBorders>
            <w:shd w:val="clear" w:color="000000" w:fill="FFFFFF"/>
          </w:tcPr>
          <w:p w14:paraId="5193002C" w14:textId="07D578EB" w:rsidR="001657AB" w:rsidRPr="00C4712F" w:rsidRDefault="001657AB" w:rsidP="006E41EE">
            <w:pPr>
              <w:spacing w:after="0" w:line="240" w:lineRule="auto"/>
              <w:rPr>
                <w:rFonts w:eastAsia="Times New Roman"/>
                <w:color w:val="000000"/>
              </w:rPr>
            </w:pPr>
            <w:r>
              <w:rPr>
                <w:color w:val="000000"/>
              </w:rPr>
              <w:t>A</w:t>
            </w:r>
          </w:p>
        </w:tc>
      </w:tr>
      <w:tr w:rsidR="001657AB" w:rsidRPr="00C4712F" w14:paraId="5873C37B"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6761FDD7"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C10T12</w:t>
            </w:r>
          </w:p>
        </w:tc>
        <w:tc>
          <w:tcPr>
            <w:tcW w:w="8567" w:type="dxa"/>
            <w:tcBorders>
              <w:top w:val="nil"/>
              <w:left w:val="nil"/>
              <w:bottom w:val="single" w:sz="4" w:space="0" w:color="auto"/>
              <w:right w:val="single" w:sz="4" w:space="0" w:color="auto"/>
            </w:tcBorders>
            <w:shd w:val="clear" w:color="000000" w:fill="FFFFFF"/>
            <w:noWrap/>
            <w:vAlign w:val="bottom"/>
            <w:hideMark/>
          </w:tcPr>
          <w:p w14:paraId="35540AFB"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10-12: Manufacture of food, </w:t>
            </w:r>
            <w:proofErr w:type="gramStart"/>
            <w:r w:rsidRPr="00C4712F">
              <w:rPr>
                <w:rFonts w:eastAsia="Times New Roman"/>
                <w:color w:val="000000"/>
              </w:rPr>
              <w:t>drink</w:t>
            </w:r>
            <w:proofErr w:type="gramEnd"/>
            <w:r w:rsidRPr="00C4712F">
              <w:rPr>
                <w:rFonts w:eastAsia="Times New Roman"/>
                <w:color w:val="000000"/>
              </w:rPr>
              <w:t xml:space="preserve"> and tobacco</w:t>
            </w:r>
          </w:p>
        </w:tc>
        <w:tc>
          <w:tcPr>
            <w:tcW w:w="766" w:type="dxa"/>
            <w:tcBorders>
              <w:top w:val="nil"/>
              <w:left w:val="nil"/>
              <w:bottom w:val="single" w:sz="4" w:space="0" w:color="auto"/>
              <w:right w:val="single" w:sz="4" w:space="0" w:color="auto"/>
            </w:tcBorders>
            <w:shd w:val="clear" w:color="000000" w:fill="FFFFFF"/>
          </w:tcPr>
          <w:p w14:paraId="74360BE8" w14:textId="238C7549" w:rsidR="001657AB" w:rsidRPr="00C4712F" w:rsidRDefault="001657AB" w:rsidP="006E41EE">
            <w:pPr>
              <w:spacing w:after="0" w:line="240" w:lineRule="auto"/>
              <w:rPr>
                <w:rFonts w:eastAsia="Times New Roman"/>
                <w:color w:val="000000"/>
              </w:rPr>
            </w:pPr>
            <w:r>
              <w:rPr>
                <w:color w:val="000000"/>
              </w:rPr>
              <w:t>B</w:t>
            </w:r>
          </w:p>
        </w:tc>
      </w:tr>
      <w:tr w:rsidR="001657AB" w:rsidRPr="00C4712F" w14:paraId="3B4FDAE0"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6C1F3DCB"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C13T15</w:t>
            </w:r>
          </w:p>
        </w:tc>
        <w:tc>
          <w:tcPr>
            <w:tcW w:w="8567" w:type="dxa"/>
            <w:tcBorders>
              <w:top w:val="nil"/>
              <w:left w:val="nil"/>
              <w:bottom w:val="single" w:sz="4" w:space="0" w:color="auto"/>
              <w:right w:val="single" w:sz="4" w:space="0" w:color="auto"/>
            </w:tcBorders>
            <w:shd w:val="clear" w:color="000000" w:fill="FFFFFF"/>
            <w:noWrap/>
            <w:vAlign w:val="bottom"/>
            <w:hideMark/>
          </w:tcPr>
          <w:p w14:paraId="0592751C"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13-15: Manufacture of textiles, wearing apparel, </w:t>
            </w:r>
            <w:proofErr w:type="gramStart"/>
            <w:r w:rsidRPr="00C4712F">
              <w:rPr>
                <w:rFonts w:eastAsia="Times New Roman"/>
                <w:color w:val="000000"/>
              </w:rPr>
              <w:t>leather</w:t>
            </w:r>
            <w:proofErr w:type="gramEnd"/>
            <w:r w:rsidRPr="00C4712F">
              <w:rPr>
                <w:rFonts w:eastAsia="Times New Roman"/>
                <w:color w:val="000000"/>
              </w:rPr>
              <w:t xml:space="preserve"> and leather products</w:t>
            </w:r>
          </w:p>
        </w:tc>
        <w:tc>
          <w:tcPr>
            <w:tcW w:w="766" w:type="dxa"/>
            <w:tcBorders>
              <w:top w:val="nil"/>
              <w:left w:val="nil"/>
              <w:bottom w:val="single" w:sz="4" w:space="0" w:color="auto"/>
              <w:right w:val="single" w:sz="4" w:space="0" w:color="auto"/>
            </w:tcBorders>
            <w:shd w:val="clear" w:color="000000" w:fill="FFFFFF"/>
          </w:tcPr>
          <w:p w14:paraId="5EA35710" w14:textId="5E7C47E9" w:rsidR="001657AB" w:rsidRPr="00C4712F" w:rsidRDefault="001657AB" w:rsidP="006E41EE">
            <w:pPr>
              <w:spacing w:after="0" w:line="240" w:lineRule="auto"/>
              <w:rPr>
                <w:rFonts w:eastAsia="Times New Roman"/>
                <w:color w:val="000000"/>
              </w:rPr>
            </w:pPr>
            <w:r>
              <w:rPr>
                <w:color w:val="000000"/>
              </w:rPr>
              <w:t>C</w:t>
            </w:r>
          </w:p>
        </w:tc>
      </w:tr>
      <w:tr w:rsidR="001657AB" w:rsidRPr="00C4712F" w14:paraId="11C193A6"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018CA9F5"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C16</w:t>
            </w:r>
          </w:p>
        </w:tc>
        <w:tc>
          <w:tcPr>
            <w:tcW w:w="8567" w:type="dxa"/>
            <w:tcBorders>
              <w:top w:val="nil"/>
              <w:left w:val="nil"/>
              <w:bottom w:val="single" w:sz="4" w:space="0" w:color="auto"/>
              <w:right w:val="single" w:sz="4" w:space="0" w:color="auto"/>
            </w:tcBorders>
            <w:shd w:val="clear" w:color="000000" w:fill="FFFFFF"/>
            <w:noWrap/>
            <w:vAlign w:val="bottom"/>
            <w:hideMark/>
          </w:tcPr>
          <w:p w14:paraId="0C60C2AC"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16: Manufacture of wood and of products of wood and cork</w:t>
            </w:r>
          </w:p>
        </w:tc>
        <w:tc>
          <w:tcPr>
            <w:tcW w:w="766" w:type="dxa"/>
            <w:tcBorders>
              <w:top w:val="nil"/>
              <w:left w:val="nil"/>
              <w:bottom w:val="single" w:sz="4" w:space="0" w:color="auto"/>
              <w:right w:val="single" w:sz="4" w:space="0" w:color="auto"/>
            </w:tcBorders>
            <w:shd w:val="clear" w:color="000000" w:fill="FFFFFF"/>
          </w:tcPr>
          <w:p w14:paraId="7718E978" w14:textId="60DFA00B" w:rsidR="001657AB" w:rsidRPr="00C4712F" w:rsidRDefault="001657AB" w:rsidP="006E41EE">
            <w:pPr>
              <w:spacing w:after="0" w:line="240" w:lineRule="auto"/>
              <w:rPr>
                <w:rFonts w:eastAsia="Times New Roman"/>
                <w:color w:val="000000"/>
              </w:rPr>
            </w:pPr>
            <w:r>
              <w:rPr>
                <w:color w:val="000000"/>
              </w:rPr>
              <w:t>C</w:t>
            </w:r>
          </w:p>
        </w:tc>
      </w:tr>
      <w:tr w:rsidR="001657AB" w:rsidRPr="00C4712F" w14:paraId="5CFD2C16"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4A4A0A84"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C17</w:t>
            </w:r>
          </w:p>
        </w:tc>
        <w:tc>
          <w:tcPr>
            <w:tcW w:w="8567" w:type="dxa"/>
            <w:tcBorders>
              <w:top w:val="nil"/>
              <w:left w:val="nil"/>
              <w:bottom w:val="single" w:sz="4" w:space="0" w:color="auto"/>
              <w:right w:val="single" w:sz="4" w:space="0" w:color="auto"/>
            </w:tcBorders>
            <w:shd w:val="clear" w:color="000000" w:fill="FFFFFF"/>
            <w:noWrap/>
            <w:vAlign w:val="bottom"/>
            <w:hideMark/>
          </w:tcPr>
          <w:p w14:paraId="1582412C"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17: Manufacture of paper and paper products  </w:t>
            </w:r>
          </w:p>
        </w:tc>
        <w:tc>
          <w:tcPr>
            <w:tcW w:w="766" w:type="dxa"/>
            <w:tcBorders>
              <w:top w:val="nil"/>
              <w:left w:val="nil"/>
              <w:bottom w:val="single" w:sz="4" w:space="0" w:color="auto"/>
              <w:right w:val="single" w:sz="4" w:space="0" w:color="auto"/>
            </w:tcBorders>
            <w:shd w:val="clear" w:color="000000" w:fill="FFFFFF"/>
          </w:tcPr>
          <w:p w14:paraId="410AF8F2" w14:textId="7E0B9D22" w:rsidR="001657AB" w:rsidRPr="00C4712F" w:rsidRDefault="001657AB" w:rsidP="006E41EE">
            <w:pPr>
              <w:spacing w:after="0" w:line="240" w:lineRule="auto"/>
              <w:rPr>
                <w:rFonts w:eastAsia="Times New Roman"/>
                <w:color w:val="000000"/>
              </w:rPr>
            </w:pPr>
            <w:r>
              <w:rPr>
                <w:color w:val="000000"/>
              </w:rPr>
              <w:t>C</w:t>
            </w:r>
          </w:p>
        </w:tc>
      </w:tr>
      <w:tr w:rsidR="001657AB" w:rsidRPr="00C4712F" w14:paraId="454151AA"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77912F77"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C18</w:t>
            </w:r>
          </w:p>
        </w:tc>
        <w:tc>
          <w:tcPr>
            <w:tcW w:w="8567" w:type="dxa"/>
            <w:tcBorders>
              <w:top w:val="nil"/>
              <w:left w:val="nil"/>
              <w:bottom w:val="single" w:sz="4" w:space="0" w:color="auto"/>
              <w:right w:val="single" w:sz="4" w:space="0" w:color="auto"/>
            </w:tcBorders>
            <w:shd w:val="clear" w:color="000000" w:fill="FFFFFF"/>
            <w:noWrap/>
            <w:vAlign w:val="bottom"/>
            <w:hideMark/>
          </w:tcPr>
          <w:p w14:paraId="17D6E284"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18: Printing and reproduction of recorded media</w:t>
            </w:r>
          </w:p>
        </w:tc>
        <w:tc>
          <w:tcPr>
            <w:tcW w:w="766" w:type="dxa"/>
            <w:tcBorders>
              <w:top w:val="nil"/>
              <w:left w:val="nil"/>
              <w:bottom w:val="single" w:sz="4" w:space="0" w:color="auto"/>
              <w:right w:val="single" w:sz="4" w:space="0" w:color="auto"/>
            </w:tcBorders>
            <w:shd w:val="clear" w:color="000000" w:fill="FFFFFF"/>
          </w:tcPr>
          <w:p w14:paraId="29BCA637" w14:textId="1E982B12" w:rsidR="001657AB" w:rsidRPr="00C4712F" w:rsidRDefault="001657AB" w:rsidP="006E41EE">
            <w:pPr>
              <w:spacing w:after="0" w:line="240" w:lineRule="auto"/>
              <w:rPr>
                <w:rFonts w:eastAsia="Times New Roman"/>
                <w:color w:val="000000"/>
              </w:rPr>
            </w:pPr>
            <w:r>
              <w:rPr>
                <w:color w:val="000000"/>
              </w:rPr>
              <w:t>C</w:t>
            </w:r>
          </w:p>
        </w:tc>
      </w:tr>
      <w:tr w:rsidR="001657AB" w:rsidRPr="00C4712F" w14:paraId="56ED9EE2"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75E6BDBF"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C19</w:t>
            </w:r>
          </w:p>
        </w:tc>
        <w:tc>
          <w:tcPr>
            <w:tcW w:w="8567" w:type="dxa"/>
            <w:tcBorders>
              <w:top w:val="nil"/>
              <w:left w:val="nil"/>
              <w:bottom w:val="single" w:sz="4" w:space="0" w:color="auto"/>
              <w:right w:val="single" w:sz="4" w:space="0" w:color="auto"/>
            </w:tcBorders>
            <w:shd w:val="clear" w:color="000000" w:fill="FFFFFF"/>
            <w:noWrap/>
            <w:vAlign w:val="bottom"/>
            <w:hideMark/>
          </w:tcPr>
          <w:p w14:paraId="300A442B"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19: Manufacture of coke and refined petroleum products  </w:t>
            </w:r>
          </w:p>
        </w:tc>
        <w:tc>
          <w:tcPr>
            <w:tcW w:w="766" w:type="dxa"/>
            <w:tcBorders>
              <w:top w:val="nil"/>
              <w:left w:val="nil"/>
              <w:bottom w:val="single" w:sz="4" w:space="0" w:color="auto"/>
              <w:right w:val="single" w:sz="4" w:space="0" w:color="auto"/>
            </w:tcBorders>
            <w:shd w:val="clear" w:color="000000" w:fill="FFFFFF"/>
          </w:tcPr>
          <w:p w14:paraId="14E60229" w14:textId="4EB925FC" w:rsidR="001657AB" w:rsidRPr="00C4712F" w:rsidRDefault="001657AB" w:rsidP="006E41EE">
            <w:pPr>
              <w:spacing w:after="0" w:line="240" w:lineRule="auto"/>
              <w:rPr>
                <w:rFonts w:eastAsia="Times New Roman"/>
                <w:color w:val="000000"/>
              </w:rPr>
            </w:pPr>
            <w:r>
              <w:rPr>
                <w:color w:val="000000"/>
              </w:rPr>
              <w:t>C</w:t>
            </w:r>
          </w:p>
        </w:tc>
      </w:tr>
      <w:tr w:rsidR="001657AB" w:rsidRPr="00C4712F" w14:paraId="647985F4"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74F52295"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C20</w:t>
            </w:r>
          </w:p>
        </w:tc>
        <w:tc>
          <w:tcPr>
            <w:tcW w:w="8567" w:type="dxa"/>
            <w:tcBorders>
              <w:top w:val="nil"/>
              <w:left w:val="nil"/>
              <w:bottom w:val="single" w:sz="4" w:space="0" w:color="auto"/>
              <w:right w:val="single" w:sz="4" w:space="0" w:color="auto"/>
            </w:tcBorders>
            <w:shd w:val="clear" w:color="000000" w:fill="FFFFFF"/>
            <w:noWrap/>
            <w:vAlign w:val="bottom"/>
            <w:hideMark/>
          </w:tcPr>
          <w:p w14:paraId="7B3CB033"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20: Manufacture of chemicals and chemical products  </w:t>
            </w:r>
          </w:p>
        </w:tc>
        <w:tc>
          <w:tcPr>
            <w:tcW w:w="766" w:type="dxa"/>
            <w:tcBorders>
              <w:top w:val="nil"/>
              <w:left w:val="nil"/>
              <w:bottom w:val="single" w:sz="4" w:space="0" w:color="auto"/>
              <w:right w:val="single" w:sz="4" w:space="0" w:color="auto"/>
            </w:tcBorders>
            <w:shd w:val="clear" w:color="000000" w:fill="FFFFFF"/>
          </w:tcPr>
          <w:p w14:paraId="6240A151" w14:textId="2FF30339" w:rsidR="001657AB" w:rsidRPr="00C4712F" w:rsidRDefault="001657AB" w:rsidP="006E41EE">
            <w:pPr>
              <w:spacing w:after="0" w:line="240" w:lineRule="auto"/>
              <w:rPr>
                <w:rFonts w:eastAsia="Times New Roman"/>
                <w:color w:val="000000"/>
              </w:rPr>
            </w:pPr>
            <w:r>
              <w:rPr>
                <w:color w:val="000000"/>
              </w:rPr>
              <w:t>C</w:t>
            </w:r>
          </w:p>
        </w:tc>
      </w:tr>
      <w:tr w:rsidR="001657AB" w:rsidRPr="00C4712F" w14:paraId="5C35B9C6"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2514C034"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C21</w:t>
            </w:r>
          </w:p>
        </w:tc>
        <w:tc>
          <w:tcPr>
            <w:tcW w:w="8567" w:type="dxa"/>
            <w:tcBorders>
              <w:top w:val="nil"/>
              <w:left w:val="nil"/>
              <w:bottom w:val="single" w:sz="4" w:space="0" w:color="auto"/>
              <w:right w:val="single" w:sz="4" w:space="0" w:color="auto"/>
            </w:tcBorders>
            <w:shd w:val="clear" w:color="000000" w:fill="FFFFFF"/>
            <w:noWrap/>
            <w:vAlign w:val="bottom"/>
            <w:hideMark/>
          </w:tcPr>
          <w:p w14:paraId="281E4736"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21: Manufacture of basic pharmaceutical products and pharmaceutical preparations</w:t>
            </w:r>
          </w:p>
        </w:tc>
        <w:tc>
          <w:tcPr>
            <w:tcW w:w="766" w:type="dxa"/>
            <w:tcBorders>
              <w:top w:val="nil"/>
              <w:left w:val="nil"/>
              <w:bottom w:val="single" w:sz="4" w:space="0" w:color="auto"/>
              <w:right w:val="single" w:sz="4" w:space="0" w:color="auto"/>
            </w:tcBorders>
            <w:shd w:val="clear" w:color="000000" w:fill="FFFFFF"/>
          </w:tcPr>
          <w:p w14:paraId="2C9E9E90" w14:textId="18CF70E9" w:rsidR="001657AB" w:rsidRPr="00C4712F" w:rsidRDefault="001657AB" w:rsidP="006E41EE">
            <w:pPr>
              <w:spacing w:after="0" w:line="240" w:lineRule="auto"/>
              <w:rPr>
                <w:rFonts w:eastAsia="Times New Roman"/>
                <w:color w:val="000000"/>
              </w:rPr>
            </w:pPr>
            <w:r>
              <w:rPr>
                <w:color w:val="000000"/>
              </w:rPr>
              <w:t>C</w:t>
            </w:r>
          </w:p>
        </w:tc>
      </w:tr>
      <w:tr w:rsidR="001657AB" w:rsidRPr="00C4712F" w14:paraId="33DA11A7"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1424DB5E"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C22</w:t>
            </w:r>
          </w:p>
        </w:tc>
        <w:tc>
          <w:tcPr>
            <w:tcW w:w="8567" w:type="dxa"/>
            <w:tcBorders>
              <w:top w:val="nil"/>
              <w:left w:val="nil"/>
              <w:bottom w:val="single" w:sz="4" w:space="0" w:color="auto"/>
              <w:right w:val="single" w:sz="4" w:space="0" w:color="auto"/>
            </w:tcBorders>
            <w:shd w:val="clear" w:color="000000" w:fill="FFFFFF"/>
            <w:noWrap/>
            <w:vAlign w:val="bottom"/>
            <w:hideMark/>
          </w:tcPr>
          <w:p w14:paraId="650050FB"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22: Manufacture of rubber and plastic products  </w:t>
            </w:r>
          </w:p>
        </w:tc>
        <w:tc>
          <w:tcPr>
            <w:tcW w:w="766" w:type="dxa"/>
            <w:tcBorders>
              <w:top w:val="nil"/>
              <w:left w:val="nil"/>
              <w:bottom w:val="single" w:sz="4" w:space="0" w:color="auto"/>
              <w:right w:val="single" w:sz="4" w:space="0" w:color="auto"/>
            </w:tcBorders>
            <w:shd w:val="clear" w:color="000000" w:fill="FFFFFF"/>
          </w:tcPr>
          <w:p w14:paraId="582F90FD" w14:textId="692B4DE5" w:rsidR="001657AB" w:rsidRPr="00C4712F" w:rsidRDefault="001657AB" w:rsidP="006E41EE">
            <w:pPr>
              <w:spacing w:after="0" w:line="240" w:lineRule="auto"/>
              <w:rPr>
                <w:rFonts w:eastAsia="Times New Roman"/>
                <w:color w:val="000000"/>
              </w:rPr>
            </w:pPr>
            <w:r>
              <w:rPr>
                <w:color w:val="000000"/>
              </w:rPr>
              <w:t>C</w:t>
            </w:r>
          </w:p>
        </w:tc>
      </w:tr>
      <w:tr w:rsidR="001657AB" w:rsidRPr="00C4712F" w14:paraId="51B9201D"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4FE4020B"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C23</w:t>
            </w:r>
          </w:p>
        </w:tc>
        <w:tc>
          <w:tcPr>
            <w:tcW w:w="8567" w:type="dxa"/>
            <w:tcBorders>
              <w:top w:val="nil"/>
              <w:left w:val="nil"/>
              <w:bottom w:val="single" w:sz="4" w:space="0" w:color="auto"/>
              <w:right w:val="single" w:sz="4" w:space="0" w:color="auto"/>
            </w:tcBorders>
            <w:shd w:val="clear" w:color="000000" w:fill="FFFFFF"/>
            <w:noWrap/>
            <w:vAlign w:val="bottom"/>
            <w:hideMark/>
          </w:tcPr>
          <w:p w14:paraId="792F39AF"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23: Manufacture of other non-metallic mineral products  </w:t>
            </w:r>
          </w:p>
        </w:tc>
        <w:tc>
          <w:tcPr>
            <w:tcW w:w="766" w:type="dxa"/>
            <w:tcBorders>
              <w:top w:val="nil"/>
              <w:left w:val="nil"/>
              <w:bottom w:val="single" w:sz="4" w:space="0" w:color="auto"/>
              <w:right w:val="single" w:sz="4" w:space="0" w:color="auto"/>
            </w:tcBorders>
            <w:shd w:val="clear" w:color="000000" w:fill="FFFFFF"/>
          </w:tcPr>
          <w:p w14:paraId="23C4D8AD" w14:textId="3D582D52" w:rsidR="001657AB" w:rsidRPr="00C4712F" w:rsidRDefault="001657AB" w:rsidP="006E41EE">
            <w:pPr>
              <w:spacing w:after="0" w:line="240" w:lineRule="auto"/>
              <w:rPr>
                <w:rFonts w:eastAsia="Times New Roman"/>
                <w:color w:val="000000"/>
              </w:rPr>
            </w:pPr>
            <w:r>
              <w:rPr>
                <w:color w:val="000000"/>
              </w:rPr>
              <w:t>C</w:t>
            </w:r>
          </w:p>
        </w:tc>
      </w:tr>
      <w:tr w:rsidR="001657AB" w:rsidRPr="00C4712F" w14:paraId="7E720DD5"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4611EC60"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C24</w:t>
            </w:r>
          </w:p>
        </w:tc>
        <w:tc>
          <w:tcPr>
            <w:tcW w:w="8567" w:type="dxa"/>
            <w:tcBorders>
              <w:top w:val="nil"/>
              <w:left w:val="nil"/>
              <w:bottom w:val="single" w:sz="4" w:space="0" w:color="auto"/>
              <w:right w:val="single" w:sz="4" w:space="0" w:color="auto"/>
            </w:tcBorders>
            <w:shd w:val="clear" w:color="000000" w:fill="FFFFFF"/>
            <w:noWrap/>
            <w:vAlign w:val="bottom"/>
            <w:hideMark/>
          </w:tcPr>
          <w:p w14:paraId="38A5F1AC"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24: Manufacture of basic metals</w:t>
            </w:r>
          </w:p>
        </w:tc>
        <w:tc>
          <w:tcPr>
            <w:tcW w:w="766" w:type="dxa"/>
            <w:tcBorders>
              <w:top w:val="nil"/>
              <w:left w:val="nil"/>
              <w:bottom w:val="single" w:sz="4" w:space="0" w:color="auto"/>
              <w:right w:val="single" w:sz="4" w:space="0" w:color="auto"/>
            </w:tcBorders>
            <w:shd w:val="clear" w:color="000000" w:fill="FFFFFF"/>
          </w:tcPr>
          <w:p w14:paraId="5135224F" w14:textId="7ACF888A" w:rsidR="001657AB" w:rsidRPr="00C4712F" w:rsidRDefault="001657AB" w:rsidP="006E41EE">
            <w:pPr>
              <w:spacing w:after="0" w:line="240" w:lineRule="auto"/>
              <w:rPr>
                <w:rFonts w:eastAsia="Times New Roman"/>
                <w:color w:val="000000"/>
              </w:rPr>
            </w:pPr>
            <w:r>
              <w:rPr>
                <w:color w:val="000000"/>
              </w:rPr>
              <w:t>C</w:t>
            </w:r>
          </w:p>
        </w:tc>
      </w:tr>
      <w:tr w:rsidR="001657AB" w:rsidRPr="00C4712F" w14:paraId="44212740"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78899C1C"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C25</w:t>
            </w:r>
          </w:p>
        </w:tc>
        <w:tc>
          <w:tcPr>
            <w:tcW w:w="8567" w:type="dxa"/>
            <w:tcBorders>
              <w:top w:val="nil"/>
              <w:left w:val="nil"/>
              <w:bottom w:val="single" w:sz="4" w:space="0" w:color="auto"/>
              <w:right w:val="single" w:sz="4" w:space="0" w:color="auto"/>
            </w:tcBorders>
            <w:shd w:val="clear" w:color="000000" w:fill="FFFFFF"/>
            <w:noWrap/>
            <w:vAlign w:val="bottom"/>
            <w:hideMark/>
          </w:tcPr>
          <w:p w14:paraId="5236E890"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25: Manufacture of fabricated metal products, except machinery and equipment  </w:t>
            </w:r>
          </w:p>
        </w:tc>
        <w:tc>
          <w:tcPr>
            <w:tcW w:w="766" w:type="dxa"/>
            <w:tcBorders>
              <w:top w:val="nil"/>
              <w:left w:val="nil"/>
              <w:bottom w:val="single" w:sz="4" w:space="0" w:color="auto"/>
              <w:right w:val="single" w:sz="4" w:space="0" w:color="auto"/>
            </w:tcBorders>
            <w:shd w:val="clear" w:color="000000" w:fill="FFFFFF"/>
          </w:tcPr>
          <w:p w14:paraId="1F84C909" w14:textId="06B6099A" w:rsidR="001657AB" w:rsidRPr="00C4712F" w:rsidRDefault="001657AB" w:rsidP="006E41EE">
            <w:pPr>
              <w:spacing w:after="0" w:line="240" w:lineRule="auto"/>
              <w:rPr>
                <w:rFonts w:eastAsia="Times New Roman"/>
                <w:color w:val="000000"/>
              </w:rPr>
            </w:pPr>
            <w:r>
              <w:rPr>
                <w:color w:val="000000"/>
              </w:rPr>
              <w:t>C</w:t>
            </w:r>
          </w:p>
        </w:tc>
      </w:tr>
      <w:tr w:rsidR="001657AB" w:rsidRPr="00C4712F" w14:paraId="7B291788"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46EB98F1"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C26</w:t>
            </w:r>
          </w:p>
        </w:tc>
        <w:tc>
          <w:tcPr>
            <w:tcW w:w="8567" w:type="dxa"/>
            <w:tcBorders>
              <w:top w:val="nil"/>
              <w:left w:val="nil"/>
              <w:bottom w:val="single" w:sz="4" w:space="0" w:color="auto"/>
              <w:right w:val="single" w:sz="4" w:space="0" w:color="auto"/>
            </w:tcBorders>
            <w:shd w:val="clear" w:color="000000" w:fill="FFFFFF"/>
            <w:noWrap/>
            <w:vAlign w:val="bottom"/>
            <w:hideMark/>
          </w:tcPr>
          <w:p w14:paraId="57573575"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26: Manufacture of computer, electronic and optical products  </w:t>
            </w:r>
          </w:p>
        </w:tc>
        <w:tc>
          <w:tcPr>
            <w:tcW w:w="766" w:type="dxa"/>
            <w:tcBorders>
              <w:top w:val="nil"/>
              <w:left w:val="nil"/>
              <w:bottom w:val="single" w:sz="4" w:space="0" w:color="auto"/>
              <w:right w:val="single" w:sz="4" w:space="0" w:color="auto"/>
            </w:tcBorders>
            <w:shd w:val="clear" w:color="000000" w:fill="FFFFFF"/>
          </w:tcPr>
          <w:p w14:paraId="47AAB686" w14:textId="109B08FA" w:rsidR="001657AB" w:rsidRPr="00C4712F" w:rsidRDefault="001657AB" w:rsidP="006E41EE">
            <w:pPr>
              <w:spacing w:after="0" w:line="240" w:lineRule="auto"/>
              <w:rPr>
                <w:rFonts w:eastAsia="Times New Roman"/>
                <w:color w:val="000000"/>
              </w:rPr>
            </w:pPr>
            <w:r>
              <w:rPr>
                <w:color w:val="000000"/>
              </w:rPr>
              <w:t>C</w:t>
            </w:r>
          </w:p>
        </w:tc>
      </w:tr>
      <w:tr w:rsidR="001657AB" w:rsidRPr="00C4712F" w14:paraId="38A5FF49"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7278A8F9"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C27</w:t>
            </w:r>
          </w:p>
        </w:tc>
        <w:tc>
          <w:tcPr>
            <w:tcW w:w="8567" w:type="dxa"/>
            <w:tcBorders>
              <w:top w:val="nil"/>
              <w:left w:val="nil"/>
              <w:bottom w:val="single" w:sz="4" w:space="0" w:color="auto"/>
              <w:right w:val="single" w:sz="4" w:space="0" w:color="auto"/>
            </w:tcBorders>
            <w:shd w:val="clear" w:color="000000" w:fill="FFFFFF"/>
            <w:noWrap/>
            <w:vAlign w:val="bottom"/>
            <w:hideMark/>
          </w:tcPr>
          <w:p w14:paraId="19F7604E"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27: Manufacture of electrical equipment</w:t>
            </w:r>
          </w:p>
        </w:tc>
        <w:tc>
          <w:tcPr>
            <w:tcW w:w="766" w:type="dxa"/>
            <w:tcBorders>
              <w:top w:val="nil"/>
              <w:left w:val="nil"/>
              <w:bottom w:val="single" w:sz="4" w:space="0" w:color="auto"/>
              <w:right w:val="single" w:sz="4" w:space="0" w:color="auto"/>
            </w:tcBorders>
            <w:shd w:val="clear" w:color="000000" w:fill="FFFFFF"/>
          </w:tcPr>
          <w:p w14:paraId="42364FF3" w14:textId="26B422DB" w:rsidR="001657AB" w:rsidRPr="00C4712F" w:rsidRDefault="001657AB" w:rsidP="006E41EE">
            <w:pPr>
              <w:spacing w:after="0" w:line="240" w:lineRule="auto"/>
              <w:rPr>
                <w:rFonts w:eastAsia="Times New Roman"/>
                <w:color w:val="000000"/>
              </w:rPr>
            </w:pPr>
            <w:r>
              <w:rPr>
                <w:color w:val="000000"/>
              </w:rPr>
              <w:t>C</w:t>
            </w:r>
          </w:p>
        </w:tc>
      </w:tr>
      <w:tr w:rsidR="001657AB" w:rsidRPr="00C4712F" w14:paraId="3B7BD369"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533F5D79"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C28</w:t>
            </w:r>
          </w:p>
        </w:tc>
        <w:tc>
          <w:tcPr>
            <w:tcW w:w="8567" w:type="dxa"/>
            <w:tcBorders>
              <w:top w:val="nil"/>
              <w:left w:val="nil"/>
              <w:bottom w:val="single" w:sz="4" w:space="0" w:color="auto"/>
              <w:right w:val="single" w:sz="4" w:space="0" w:color="auto"/>
            </w:tcBorders>
            <w:shd w:val="clear" w:color="000000" w:fill="FFFFFF"/>
            <w:noWrap/>
            <w:vAlign w:val="bottom"/>
            <w:hideMark/>
          </w:tcPr>
          <w:p w14:paraId="40F1CF83"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28: Manufacture of machinery and equipment  </w:t>
            </w:r>
          </w:p>
        </w:tc>
        <w:tc>
          <w:tcPr>
            <w:tcW w:w="766" w:type="dxa"/>
            <w:tcBorders>
              <w:top w:val="nil"/>
              <w:left w:val="nil"/>
              <w:bottom w:val="single" w:sz="4" w:space="0" w:color="auto"/>
              <w:right w:val="single" w:sz="4" w:space="0" w:color="auto"/>
            </w:tcBorders>
            <w:shd w:val="clear" w:color="000000" w:fill="FFFFFF"/>
          </w:tcPr>
          <w:p w14:paraId="17B2A54A" w14:textId="67AA02B3" w:rsidR="001657AB" w:rsidRPr="00C4712F" w:rsidRDefault="001657AB" w:rsidP="006E41EE">
            <w:pPr>
              <w:spacing w:after="0" w:line="240" w:lineRule="auto"/>
              <w:rPr>
                <w:rFonts w:eastAsia="Times New Roman"/>
                <w:color w:val="000000"/>
              </w:rPr>
            </w:pPr>
            <w:r>
              <w:rPr>
                <w:color w:val="000000"/>
              </w:rPr>
              <w:t>C</w:t>
            </w:r>
          </w:p>
        </w:tc>
      </w:tr>
      <w:tr w:rsidR="001657AB" w:rsidRPr="00C4712F" w14:paraId="01E85642"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186A4095"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C29</w:t>
            </w:r>
          </w:p>
        </w:tc>
        <w:tc>
          <w:tcPr>
            <w:tcW w:w="8567" w:type="dxa"/>
            <w:tcBorders>
              <w:top w:val="nil"/>
              <w:left w:val="nil"/>
              <w:bottom w:val="single" w:sz="4" w:space="0" w:color="auto"/>
              <w:right w:val="single" w:sz="4" w:space="0" w:color="auto"/>
            </w:tcBorders>
            <w:shd w:val="clear" w:color="000000" w:fill="FFFFFF"/>
            <w:noWrap/>
            <w:vAlign w:val="bottom"/>
            <w:hideMark/>
          </w:tcPr>
          <w:p w14:paraId="3F3C5B03"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29: Manufacture of motor vehicles, </w:t>
            </w:r>
            <w:proofErr w:type="gramStart"/>
            <w:r w:rsidRPr="00C4712F">
              <w:rPr>
                <w:rFonts w:eastAsia="Times New Roman"/>
                <w:color w:val="000000"/>
              </w:rPr>
              <w:t>trailers</w:t>
            </w:r>
            <w:proofErr w:type="gramEnd"/>
            <w:r w:rsidRPr="00C4712F">
              <w:rPr>
                <w:rFonts w:eastAsia="Times New Roman"/>
                <w:color w:val="000000"/>
              </w:rPr>
              <w:t xml:space="preserve"> and semi-trailers</w:t>
            </w:r>
          </w:p>
        </w:tc>
        <w:tc>
          <w:tcPr>
            <w:tcW w:w="766" w:type="dxa"/>
            <w:tcBorders>
              <w:top w:val="nil"/>
              <w:left w:val="nil"/>
              <w:bottom w:val="single" w:sz="4" w:space="0" w:color="auto"/>
              <w:right w:val="single" w:sz="4" w:space="0" w:color="auto"/>
            </w:tcBorders>
            <w:shd w:val="clear" w:color="000000" w:fill="FFFFFF"/>
          </w:tcPr>
          <w:p w14:paraId="097C557D" w14:textId="00367063" w:rsidR="001657AB" w:rsidRPr="00C4712F" w:rsidRDefault="001657AB" w:rsidP="006E41EE">
            <w:pPr>
              <w:spacing w:after="0" w:line="240" w:lineRule="auto"/>
              <w:rPr>
                <w:rFonts w:eastAsia="Times New Roman"/>
                <w:color w:val="000000"/>
              </w:rPr>
            </w:pPr>
            <w:r>
              <w:rPr>
                <w:color w:val="000000"/>
              </w:rPr>
              <w:t>D</w:t>
            </w:r>
          </w:p>
        </w:tc>
      </w:tr>
      <w:tr w:rsidR="001657AB" w:rsidRPr="00C4712F" w14:paraId="13DBD6B0"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4941DE25"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C30</w:t>
            </w:r>
          </w:p>
        </w:tc>
        <w:tc>
          <w:tcPr>
            <w:tcW w:w="8567" w:type="dxa"/>
            <w:tcBorders>
              <w:top w:val="nil"/>
              <w:left w:val="nil"/>
              <w:bottom w:val="single" w:sz="4" w:space="0" w:color="auto"/>
              <w:right w:val="single" w:sz="4" w:space="0" w:color="auto"/>
            </w:tcBorders>
            <w:shd w:val="clear" w:color="000000" w:fill="FFFFFF"/>
            <w:noWrap/>
            <w:vAlign w:val="bottom"/>
            <w:hideMark/>
          </w:tcPr>
          <w:p w14:paraId="7EF405CF"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30: Manufacture of other transport equipment  </w:t>
            </w:r>
          </w:p>
        </w:tc>
        <w:tc>
          <w:tcPr>
            <w:tcW w:w="766" w:type="dxa"/>
            <w:tcBorders>
              <w:top w:val="nil"/>
              <w:left w:val="nil"/>
              <w:bottom w:val="single" w:sz="4" w:space="0" w:color="auto"/>
              <w:right w:val="single" w:sz="4" w:space="0" w:color="auto"/>
            </w:tcBorders>
            <w:shd w:val="clear" w:color="000000" w:fill="FFFFFF"/>
          </w:tcPr>
          <w:p w14:paraId="728FDB45" w14:textId="438233E5" w:rsidR="001657AB" w:rsidRPr="00C4712F" w:rsidRDefault="001657AB" w:rsidP="006E41EE">
            <w:pPr>
              <w:spacing w:after="0" w:line="240" w:lineRule="auto"/>
              <w:rPr>
                <w:rFonts w:eastAsia="Times New Roman"/>
                <w:color w:val="000000"/>
              </w:rPr>
            </w:pPr>
            <w:r>
              <w:rPr>
                <w:color w:val="000000"/>
              </w:rPr>
              <w:t>C</w:t>
            </w:r>
          </w:p>
        </w:tc>
      </w:tr>
      <w:tr w:rsidR="001657AB" w:rsidRPr="00C4712F" w14:paraId="54442339"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73C7D1B6"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C31_32</w:t>
            </w:r>
          </w:p>
        </w:tc>
        <w:tc>
          <w:tcPr>
            <w:tcW w:w="8567" w:type="dxa"/>
            <w:tcBorders>
              <w:top w:val="nil"/>
              <w:left w:val="nil"/>
              <w:bottom w:val="single" w:sz="4" w:space="0" w:color="auto"/>
              <w:right w:val="single" w:sz="4" w:space="0" w:color="auto"/>
            </w:tcBorders>
            <w:shd w:val="clear" w:color="000000" w:fill="FFFFFF"/>
            <w:noWrap/>
            <w:vAlign w:val="bottom"/>
            <w:hideMark/>
          </w:tcPr>
          <w:p w14:paraId="53C520A9"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31-32: Manufacture of furniture and other manufacturing</w:t>
            </w:r>
          </w:p>
        </w:tc>
        <w:tc>
          <w:tcPr>
            <w:tcW w:w="766" w:type="dxa"/>
            <w:tcBorders>
              <w:top w:val="nil"/>
              <w:left w:val="nil"/>
              <w:bottom w:val="single" w:sz="4" w:space="0" w:color="auto"/>
              <w:right w:val="single" w:sz="4" w:space="0" w:color="auto"/>
            </w:tcBorders>
            <w:shd w:val="clear" w:color="000000" w:fill="FFFFFF"/>
          </w:tcPr>
          <w:p w14:paraId="4C82E2D0" w14:textId="750DBF4B" w:rsidR="001657AB" w:rsidRPr="00C4712F" w:rsidRDefault="001657AB" w:rsidP="006E41EE">
            <w:pPr>
              <w:spacing w:after="0" w:line="240" w:lineRule="auto"/>
              <w:rPr>
                <w:rFonts w:eastAsia="Times New Roman"/>
                <w:color w:val="000000"/>
              </w:rPr>
            </w:pPr>
            <w:r>
              <w:rPr>
                <w:color w:val="000000"/>
              </w:rPr>
              <w:t>C</w:t>
            </w:r>
          </w:p>
        </w:tc>
      </w:tr>
      <w:tr w:rsidR="001657AB" w:rsidRPr="00C4712F" w14:paraId="6EFF4A9B"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55081D7E"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C33</w:t>
            </w:r>
          </w:p>
        </w:tc>
        <w:tc>
          <w:tcPr>
            <w:tcW w:w="8567" w:type="dxa"/>
            <w:tcBorders>
              <w:top w:val="nil"/>
              <w:left w:val="nil"/>
              <w:bottom w:val="single" w:sz="4" w:space="0" w:color="auto"/>
              <w:right w:val="single" w:sz="4" w:space="0" w:color="auto"/>
            </w:tcBorders>
            <w:shd w:val="clear" w:color="000000" w:fill="FFFFFF"/>
            <w:noWrap/>
            <w:vAlign w:val="bottom"/>
            <w:hideMark/>
          </w:tcPr>
          <w:p w14:paraId="3360582B"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33: Repair and installation of machinery and equipment</w:t>
            </w:r>
          </w:p>
        </w:tc>
        <w:tc>
          <w:tcPr>
            <w:tcW w:w="766" w:type="dxa"/>
            <w:tcBorders>
              <w:top w:val="nil"/>
              <w:left w:val="nil"/>
              <w:bottom w:val="single" w:sz="4" w:space="0" w:color="auto"/>
              <w:right w:val="single" w:sz="4" w:space="0" w:color="auto"/>
            </w:tcBorders>
            <w:shd w:val="clear" w:color="000000" w:fill="FFFFFF"/>
          </w:tcPr>
          <w:p w14:paraId="12234AF5" w14:textId="2B708613" w:rsidR="001657AB" w:rsidRPr="00C4712F" w:rsidRDefault="001657AB" w:rsidP="006E41EE">
            <w:pPr>
              <w:spacing w:after="0" w:line="240" w:lineRule="auto"/>
              <w:rPr>
                <w:rFonts w:eastAsia="Times New Roman"/>
                <w:color w:val="000000"/>
              </w:rPr>
            </w:pPr>
            <w:r>
              <w:rPr>
                <w:color w:val="000000"/>
              </w:rPr>
              <w:t>A</w:t>
            </w:r>
          </w:p>
        </w:tc>
      </w:tr>
      <w:tr w:rsidR="001657AB" w:rsidRPr="00C4712F" w14:paraId="13F89DC9"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52DDFF96"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D</w:t>
            </w:r>
          </w:p>
        </w:tc>
        <w:tc>
          <w:tcPr>
            <w:tcW w:w="8567" w:type="dxa"/>
            <w:tcBorders>
              <w:top w:val="nil"/>
              <w:left w:val="nil"/>
              <w:bottom w:val="single" w:sz="4" w:space="0" w:color="auto"/>
              <w:right w:val="single" w:sz="4" w:space="0" w:color="auto"/>
            </w:tcBorders>
            <w:shd w:val="clear" w:color="000000" w:fill="FFFFFF"/>
            <w:noWrap/>
            <w:vAlign w:val="bottom"/>
            <w:hideMark/>
          </w:tcPr>
          <w:p w14:paraId="29A31142"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D: ELECTRICITY, GAS, STEAM AND AIR CONDITIONING SUPPLY  </w:t>
            </w:r>
          </w:p>
        </w:tc>
        <w:tc>
          <w:tcPr>
            <w:tcW w:w="766" w:type="dxa"/>
            <w:tcBorders>
              <w:top w:val="nil"/>
              <w:left w:val="nil"/>
              <w:bottom w:val="single" w:sz="4" w:space="0" w:color="auto"/>
              <w:right w:val="single" w:sz="4" w:space="0" w:color="auto"/>
            </w:tcBorders>
            <w:shd w:val="clear" w:color="000000" w:fill="FFFFFF"/>
          </w:tcPr>
          <w:p w14:paraId="6FD9DCCD" w14:textId="16D45B0D" w:rsidR="001657AB" w:rsidRPr="00C4712F" w:rsidRDefault="001657AB" w:rsidP="006E41EE">
            <w:pPr>
              <w:spacing w:after="0" w:line="240" w:lineRule="auto"/>
              <w:rPr>
                <w:rFonts w:eastAsia="Times New Roman"/>
                <w:color w:val="000000"/>
              </w:rPr>
            </w:pPr>
            <w:r>
              <w:rPr>
                <w:color w:val="000000"/>
              </w:rPr>
              <w:t>E</w:t>
            </w:r>
          </w:p>
        </w:tc>
      </w:tr>
      <w:tr w:rsidR="001657AB" w:rsidRPr="00C4712F" w14:paraId="3E334531"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43C9DE7E"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E</w:t>
            </w:r>
          </w:p>
        </w:tc>
        <w:tc>
          <w:tcPr>
            <w:tcW w:w="8567" w:type="dxa"/>
            <w:tcBorders>
              <w:top w:val="nil"/>
              <w:left w:val="nil"/>
              <w:bottom w:val="single" w:sz="4" w:space="0" w:color="auto"/>
              <w:right w:val="single" w:sz="4" w:space="0" w:color="auto"/>
            </w:tcBorders>
            <w:shd w:val="clear" w:color="000000" w:fill="FFFFFF"/>
            <w:noWrap/>
            <w:vAlign w:val="bottom"/>
            <w:hideMark/>
          </w:tcPr>
          <w:p w14:paraId="326963A3"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E: </w:t>
            </w:r>
            <w:r>
              <w:rPr>
                <w:rFonts w:eastAsia="Times New Roman"/>
                <w:color w:val="000000"/>
              </w:rPr>
              <w:t>W</w:t>
            </w:r>
            <w:r w:rsidRPr="00C4712F">
              <w:rPr>
                <w:rFonts w:eastAsia="Times New Roman"/>
                <w:color w:val="000000"/>
              </w:rPr>
              <w:t>ater supply; sewerage, waste management and remediation activities</w:t>
            </w:r>
          </w:p>
        </w:tc>
        <w:tc>
          <w:tcPr>
            <w:tcW w:w="766" w:type="dxa"/>
            <w:tcBorders>
              <w:top w:val="nil"/>
              <w:left w:val="nil"/>
              <w:bottom w:val="single" w:sz="4" w:space="0" w:color="auto"/>
              <w:right w:val="single" w:sz="4" w:space="0" w:color="auto"/>
            </w:tcBorders>
            <w:shd w:val="clear" w:color="000000" w:fill="FFFFFF"/>
          </w:tcPr>
          <w:p w14:paraId="10203238" w14:textId="6BB5B486" w:rsidR="001657AB" w:rsidRPr="00C4712F" w:rsidRDefault="001657AB" w:rsidP="006E41EE">
            <w:pPr>
              <w:spacing w:after="0" w:line="240" w:lineRule="auto"/>
              <w:rPr>
                <w:rFonts w:eastAsia="Times New Roman"/>
                <w:color w:val="000000"/>
              </w:rPr>
            </w:pPr>
            <w:r>
              <w:rPr>
                <w:color w:val="000000"/>
              </w:rPr>
              <w:t>E</w:t>
            </w:r>
          </w:p>
        </w:tc>
      </w:tr>
      <w:tr w:rsidR="001657AB" w:rsidRPr="00C4712F" w14:paraId="052E64C0"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4FF24124"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F</w:t>
            </w:r>
          </w:p>
        </w:tc>
        <w:tc>
          <w:tcPr>
            <w:tcW w:w="8567" w:type="dxa"/>
            <w:tcBorders>
              <w:top w:val="nil"/>
              <w:left w:val="nil"/>
              <w:bottom w:val="single" w:sz="4" w:space="0" w:color="auto"/>
              <w:right w:val="single" w:sz="4" w:space="0" w:color="auto"/>
            </w:tcBorders>
            <w:shd w:val="clear" w:color="000000" w:fill="FFFFFF"/>
            <w:noWrap/>
            <w:vAlign w:val="bottom"/>
            <w:hideMark/>
          </w:tcPr>
          <w:p w14:paraId="1BB9E1D7"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F: </w:t>
            </w:r>
            <w:r>
              <w:rPr>
                <w:rFonts w:eastAsia="Times New Roman"/>
                <w:color w:val="000000"/>
              </w:rPr>
              <w:t>C</w:t>
            </w:r>
            <w:r w:rsidRPr="00C4712F">
              <w:rPr>
                <w:rFonts w:eastAsia="Times New Roman"/>
                <w:color w:val="000000"/>
              </w:rPr>
              <w:t xml:space="preserve">onstruction  </w:t>
            </w:r>
          </w:p>
        </w:tc>
        <w:tc>
          <w:tcPr>
            <w:tcW w:w="766" w:type="dxa"/>
            <w:tcBorders>
              <w:top w:val="nil"/>
              <w:left w:val="nil"/>
              <w:bottom w:val="single" w:sz="4" w:space="0" w:color="auto"/>
              <w:right w:val="single" w:sz="4" w:space="0" w:color="auto"/>
            </w:tcBorders>
            <w:shd w:val="clear" w:color="000000" w:fill="FFFFFF"/>
          </w:tcPr>
          <w:p w14:paraId="4519ADD4" w14:textId="34DB585D" w:rsidR="001657AB" w:rsidRPr="00C4712F" w:rsidRDefault="001657AB" w:rsidP="006E41EE">
            <w:pPr>
              <w:spacing w:after="0" w:line="240" w:lineRule="auto"/>
              <w:rPr>
                <w:rFonts w:eastAsia="Times New Roman"/>
                <w:color w:val="000000"/>
              </w:rPr>
            </w:pPr>
            <w:r>
              <w:rPr>
                <w:color w:val="000000"/>
              </w:rPr>
              <w:t>E</w:t>
            </w:r>
          </w:p>
        </w:tc>
      </w:tr>
      <w:tr w:rsidR="001657AB" w:rsidRPr="00C4712F" w14:paraId="6426BE65"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5FDBDF35"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G</w:t>
            </w:r>
          </w:p>
        </w:tc>
        <w:tc>
          <w:tcPr>
            <w:tcW w:w="8567" w:type="dxa"/>
            <w:tcBorders>
              <w:top w:val="nil"/>
              <w:left w:val="nil"/>
              <w:bottom w:val="single" w:sz="4" w:space="0" w:color="auto"/>
              <w:right w:val="single" w:sz="4" w:space="0" w:color="auto"/>
            </w:tcBorders>
            <w:shd w:val="clear" w:color="000000" w:fill="FFFFFF"/>
            <w:noWrap/>
            <w:vAlign w:val="bottom"/>
            <w:hideMark/>
          </w:tcPr>
          <w:p w14:paraId="110EDCB5"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G: </w:t>
            </w:r>
            <w:r>
              <w:rPr>
                <w:rFonts w:eastAsia="Times New Roman"/>
                <w:color w:val="000000"/>
              </w:rPr>
              <w:t>W</w:t>
            </w:r>
            <w:r w:rsidRPr="00C4712F">
              <w:rPr>
                <w:rFonts w:eastAsia="Times New Roman"/>
                <w:color w:val="000000"/>
              </w:rPr>
              <w:t xml:space="preserve">holesale and retail trade; repair of motor vehicles and motorcycles  </w:t>
            </w:r>
          </w:p>
        </w:tc>
        <w:tc>
          <w:tcPr>
            <w:tcW w:w="766" w:type="dxa"/>
            <w:tcBorders>
              <w:top w:val="nil"/>
              <w:left w:val="nil"/>
              <w:bottom w:val="single" w:sz="4" w:space="0" w:color="auto"/>
              <w:right w:val="single" w:sz="4" w:space="0" w:color="auto"/>
            </w:tcBorders>
            <w:shd w:val="clear" w:color="000000" w:fill="FFFFFF"/>
          </w:tcPr>
          <w:p w14:paraId="0235C72D" w14:textId="5DD9BFF9" w:rsidR="001657AB" w:rsidRPr="00C4712F" w:rsidRDefault="001657AB" w:rsidP="006E41EE">
            <w:pPr>
              <w:spacing w:after="0" w:line="240" w:lineRule="auto"/>
              <w:rPr>
                <w:rFonts w:eastAsia="Times New Roman"/>
                <w:color w:val="000000"/>
              </w:rPr>
            </w:pPr>
            <w:r>
              <w:rPr>
                <w:color w:val="000000"/>
              </w:rPr>
              <w:t>E</w:t>
            </w:r>
          </w:p>
        </w:tc>
      </w:tr>
      <w:tr w:rsidR="001657AB" w:rsidRPr="00C4712F" w14:paraId="0F700325"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3D63199C"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H</w:t>
            </w:r>
          </w:p>
        </w:tc>
        <w:tc>
          <w:tcPr>
            <w:tcW w:w="8567" w:type="dxa"/>
            <w:tcBorders>
              <w:top w:val="nil"/>
              <w:left w:val="nil"/>
              <w:bottom w:val="single" w:sz="4" w:space="0" w:color="auto"/>
              <w:right w:val="single" w:sz="4" w:space="0" w:color="auto"/>
            </w:tcBorders>
            <w:shd w:val="clear" w:color="000000" w:fill="FFFFFF"/>
            <w:noWrap/>
            <w:vAlign w:val="bottom"/>
            <w:hideMark/>
          </w:tcPr>
          <w:p w14:paraId="1DDA5C40"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H: </w:t>
            </w:r>
            <w:r>
              <w:rPr>
                <w:rFonts w:eastAsia="Times New Roman"/>
                <w:color w:val="000000"/>
              </w:rPr>
              <w:t>T</w:t>
            </w:r>
            <w:r w:rsidRPr="00C4712F">
              <w:rPr>
                <w:rFonts w:eastAsia="Times New Roman"/>
                <w:color w:val="000000"/>
              </w:rPr>
              <w:t xml:space="preserve">ransportation and storage  </w:t>
            </w:r>
          </w:p>
        </w:tc>
        <w:tc>
          <w:tcPr>
            <w:tcW w:w="766" w:type="dxa"/>
            <w:tcBorders>
              <w:top w:val="nil"/>
              <w:left w:val="nil"/>
              <w:bottom w:val="single" w:sz="4" w:space="0" w:color="auto"/>
              <w:right w:val="single" w:sz="4" w:space="0" w:color="auto"/>
            </w:tcBorders>
            <w:shd w:val="clear" w:color="000000" w:fill="FFFFFF"/>
          </w:tcPr>
          <w:p w14:paraId="5D11D046" w14:textId="05A6ABA5" w:rsidR="001657AB" w:rsidRPr="00C4712F" w:rsidRDefault="001657AB" w:rsidP="006E41EE">
            <w:pPr>
              <w:spacing w:after="0" w:line="240" w:lineRule="auto"/>
              <w:rPr>
                <w:rFonts w:eastAsia="Times New Roman"/>
                <w:color w:val="000000"/>
              </w:rPr>
            </w:pPr>
            <w:r>
              <w:rPr>
                <w:color w:val="000000"/>
              </w:rPr>
              <w:t>E</w:t>
            </w:r>
          </w:p>
        </w:tc>
      </w:tr>
      <w:tr w:rsidR="001657AB" w:rsidRPr="00C4712F" w14:paraId="6595D64B"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573563A1"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I</w:t>
            </w:r>
          </w:p>
        </w:tc>
        <w:tc>
          <w:tcPr>
            <w:tcW w:w="8567" w:type="dxa"/>
            <w:tcBorders>
              <w:top w:val="nil"/>
              <w:left w:val="nil"/>
              <w:bottom w:val="single" w:sz="4" w:space="0" w:color="auto"/>
              <w:right w:val="single" w:sz="4" w:space="0" w:color="auto"/>
            </w:tcBorders>
            <w:shd w:val="clear" w:color="000000" w:fill="FFFFFF"/>
            <w:noWrap/>
            <w:vAlign w:val="bottom"/>
            <w:hideMark/>
          </w:tcPr>
          <w:p w14:paraId="363BF261"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I: </w:t>
            </w:r>
            <w:r>
              <w:rPr>
                <w:rFonts w:eastAsia="Times New Roman"/>
                <w:color w:val="000000"/>
              </w:rPr>
              <w:t>A</w:t>
            </w:r>
            <w:r w:rsidRPr="00C4712F">
              <w:rPr>
                <w:rFonts w:eastAsia="Times New Roman"/>
                <w:color w:val="000000"/>
              </w:rPr>
              <w:t xml:space="preserve">ccommodation and food service activities  </w:t>
            </w:r>
          </w:p>
        </w:tc>
        <w:tc>
          <w:tcPr>
            <w:tcW w:w="766" w:type="dxa"/>
            <w:tcBorders>
              <w:top w:val="nil"/>
              <w:left w:val="nil"/>
              <w:bottom w:val="single" w:sz="4" w:space="0" w:color="auto"/>
              <w:right w:val="single" w:sz="4" w:space="0" w:color="auto"/>
            </w:tcBorders>
            <w:shd w:val="clear" w:color="000000" w:fill="FFFFFF"/>
          </w:tcPr>
          <w:p w14:paraId="34CE3361" w14:textId="661399E7" w:rsidR="001657AB" w:rsidRPr="00C4712F" w:rsidRDefault="001657AB" w:rsidP="006E41EE">
            <w:pPr>
              <w:spacing w:after="0" w:line="240" w:lineRule="auto"/>
              <w:rPr>
                <w:rFonts w:eastAsia="Times New Roman"/>
                <w:color w:val="000000"/>
              </w:rPr>
            </w:pPr>
            <w:r>
              <w:rPr>
                <w:color w:val="000000"/>
              </w:rPr>
              <w:t>E</w:t>
            </w:r>
          </w:p>
        </w:tc>
      </w:tr>
      <w:tr w:rsidR="001657AB" w:rsidRPr="00C4712F" w14:paraId="37885B9D"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404AF514"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J</w:t>
            </w:r>
          </w:p>
        </w:tc>
        <w:tc>
          <w:tcPr>
            <w:tcW w:w="8567" w:type="dxa"/>
            <w:tcBorders>
              <w:top w:val="nil"/>
              <w:left w:val="nil"/>
              <w:bottom w:val="single" w:sz="4" w:space="0" w:color="auto"/>
              <w:right w:val="single" w:sz="4" w:space="0" w:color="auto"/>
            </w:tcBorders>
            <w:shd w:val="clear" w:color="000000" w:fill="FFFFFF"/>
            <w:noWrap/>
            <w:vAlign w:val="bottom"/>
            <w:hideMark/>
          </w:tcPr>
          <w:p w14:paraId="16A8E772"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J: </w:t>
            </w:r>
            <w:r>
              <w:rPr>
                <w:rFonts w:eastAsia="Times New Roman"/>
                <w:color w:val="000000"/>
              </w:rPr>
              <w:t>I</w:t>
            </w:r>
            <w:r w:rsidRPr="00C4712F">
              <w:rPr>
                <w:rFonts w:eastAsia="Times New Roman"/>
                <w:color w:val="000000"/>
              </w:rPr>
              <w:t xml:space="preserve">nformation and communication  </w:t>
            </w:r>
          </w:p>
        </w:tc>
        <w:tc>
          <w:tcPr>
            <w:tcW w:w="766" w:type="dxa"/>
            <w:tcBorders>
              <w:top w:val="nil"/>
              <w:left w:val="nil"/>
              <w:bottom w:val="single" w:sz="4" w:space="0" w:color="auto"/>
              <w:right w:val="single" w:sz="4" w:space="0" w:color="auto"/>
            </w:tcBorders>
            <w:shd w:val="clear" w:color="000000" w:fill="FFFFFF"/>
          </w:tcPr>
          <w:p w14:paraId="68C3B875" w14:textId="19041F44" w:rsidR="001657AB" w:rsidRPr="00C4712F" w:rsidRDefault="001657AB" w:rsidP="006E41EE">
            <w:pPr>
              <w:spacing w:after="0" w:line="240" w:lineRule="auto"/>
              <w:rPr>
                <w:rFonts w:eastAsia="Times New Roman"/>
                <w:color w:val="000000"/>
              </w:rPr>
            </w:pPr>
            <w:r>
              <w:rPr>
                <w:color w:val="000000"/>
              </w:rPr>
              <w:t>E</w:t>
            </w:r>
          </w:p>
        </w:tc>
      </w:tr>
      <w:tr w:rsidR="001657AB" w:rsidRPr="00C4712F" w14:paraId="7BFAE05F"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052F5A39"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K</w:t>
            </w:r>
          </w:p>
        </w:tc>
        <w:tc>
          <w:tcPr>
            <w:tcW w:w="8567" w:type="dxa"/>
            <w:tcBorders>
              <w:top w:val="nil"/>
              <w:left w:val="nil"/>
              <w:bottom w:val="single" w:sz="4" w:space="0" w:color="auto"/>
              <w:right w:val="single" w:sz="4" w:space="0" w:color="auto"/>
            </w:tcBorders>
            <w:shd w:val="clear" w:color="000000" w:fill="FFFFFF"/>
            <w:noWrap/>
            <w:vAlign w:val="bottom"/>
            <w:hideMark/>
          </w:tcPr>
          <w:p w14:paraId="04A4FB6D"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K: </w:t>
            </w:r>
            <w:r>
              <w:rPr>
                <w:rFonts w:eastAsia="Times New Roman"/>
                <w:color w:val="000000"/>
              </w:rPr>
              <w:t>F</w:t>
            </w:r>
            <w:r w:rsidRPr="00C4712F">
              <w:rPr>
                <w:rFonts w:eastAsia="Times New Roman"/>
                <w:color w:val="000000"/>
              </w:rPr>
              <w:t xml:space="preserve">inancial and insurance activities </w:t>
            </w:r>
          </w:p>
        </w:tc>
        <w:tc>
          <w:tcPr>
            <w:tcW w:w="766" w:type="dxa"/>
            <w:tcBorders>
              <w:top w:val="nil"/>
              <w:left w:val="nil"/>
              <w:bottom w:val="single" w:sz="4" w:space="0" w:color="auto"/>
              <w:right w:val="single" w:sz="4" w:space="0" w:color="auto"/>
            </w:tcBorders>
            <w:shd w:val="clear" w:color="000000" w:fill="FFFFFF"/>
          </w:tcPr>
          <w:p w14:paraId="484E3959" w14:textId="4E304034" w:rsidR="001657AB" w:rsidRPr="00C4712F" w:rsidRDefault="001657AB" w:rsidP="006E41EE">
            <w:pPr>
              <w:spacing w:after="0" w:line="240" w:lineRule="auto"/>
              <w:rPr>
                <w:rFonts w:eastAsia="Times New Roman"/>
                <w:color w:val="000000"/>
              </w:rPr>
            </w:pPr>
            <w:r>
              <w:rPr>
                <w:color w:val="000000"/>
              </w:rPr>
              <w:t>E</w:t>
            </w:r>
          </w:p>
        </w:tc>
      </w:tr>
      <w:tr w:rsidR="001657AB" w:rsidRPr="00C4712F" w14:paraId="5A3517C9"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627EA2EE"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L</w:t>
            </w:r>
          </w:p>
        </w:tc>
        <w:tc>
          <w:tcPr>
            <w:tcW w:w="8567" w:type="dxa"/>
            <w:tcBorders>
              <w:top w:val="nil"/>
              <w:left w:val="nil"/>
              <w:bottom w:val="single" w:sz="4" w:space="0" w:color="auto"/>
              <w:right w:val="single" w:sz="4" w:space="0" w:color="auto"/>
            </w:tcBorders>
            <w:shd w:val="clear" w:color="000000" w:fill="FFFFFF"/>
            <w:noWrap/>
            <w:vAlign w:val="bottom"/>
            <w:hideMark/>
          </w:tcPr>
          <w:p w14:paraId="2F3D7F92"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L: </w:t>
            </w:r>
            <w:r>
              <w:rPr>
                <w:rFonts w:eastAsia="Times New Roman"/>
                <w:color w:val="000000"/>
              </w:rPr>
              <w:t>R</w:t>
            </w:r>
            <w:r w:rsidRPr="00C4712F">
              <w:rPr>
                <w:rFonts w:eastAsia="Times New Roman"/>
                <w:color w:val="000000"/>
              </w:rPr>
              <w:t xml:space="preserve">eal estate activities  </w:t>
            </w:r>
          </w:p>
        </w:tc>
        <w:tc>
          <w:tcPr>
            <w:tcW w:w="766" w:type="dxa"/>
            <w:tcBorders>
              <w:top w:val="nil"/>
              <w:left w:val="nil"/>
              <w:bottom w:val="single" w:sz="4" w:space="0" w:color="auto"/>
              <w:right w:val="single" w:sz="4" w:space="0" w:color="auto"/>
            </w:tcBorders>
            <w:shd w:val="clear" w:color="000000" w:fill="FFFFFF"/>
          </w:tcPr>
          <w:p w14:paraId="6553C839" w14:textId="2C1BF631" w:rsidR="001657AB" w:rsidRPr="00C4712F" w:rsidRDefault="001657AB" w:rsidP="006E41EE">
            <w:pPr>
              <w:spacing w:after="0" w:line="240" w:lineRule="auto"/>
              <w:rPr>
                <w:rFonts w:eastAsia="Times New Roman"/>
                <w:color w:val="000000"/>
              </w:rPr>
            </w:pPr>
            <w:r>
              <w:rPr>
                <w:color w:val="000000"/>
              </w:rPr>
              <w:t>E</w:t>
            </w:r>
          </w:p>
        </w:tc>
      </w:tr>
      <w:tr w:rsidR="001657AB" w:rsidRPr="00C4712F" w14:paraId="776E1257"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41DE5522"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M</w:t>
            </w:r>
          </w:p>
        </w:tc>
        <w:tc>
          <w:tcPr>
            <w:tcW w:w="8567" w:type="dxa"/>
            <w:tcBorders>
              <w:top w:val="nil"/>
              <w:left w:val="nil"/>
              <w:bottom w:val="single" w:sz="4" w:space="0" w:color="auto"/>
              <w:right w:val="single" w:sz="4" w:space="0" w:color="auto"/>
            </w:tcBorders>
            <w:shd w:val="clear" w:color="000000" w:fill="FFFFFF"/>
            <w:noWrap/>
            <w:vAlign w:val="bottom"/>
            <w:hideMark/>
          </w:tcPr>
          <w:p w14:paraId="0974CE66"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M: </w:t>
            </w:r>
            <w:r>
              <w:rPr>
                <w:rFonts w:eastAsia="Times New Roman"/>
                <w:color w:val="000000"/>
              </w:rPr>
              <w:t>P</w:t>
            </w:r>
            <w:r w:rsidRPr="00C4712F">
              <w:rPr>
                <w:rFonts w:eastAsia="Times New Roman"/>
                <w:color w:val="000000"/>
              </w:rPr>
              <w:t xml:space="preserve">rofessional, </w:t>
            </w:r>
            <w:proofErr w:type="gramStart"/>
            <w:r w:rsidRPr="00C4712F">
              <w:rPr>
                <w:rFonts w:eastAsia="Times New Roman"/>
                <w:color w:val="000000"/>
              </w:rPr>
              <w:t>scientific</w:t>
            </w:r>
            <w:proofErr w:type="gramEnd"/>
            <w:r w:rsidRPr="00C4712F">
              <w:rPr>
                <w:rFonts w:eastAsia="Times New Roman"/>
                <w:color w:val="000000"/>
              </w:rPr>
              <w:t xml:space="preserve"> and technical activities  </w:t>
            </w:r>
          </w:p>
        </w:tc>
        <w:tc>
          <w:tcPr>
            <w:tcW w:w="766" w:type="dxa"/>
            <w:tcBorders>
              <w:top w:val="nil"/>
              <w:left w:val="nil"/>
              <w:bottom w:val="single" w:sz="4" w:space="0" w:color="auto"/>
              <w:right w:val="single" w:sz="4" w:space="0" w:color="auto"/>
            </w:tcBorders>
            <w:shd w:val="clear" w:color="000000" w:fill="FFFFFF"/>
          </w:tcPr>
          <w:p w14:paraId="611ED8BF" w14:textId="47C06D79" w:rsidR="001657AB" w:rsidRPr="00C4712F" w:rsidRDefault="001657AB" w:rsidP="006E41EE">
            <w:pPr>
              <w:spacing w:after="0" w:line="240" w:lineRule="auto"/>
              <w:rPr>
                <w:rFonts w:eastAsia="Times New Roman"/>
                <w:color w:val="000000"/>
              </w:rPr>
            </w:pPr>
            <w:r>
              <w:rPr>
                <w:color w:val="000000"/>
              </w:rPr>
              <w:t>E</w:t>
            </w:r>
          </w:p>
        </w:tc>
      </w:tr>
      <w:tr w:rsidR="001657AB" w:rsidRPr="00C4712F" w14:paraId="03186E26"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54C29694"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N</w:t>
            </w:r>
          </w:p>
        </w:tc>
        <w:tc>
          <w:tcPr>
            <w:tcW w:w="8567" w:type="dxa"/>
            <w:tcBorders>
              <w:top w:val="nil"/>
              <w:left w:val="nil"/>
              <w:bottom w:val="single" w:sz="4" w:space="0" w:color="auto"/>
              <w:right w:val="single" w:sz="4" w:space="0" w:color="auto"/>
            </w:tcBorders>
            <w:shd w:val="clear" w:color="000000" w:fill="FFFFFF"/>
            <w:noWrap/>
            <w:vAlign w:val="bottom"/>
            <w:hideMark/>
          </w:tcPr>
          <w:p w14:paraId="48179916"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N: </w:t>
            </w:r>
            <w:r>
              <w:rPr>
                <w:rFonts w:eastAsia="Times New Roman"/>
                <w:color w:val="000000"/>
              </w:rPr>
              <w:t>A</w:t>
            </w:r>
            <w:r w:rsidRPr="00C4712F">
              <w:rPr>
                <w:rFonts w:eastAsia="Times New Roman"/>
                <w:color w:val="000000"/>
              </w:rPr>
              <w:t xml:space="preserve">dministrative and support service activities  </w:t>
            </w:r>
          </w:p>
        </w:tc>
        <w:tc>
          <w:tcPr>
            <w:tcW w:w="766" w:type="dxa"/>
            <w:tcBorders>
              <w:top w:val="nil"/>
              <w:left w:val="nil"/>
              <w:bottom w:val="single" w:sz="4" w:space="0" w:color="auto"/>
              <w:right w:val="single" w:sz="4" w:space="0" w:color="auto"/>
            </w:tcBorders>
            <w:shd w:val="clear" w:color="000000" w:fill="FFFFFF"/>
          </w:tcPr>
          <w:p w14:paraId="4C58BB5B" w14:textId="3C349339" w:rsidR="001657AB" w:rsidRPr="00C4712F" w:rsidRDefault="001657AB" w:rsidP="006E41EE">
            <w:pPr>
              <w:spacing w:after="0" w:line="240" w:lineRule="auto"/>
              <w:rPr>
                <w:rFonts w:eastAsia="Times New Roman"/>
                <w:color w:val="000000"/>
              </w:rPr>
            </w:pPr>
            <w:r>
              <w:rPr>
                <w:color w:val="000000"/>
              </w:rPr>
              <w:t>E</w:t>
            </w:r>
          </w:p>
        </w:tc>
      </w:tr>
      <w:tr w:rsidR="001657AB" w:rsidRPr="00C4712F" w14:paraId="44B9A4D7"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5B466458"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O</w:t>
            </w:r>
          </w:p>
        </w:tc>
        <w:tc>
          <w:tcPr>
            <w:tcW w:w="8567" w:type="dxa"/>
            <w:tcBorders>
              <w:top w:val="nil"/>
              <w:left w:val="nil"/>
              <w:bottom w:val="single" w:sz="4" w:space="0" w:color="auto"/>
              <w:right w:val="single" w:sz="4" w:space="0" w:color="auto"/>
            </w:tcBorders>
            <w:shd w:val="clear" w:color="000000" w:fill="FFFFFF"/>
            <w:noWrap/>
            <w:vAlign w:val="bottom"/>
            <w:hideMark/>
          </w:tcPr>
          <w:p w14:paraId="36847B2F"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O: </w:t>
            </w:r>
            <w:r>
              <w:rPr>
                <w:rFonts w:eastAsia="Times New Roman"/>
                <w:color w:val="000000"/>
              </w:rPr>
              <w:t>P</w:t>
            </w:r>
            <w:r w:rsidRPr="00C4712F">
              <w:rPr>
                <w:rFonts w:eastAsia="Times New Roman"/>
                <w:color w:val="000000"/>
              </w:rPr>
              <w:t xml:space="preserve">ublic administration and defence; compulsory social security   </w:t>
            </w:r>
          </w:p>
        </w:tc>
        <w:tc>
          <w:tcPr>
            <w:tcW w:w="766" w:type="dxa"/>
            <w:tcBorders>
              <w:top w:val="nil"/>
              <w:left w:val="nil"/>
              <w:bottom w:val="single" w:sz="4" w:space="0" w:color="auto"/>
              <w:right w:val="single" w:sz="4" w:space="0" w:color="auto"/>
            </w:tcBorders>
            <w:shd w:val="clear" w:color="000000" w:fill="FFFFFF"/>
          </w:tcPr>
          <w:p w14:paraId="1376842E" w14:textId="4800CA7F" w:rsidR="001657AB" w:rsidRPr="00C4712F" w:rsidRDefault="001657AB" w:rsidP="006E41EE">
            <w:pPr>
              <w:spacing w:after="0" w:line="240" w:lineRule="auto"/>
              <w:rPr>
                <w:rFonts w:eastAsia="Times New Roman"/>
                <w:color w:val="000000"/>
              </w:rPr>
            </w:pPr>
            <w:r>
              <w:rPr>
                <w:color w:val="000000"/>
              </w:rPr>
              <w:t>E</w:t>
            </w:r>
          </w:p>
        </w:tc>
      </w:tr>
      <w:tr w:rsidR="001657AB" w:rsidRPr="00C4712F" w14:paraId="05EBDA4A"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20F59490"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P</w:t>
            </w:r>
          </w:p>
        </w:tc>
        <w:tc>
          <w:tcPr>
            <w:tcW w:w="8567" w:type="dxa"/>
            <w:tcBorders>
              <w:top w:val="nil"/>
              <w:left w:val="nil"/>
              <w:bottom w:val="single" w:sz="4" w:space="0" w:color="auto"/>
              <w:right w:val="single" w:sz="4" w:space="0" w:color="auto"/>
            </w:tcBorders>
            <w:shd w:val="clear" w:color="000000" w:fill="FFFFFF"/>
            <w:noWrap/>
            <w:vAlign w:val="bottom"/>
            <w:hideMark/>
          </w:tcPr>
          <w:p w14:paraId="08512498"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P: </w:t>
            </w:r>
            <w:r>
              <w:rPr>
                <w:rFonts w:eastAsia="Times New Roman"/>
                <w:color w:val="000000"/>
              </w:rPr>
              <w:t>E</w:t>
            </w:r>
            <w:r w:rsidRPr="00C4712F">
              <w:rPr>
                <w:rFonts w:eastAsia="Times New Roman"/>
                <w:color w:val="000000"/>
              </w:rPr>
              <w:t xml:space="preserve">ducation  </w:t>
            </w:r>
          </w:p>
        </w:tc>
        <w:tc>
          <w:tcPr>
            <w:tcW w:w="766" w:type="dxa"/>
            <w:tcBorders>
              <w:top w:val="nil"/>
              <w:left w:val="nil"/>
              <w:bottom w:val="single" w:sz="4" w:space="0" w:color="auto"/>
              <w:right w:val="single" w:sz="4" w:space="0" w:color="auto"/>
            </w:tcBorders>
            <w:shd w:val="clear" w:color="000000" w:fill="FFFFFF"/>
          </w:tcPr>
          <w:p w14:paraId="2BF58B40" w14:textId="61654D57" w:rsidR="001657AB" w:rsidRPr="00C4712F" w:rsidRDefault="001657AB" w:rsidP="006E41EE">
            <w:pPr>
              <w:spacing w:after="0" w:line="240" w:lineRule="auto"/>
              <w:rPr>
                <w:rFonts w:eastAsia="Times New Roman"/>
                <w:color w:val="000000"/>
              </w:rPr>
            </w:pPr>
            <w:r>
              <w:rPr>
                <w:color w:val="000000"/>
              </w:rPr>
              <w:t>E</w:t>
            </w:r>
          </w:p>
        </w:tc>
      </w:tr>
      <w:tr w:rsidR="001657AB" w:rsidRPr="00C4712F" w14:paraId="1117C21A"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4421F9A9"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Q</w:t>
            </w:r>
          </w:p>
        </w:tc>
        <w:tc>
          <w:tcPr>
            <w:tcW w:w="8567" w:type="dxa"/>
            <w:tcBorders>
              <w:top w:val="nil"/>
              <w:left w:val="nil"/>
              <w:bottom w:val="single" w:sz="4" w:space="0" w:color="auto"/>
              <w:right w:val="single" w:sz="4" w:space="0" w:color="auto"/>
            </w:tcBorders>
            <w:shd w:val="clear" w:color="000000" w:fill="FFFFFF"/>
            <w:noWrap/>
            <w:vAlign w:val="bottom"/>
            <w:hideMark/>
          </w:tcPr>
          <w:p w14:paraId="6673ABBF"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Q: </w:t>
            </w:r>
            <w:r>
              <w:rPr>
                <w:rFonts w:eastAsia="Times New Roman"/>
                <w:color w:val="000000"/>
              </w:rPr>
              <w:t>H</w:t>
            </w:r>
            <w:r w:rsidRPr="00C4712F">
              <w:rPr>
                <w:rFonts w:eastAsia="Times New Roman"/>
                <w:color w:val="000000"/>
              </w:rPr>
              <w:t xml:space="preserve">uman health and social work activities  </w:t>
            </w:r>
          </w:p>
        </w:tc>
        <w:tc>
          <w:tcPr>
            <w:tcW w:w="766" w:type="dxa"/>
            <w:tcBorders>
              <w:top w:val="nil"/>
              <w:left w:val="nil"/>
              <w:bottom w:val="single" w:sz="4" w:space="0" w:color="auto"/>
              <w:right w:val="single" w:sz="4" w:space="0" w:color="auto"/>
            </w:tcBorders>
            <w:shd w:val="clear" w:color="000000" w:fill="FFFFFF"/>
          </w:tcPr>
          <w:p w14:paraId="7E90B90A" w14:textId="0654EF55" w:rsidR="001657AB" w:rsidRPr="00C4712F" w:rsidRDefault="001657AB" w:rsidP="006E41EE">
            <w:pPr>
              <w:spacing w:after="0" w:line="240" w:lineRule="auto"/>
              <w:rPr>
                <w:rFonts w:eastAsia="Times New Roman"/>
                <w:color w:val="000000"/>
              </w:rPr>
            </w:pPr>
            <w:r>
              <w:rPr>
                <w:color w:val="000000"/>
              </w:rPr>
              <w:t>E</w:t>
            </w:r>
          </w:p>
        </w:tc>
      </w:tr>
      <w:tr w:rsidR="001657AB" w:rsidRPr="00C4712F" w14:paraId="4965F3B9"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577E1086"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R</w:t>
            </w:r>
          </w:p>
        </w:tc>
        <w:tc>
          <w:tcPr>
            <w:tcW w:w="8567" w:type="dxa"/>
            <w:tcBorders>
              <w:top w:val="nil"/>
              <w:left w:val="nil"/>
              <w:bottom w:val="single" w:sz="4" w:space="0" w:color="auto"/>
              <w:right w:val="single" w:sz="4" w:space="0" w:color="auto"/>
            </w:tcBorders>
            <w:shd w:val="clear" w:color="000000" w:fill="FFFFFF"/>
            <w:noWrap/>
            <w:vAlign w:val="bottom"/>
            <w:hideMark/>
          </w:tcPr>
          <w:p w14:paraId="1A4CBD8C" w14:textId="4D417F29"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R: </w:t>
            </w:r>
            <w:r>
              <w:rPr>
                <w:rFonts w:eastAsia="Times New Roman"/>
                <w:color w:val="000000"/>
              </w:rPr>
              <w:t>A</w:t>
            </w:r>
            <w:r w:rsidRPr="00C4712F">
              <w:rPr>
                <w:rFonts w:eastAsia="Times New Roman"/>
                <w:color w:val="000000"/>
              </w:rPr>
              <w:t xml:space="preserve">rts, </w:t>
            </w:r>
            <w:r w:rsidR="006E41EE" w:rsidRPr="00C4712F">
              <w:rPr>
                <w:rFonts w:eastAsia="Times New Roman"/>
                <w:color w:val="000000"/>
              </w:rPr>
              <w:t>entertainment,</w:t>
            </w:r>
            <w:r w:rsidRPr="00C4712F">
              <w:rPr>
                <w:rFonts w:eastAsia="Times New Roman"/>
                <w:color w:val="000000"/>
              </w:rPr>
              <w:t xml:space="preserve"> and recreation  </w:t>
            </w:r>
          </w:p>
        </w:tc>
        <w:tc>
          <w:tcPr>
            <w:tcW w:w="766" w:type="dxa"/>
            <w:tcBorders>
              <w:top w:val="nil"/>
              <w:left w:val="nil"/>
              <w:bottom w:val="single" w:sz="4" w:space="0" w:color="auto"/>
              <w:right w:val="single" w:sz="4" w:space="0" w:color="auto"/>
            </w:tcBorders>
            <w:shd w:val="clear" w:color="000000" w:fill="FFFFFF"/>
          </w:tcPr>
          <w:p w14:paraId="0D1067AC" w14:textId="036E3280" w:rsidR="001657AB" w:rsidRPr="00C4712F" w:rsidRDefault="001657AB" w:rsidP="006E41EE">
            <w:pPr>
              <w:spacing w:after="0" w:line="240" w:lineRule="auto"/>
              <w:rPr>
                <w:rFonts w:eastAsia="Times New Roman"/>
                <w:color w:val="000000"/>
              </w:rPr>
            </w:pPr>
            <w:r>
              <w:rPr>
                <w:color w:val="000000"/>
              </w:rPr>
              <w:t>E</w:t>
            </w:r>
          </w:p>
        </w:tc>
      </w:tr>
      <w:tr w:rsidR="001657AB" w:rsidRPr="00C4712F" w14:paraId="4F28F13A" w14:textId="77777777" w:rsidTr="006E41EE">
        <w:trPr>
          <w:trHeight w:val="143"/>
          <w:jc w:val="center"/>
        </w:trPr>
        <w:tc>
          <w:tcPr>
            <w:tcW w:w="999" w:type="dxa"/>
            <w:tcBorders>
              <w:top w:val="nil"/>
              <w:left w:val="single" w:sz="4" w:space="0" w:color="auto"/>
              <w:bottom w:val="single" w:sz="4" w:space="0" w:color="auto"/>
              <w:right w:val="single" w:sz="4" w:space="0" w:color="auto"/>
            </w:tcBorders>
            <w:shd w:val="clear" w:color="000000" w:fill="FFFFFF"/>
            <w:noWrap/>
            <w:vAlign w:val="bottom"/>
            <w:hideMark/>
          </w:tcPr>
          <w:p w14:paraId="6743C98F"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S</w:t>
            </w:r>
          </w:p>
        </w:tc>
        <w:tc>
          <w:tcPr>
            <w:tcW w:w="8567" w:type="dxa"/>
            <w:tcBorders>
              <w:top w:val="nil"/>
              <w:left w:val="nil"/>
              <w:bottom w:val="single" w:sz="4" w:space="0" w:color="auto"/>
              <w:right w:val="single" w:sz="4" w:space="0" w:color="auto"/>
            </w:tcBorders>
            <w:shd w:val="clear" w:color="000000" w:fill="FFFFFF"/>
            <w:noWrap/>
            <w:vAlign w:val="bottom"/>
            <w:hideMark/>
          </w:tcPr>
          <w:p w14:paraId="2E986C7C" w14:textId="77777777" w:rsidR="001657AB" w:rsidRPr="00C4712F" w:rsidRDefault="001657AB" w:rsidP="006E41EE">
            <w:pPr>
              <w:spacing w:after="0" w:line="240" w:lineRule="auto"/>
              <w:rPr>
                <w:rFonts w:eastAsia="Times New Roman"/>
                <w:color w:val="000000"/>
              </w:rPr>
            </w:pPr>
            <w:r w:rsidRPr="00C4712F">
              <w:rPr>
                <w:rFonts w:eastAsia="Times New Roman"/>
                <w:color w:val="000000"/>
              </w:rPr>
              <w:t xml:space="preserve">S: </w:t>
            </w:r>
            <w:r>
              <w:rPr>
                <w:rFonts w:eastAsia="Times New Roman"/>
                <w:color w:val="000000"/>
              </w:rPr>
              <w:t>O</w:t>
            </w:r>
            <w:r w:rsidRPr="00C4712F">
              <w:rPr>
                <w:rFonts w:eastAsia="Times New Roman"/>
                <w:color w:val="000000"/>
              </w:rPr>
              <w:t xml:space="preserve">ther service activities  </w:t>
            </w:r>
          </w:p>
        </w:tc>
        <w:tc>
          <w:tcPr>
            <w:tcW w:w="766" w:type="dxa"/>
            <w:tcBorders>
              <w:top w:val="nil"/>
              <w:left w:val="nil"/>
              <w:bottom w:val="single" w:sz="4" w:space="0" w:color="auto"/>
              <w:right w:val="single" w:sz="4" w:space="0" w:color="auto"/>
            </w:tcBorders>
            <w:shd w:val="clear" w:color="000000" w:fill="FFFFFF"/>
          </w:tcPr>
          <w:p w14:paraId="28869C5A" w14:textId="359408D4" w:rsidR="001657AB" w:rsidRPr="00C4712F" w:rsidRDefault="001657AB" w:rsidP="006E41EE">
            <w:pPr>
              <w:spacing w:after="0" w:line="240" w:lineRule="auto"/>
              <w:rPr>
                <w:rFonts w:eastAsia="Times New Roman"/>
                <w:color w:val="000000"/>
              </w:rPr>
            </w:pPr>
            <w:r>
              <w:rPr>
                <w:color w:val="000000"/>
              </w:rPr>
              <w:t>E</w:t>
            </w:r>
          </w:p>
        </w:tc>
      </w:tr>
      <w:bookmarkEnd w:id="12"/>
    </w:tbl>
    <w:p w14:paraId="40028FAD" w14:textId="77777777" w:rsidR="00E40374" w:rsidRDefault="00E40374" w:rsidP="00E40374"/>
    <w:p w14:paraId="734753F5" w14:textId="51F4EC3B" w:rsidR="001657AB" w:rsidRDefault="001657AB" w:rsidP="001657AB">
      <w:pPr>
        <w:pStyle w:val="HeadingNumbered"/>
      </w:pPr>
      <w:r>
        <w:t>Further Reduction</w:t>
      </w:r>
    </w:p>
    <w:p w14:paraId="5CD8C8B1" w14:textId="2C60E3EF" w:rsidR="006E41EE" w:rsidRPr="006E41EE" w:rsidRDefault="006E41EE" w:rsidP="006E41EE">
      <w:r>
        <w:t>When completing CGEM the following groupings of industry sectors will be used.</w:t>
      </w:r>
    </w:p>
    <w:tbl>
      <w:tblPr>
        <w:tblW w:w="0" w:type="auto"/>
        <w:tblInd w:w="-38" w:type="dxa"/>
        <w:tblLayout w:type="fixed"/>
        <w:tblLook w:val="0000" w:firstRow="0" w:lastRow="0" w:firstColumn="0" w:lastColumn="0" w:noHBand="0" w:noVBand="0"/>
      </w:tblPr>
      <w:tblGrid>
        <w:gridCol w:w="1623"/>
        <w:gridCol w:w="5729"/>
      </w:tblGrid>
      <w:tr w:rsidR="001657AB" w14:paraId="63C64615" w14:textId="77777777" w:rsidTr="001657AB">
        <w:trPr>
          <w:trHeight w:val="268"/>
        </w:trPr>
        <w:tc>
          <w:tcPr>
            <w:tcW w:w="1623" w:type="dxa"/>
            <w:tcBorders>
              <w:top w:val="single" w:sz="6" w:space="0" w:color="auto"/>
              <w:left w:val="single" w:sz="6" w:space="0" w:color="auto"/>
              <w:bottom w:val="single" w:sz="6" w:space="0" w:color="auto"/>
              <w:right w:val="single" w:sz="6" w:space="0" w:color="auto"/>
            </w:tcBorders>
            <w:shd w:val="solid" w:color="FFFFFF" w:fill="auto"/>
          </w:tcPr>
          <w:p w14:paraId="3B5EB420" w14:textId="147DFA69" w:rsidR="001657AB" w:rsidRDefault="001657AB">
            <w:pPr>
              <w:autoSpaceDE w:val="0"/>
              <w:autoSpaceDN w:val="0"/>
              <w:adjustRightInd w:val="0"/>
              <w:spacing w:after="0" w:line="240" w:lineRule="auto"/>
              <w:rPr>
                <w:b/>
                <w:bCs/>
                <w:color w:val="000000"/>
              </w:rPr>
            </w:pPr>
            <w:r>
              <w:rPr>
                <w:b/>
                <w:bCs/>
                <w:color w:val="000000"/>
              </w:rPr>
              <w:t>New Code</w:t>
            </w:r>
          </w:p>
        </w:tc>
        <w:tc>
          <w:tcPr>
            <w:tcW w:w="5729" w:type="dxa"/>
            <w:tcBorders>
              <w:top w:val="single" w:sz="6" w:space="0" w:color="auto"/>
              <w:left w:val="single" w:sz="6" w:space="0" w:color="auto"/>
              <w:bottom w:val="single" w:sz="6" w:space="0" w:color="auto"/>
              <w:right w:val="single" w:sz="6" w:space="0" w:color="auto"/>
            </w:tcBorders>
            <w:shd w:val="solid" w:color="FFFFFF" w:fill="auto"/>
          </w:tcPr>
          <w:p w14:paraId="3B310CD6" w14:textId="77777777" w:rsidR="001657AB" w:rsidRDefault="001657AB">
            <w:pPr>
              <w:autoSpaceDE w:val="0"/>
              <w:autoSpaceDN w:val="0"/>
              <w:adjustRightInd w:val="0"/>
              <w:spacing w:after="0" w:line="240" w:lineRule="auto"/>
              <w:rPr>
                <w:b/>
                <w:bCs/>
                <w:color w:val="000000"/>
              </w:rPr>
            </w:pPr>
            <w:r>
              <w:rPr>
                <w:b/>
                <w:bCs/>
                <w:color w:val="000000"/>
              </w:rPr>
              <w:t>Definition</w:t>
            </w:r>
          </w:p>
        </w:tc>
      </w:tr>
      <w:tr w:rsidR="001657AB" w14:paraId="6AD1C574" w14:textId="77777777" w:rsidTr="001657AB">
        <w:trPr>
          <w:trHeight w:val="268"/>
        </w:trPr>
        <w:tc>
          <w:tcPr>
            <w:tcW w:w="1623" w:type="dxa"/>
            <w:tcBorders>
              <w:top w:val="single" w:sz="6" w:space="0" w:color="auto"/>
              <w:left w:val="single" w:sz="6" w:space="0" w:color="auto"/>
              <w:bottom w:val="single" w:sz="6" w:space="0" w:color="auto"/>
              <w:right w:val="single" w:sz="6" w:space="0" w:color="auto"/>
            </w:tcBorders>
            <w:shd w:val="solid" w:color="FFFFFF" w:fill="auto"/>
          </w:tcPr>
          <w:p w14:paraId="487B7363" w14:textId="77777777" w:rsidR="001657AB" w:rsidRDefault="001657AB">
            <w:pPr>
              <w:autoSpaceDE w:val="0"/>
              <w:autoSpaceDN w:val="0"/>
              <w:adjustRightInd w:val="0"/>
              <w:spacing w:after="0" w:line="240" w:lineRule="auto"/>
              <w:rPr>
                <w:b/>
                <w:bCs/>
                <w:color w:val="000000"/>
              </w:rPr>
            </w:pPr>
            <w:r>
              <w:rPr>
                <w:b/>
                <w:bCs/>
                <w:color w:val="000000"/>
              </w:rPr>
              <w:t>A</w:t>
            </w:r>
          </w:p>
        </w:tc>
        <w:tc>
          <w:tcPr>
            <w:tcW w:w="5729" w:type="dxa"/>
            <w:tcBorders>
              <w:top w:val="single" w:sz="6" w:space="0" w:color="auto"/>
              <w:left w:val="single" w:sz="6" w:space="0" w:color="auto"/>
              <w:bottom w:val="single" w:sz="6" w:space="0" w:color="auto"/>
              <w:right w:val="single" w:sz="6" w:space="0" w:color="auto"/>
            </w:tcBorders>
            <w:shd w:val="solid" w:color="FFFFFF" w:fill="auto"/>
          </w:tcPr>
          <w:p w14:paraId="43067C0D" w14:textId="7ABBEC4C" w:rsidR="001657AB" w:rsidRDefault="001657AB">
            <w:pPr>
              <w:autoSpaceDE w:val="0"/>
              <w:autoSpaceDN w:val="0"/>
              <w:adjustRightInd w:val="0"/>
              <w:spacing w:after="0" w:line="240" w:lineRule="auto"/>
              <w:rPr>
                <w:color w:val="000000"/>
              </w:rPr>
            </w:pPr>
            <w:r>
              <w:rPr>
                <w:color w:val="000000"/>
              </w:rPr>
              <w:t>Raw Materials, Manufacturing input</w:t>
            </w:r>
          </w:p>
        </w:tc>
      </w:tr>
      <w:tr w:rsidR="001657AB" w14:paraId="5325F294" w14:textId="77777777" w:rsidTr="001657AB">
        <w:trPr>
          <w:trHeight w:val="268"/>
        </w:trPr>
        <w:tc>
          <w:tcPr>
            <w:tcW w:w="1623" w:type="dxa"/>
            <w:tcBorders>
              <w:top w:val="single" w:sz="6" w:space="0" w:color="auto"/>
              <w:left w:val="single" w:sz="6" w:space="0" w:color="auto"/>
              <w:bottom w:val="single" w:sz="6" w:space="0" w:color="auto"/>
              <w:right w:val="single" w:sz="6" w:space="0" w:color="auto"/>
            </w:tcBorders>
            <w:shd w:val="solid" w:color="FFFFFF" w:fill="auto"/>
          </w:tcPr>
          <w:p w14:paraId="0C90DEF7" w14:textId="77777777" w:rsidR="001657AB" w:rsidRDefault="001657AB">
            <w:pPr>
              <w:autoSpaceDE w:val="0"/>
              <w:autoSpaceDN w:val="0"/>
              <w:adjustRightInd w:val="0"/>
              <w:spacing w:after="0" w:line="240" w:lineRule="auto"/>
              <w:rPr>
                <w:b/>
                <w:bCs/>
                <w:color w:val="000000"/>
              </w:rPr>
            </w:pPr>
            <w:r>
              <w:rPr>
                <w:b/>
                <w:bCs/>
                <w:color w:val="000000"/>
              </w:rPr>
              <w:t>B</w:t>
            </w:r>
          </w:p>
        </w:tc>
        <w:tc>
          <w:tcPr>
            <w:tcW w:w="5729" w:type="dxa"/>
            <w:tcBorders>
              <w:top w:val="single" w:sz="6" w:space="0" w:color="auto"/>
              <w:left w:val="single" w:sz="6" w:space="0" w:color="auto"/>
              <w:bottom w:val="single" w:sz="6" w:space="0" w:color="auto"/>
              <w:right w:val="single" w:sz="6" w:space="0" w:color="auto"/>
            </w:tcBorders>
            <w:shd w:val="solid" w:color="FFFFFF" w:fill="auto"/>
          </w:tcPr>
          <w:p w14:paraId="2CC66BE5" w14:textId="77777777" w:rsidR="001657AB" w:rsidRDefault="001657AB">
            <w:pPr>
              <w:autoSpaceDE w:val="0"/>
              <w:autoSpaceDN w:val="0"/>
              <w:adjustRightInd w:val="0"/>
              <w:spacing w:after="0" w:line="240" w:lineRule="auto"/>
              <w:rPr>
                <w:color w:val="000000"/>
              </w:rPr>
            </w:pPr>
            <w:r>
              <w:rPr>
                <w:color w:val="000000"/>
              </w:rPr>
              <w:t>Food goods</w:t>
            </w:r>
          </w:p>
        </w:tc>
      </w:tr>
      <w:tr w:rsidR="001657AB" w14:paraId="4A0B9E4A" w14:textId="77777777" w:rsidTr="001657AB">
        <w:trPr>
          <w:trHeight w:val="268"/>
        </w:trPr>
        <w:tc>
          <w:tcPr>
            <w:tcW w:w="1623" w:type="dxa"/>
            <w:tcBorders>
              <w:top w:val="single" w:sz="6" w:space="0" w:color="auto"/>
              <w:left w:val="single" w:sz="6" w:space="0" w:color="auto"/>
              <w:bottom w:val="single" w:sz="6" w:space="0" w:color="auto"/>
              <w:right w:val="single" w:sz="6" w:space="0" w:color="auto"/>
            </w:tcBorders>
            <w:shd w:val="solid" w:color="FFFFFF" w:fill="auto"/>
          </w:tcPr>
          <w:p w14:paraId="71D7EF0E" w14:textId="77777777" w:rsidR="001657AB" w:rsidRDefault="001657AB">
            <w:pPr>
              <w:autoSpaceDE w:val="0"/>
              <w:autoSpaceDN w:val="0"/>
              <w:adjustRightInd w:val="0"/>
              <w:spacing w:after="0" w:line="240" w:lineRule="auto"/>
              <w:rPr>
                <w:b/>
                <w:bCs/>
                <w:color w:val="000000"/>
              </w:rPr>
            </w:pPr>
            <w:r>
              <w:rPr>
                <w:b/>
                <w:bCs/>
                <w:color w:val="000000"/>
              </w:rPr>
              <w:t>C</w:t>
            </w:r>
          </w:p>
        </w:tc>
        <w:tc>
          <w:tcPr>
            <w:tcW w:w="5729" w:type="dxa"/>
            <w:tcBorders>
              <w:top w:val="single" w:sz="6" w:space="0" w:color="auto"/>
              <w:left w:val="single" w:sz="6" w:space="0" w:color="auto"/>
              <w:bottom w:val="single" w:sz="6" w:space="0" w:color="auto"/>
              <w:right w:val="single" w:sz="6" w:space="0" w:color="auto"/>
            </w:tcBorders>
            <w:shd w:val="solid" w:color="FFFFFF" w:fill="auto"/>
          </w:tcPr>
          <w:p w14:paraId="03FADD62" w14:textId="4D9AFAE1" w:rsidR="001657AB" w:rsidRDefault="001657AB">
            <w:pPr>
              <w:autoSpaceDE w:val="0"/>
              <w:autoSpaceDN w:val="0"/>
              <w:adjustRightInd w:val="0"/>
              <w:spacing w:after="0" w:line="240" w:lineRule="auto"/>
              <w:rPr>
                <w:color w:val="000000"/>
              </w:rPr>
            </w:pPr>
            <w:r>
              <w:rPr>
                <w:color w:val="000000"/>
              </w:rPr>
              <w:t>Manufactured Non-Food Goods</w:t>
            </w:r>
          </w:p>
        </w:tc>
      </w:tr>
      <w:tr w:rsidR="001657AB" w14:paraId="4C7992AE" w14:textId="77777777" w:rsidTr="001657AB">
        <w:trPr>
          <w:trHeight w:val="268"/>
        </w:trPr>
        <w:tc>
          <w:tcPr>
            <w:tcW w:w="1623" w:type="dxa"/>
            <w:tcBorders>
              <w:top w:val="single" w:sz="6" w:space="0" w:color="auto"/>
              <w:left w:val="single" w:sz="6" w:space="0" w:color="auto"/>
              <w:bottom w:val="single" w:sz="6" w:space="0" w:color="auto"/>
              <w:right w:val="single" w:sz="6" w:space="0" w:color="auto"/>
            </w:tcBorders>
            <w:shd w:val="solid" w:color="FFFFFF" w:fill="auto"/>
          </w:tcPr>
          <w:p w14:paraId="3AC464BC" w14:textId="77777777" w:rsidR="001657AB" w:rsidRDefault="001657AB">
            <w:pPr>
              <w:autoSpaceDE w:val="0"/>
              <w:autoSpaceDN w:val="0"/>
              <w:adjustRightInd w:val="0"/>
              <w:spacing w:after="0" w:line="240" w:lineRule="auto"/>
              <w:rPr>
                <w:b/>
                <w:bCs/>
                <w:color w:val="000000"/>
              </w:rPr>
            </w:pPr>
            <w:r>
              <w:rPr>
                <w:b/>
                <w:bCs/>
                <w:color w:val="000000"/>
              </w:rPr>
              <w:t>D</w:t>
            </w:r>
          </w:p>
        </w:tc>
        <w:tc>
          <w:tcPr>
            <w:tcW w:w="5729" w:type="dxa"/>
            <w:tcBorders>
              <w:top w:val="single" w:sz="6" w:space="0" w:color="auto"/>
              <w:left w:val="single" w:sz="6" w:space="0" w:color="auto"/>
              <w:bottom w:val="single" w:sz="6" w:space="0" w:color="auto"/>
              <w:right w:val="single" w:sz="6" w:space="0" w:color="auto"/>
            </w:tcBorders>
            <w:shd w:val="solid" w:color="FFFFFF" w:fill="auto"/>
          </w:tcPr>
          <w:p w14:paraId="1B5950B3" w14:textId="76BCA678" w:rsidR="001657AB" w:rsidRDefault="001657AB">
            <w:pPr>
              <w:autoSpaceDE w:val="0"/>
              <w:autoSpaceDN w:val="0"/>
              <w:adjustRightInd w:val="0"/>
              <w:spacing w:after="0" w:line="240" w:lineRule="auto"/>
              <w:rPr>
                <w:color w:val="000000"/>
              </w:rPr>
            </w:pPr>
            <w:r>
              <w:rPr>
                <w:color w:val="000000"/>
              </w:rPr>
              <w:t>Automotive Production</w:t>
            </w:r>
          </w:p>
        </w:tc>
      </w:tr>
      <w:tr w:rsidR="001657AB" w14:paraId="4240F9EE" w14:textId="77777777" w:rsidTr="001657AB">
        <w:trPr>
          <w:trHeight w:val="268"/>
        </w:trPr>
        <w:tc>
          <w:tcPr>
            <w:tcW w:w="1623" w:type="dxa"/>
            <w:tcBorders>
              <w:top w:val="single" w:sz="6" w:space="0" w:color="auto"/>
              <w:left w:val="single" w:sz="6" w:space="0" w:color="auto"/>
              <w:bottom w:val="single" w:sz="6" w:space="0" w:color="auto"/>
              <w:right w:val="single" w:sz="6" w:space="0" w:color="auto"/>
            </w:tcBorders>
            <w:shd w:val="solid" w:color="FFFFFF" w:fill="auto"/>
          </w:tcPr>
          <w:p w14:paraId="6EFD0B21" w14:textId="77777777" w:rsidR="001657AB" w:rsidRDefault="001657AB">
            <w:pPr>
              <w:autoSpaceDE w:val="0"/>
              <w:autoSpaceDN w:val="0"/>
              <w:adjustRightInd w:val="0"/>
              <w:spacing w:after="0" w:line="240" w:lineRule="auto"/>
              <w:rPr>
                <w:b/>
                <w:bCs/>
                <w:color w:val="000000"/>
              </w:rPr>
            </w:pPr>
            <w:r>
              <w:rPr>
                <w:b/>
                <w:bCs/>
                <w:color w:val="000000"/>
              </w:rPr>
              <w:t>E</w:t>
            </w:r>
          </w:p>
        </w:tc>
        <w:tc>
          <w:tcPr>
            <w:tcW w:w="5729" w:type="dxa"/>
            <w:tcBorders>
              <w:top w:val="single" w:sz="6" w:space="0" w:color="auto"/>
              <w:left w:val="single" w:sz="6" w:space="0" w:color="auto"/>
              <w:bottom w:val="single" w:sz="6" w:space="0" w:color="auto"/>
              <w:right w:val="single" w:sz="6" w:space="0" w:color="auto"/>
            </w:tcBorders>
            <w:shd w:val="solid" w:color="FFFFFF" w:fill="auto"/>
          </w:tcPr>
          <w:p w14:paraId="7CA0DCBB" w14:textId="0112BDCD" w:rsidR="001657AB" w:rsidRDefault="001657AB">
            <w:pPr>
              <w:autoSpaceDE w:val="0"/>
              <w:autoSpaceDN w:val="0"/>
              <w:adjustRightInd w:val="0"/>
              <w:spacing w:after="0" w:line="240" w:lineRule="auto"/>
              <w:rPr>
                <w:color w:val="000000"/>
              </w:rPr>
            </w:pPr>
            <w:r>
              <w:rPr>
                <w:color w:val="000000"/>
              </w:rPr>
              <w:t>Services and Other Goods</w:t>
            </w:r>
          </w:p>
        </w:tc>
      </w:tr>
    </w:tbl>
    <w:p w14:paraId="6DE226C1" w14:textId="77777777" w:rsidR="001657AB" w:rsidRDefault="001657AB" w:rsidP="00E40374"/>
    <w:p w14:paraId="5319944F" w14:textId="76A59135" w:rsidR="00C4712F" w:rsidRDefault="00C4712F" w:rsidP="006408BA">
      <w:pPr>
        <w:pStyle w:val="HeadingNumbered"/>
      </w:pPr>
      <w:r>
        <w:t>Production Function 1</w:t>
      </w:r>
    </w:p>
    <w:p w14:paraId="6E6754FF" w14:textId="3E4FF854" w:rsidR="004F1F27" w:rsidRDefault="00C4712F" w:rsidP="004F1F27">
      <w:r>
        <w:t>This section gives the mathematical derivation of the linear regression model used to calculate the parameters of the CD production function for each section of the economy. This is an adaption of the methodology for two factor production function found in [</w:t>
      </w:r>
      <w:r w:rsidRPr="00C4712F">
        <w:rPr>
          <w:b/>
          <w:bCs/>
        </w:rPr>
        <w:t>reference</w:t>
      </w:r>
      <w:r>
        <w:t>].</w:t>
      </w:r>
      <w:r w:rsidR="004F1F27">
        <w:t xml:space="preserve"> This two-factor method has been replicated for SIC 29 to give:</w:t>
      </w:r>
    </w:p>
    <w:p w14:paraId="583AB216" w14:textId="5ECECB09" w:rsidR="004F1F27" w:rsidRPr="004F1F27" w:rsidRDefault="00000000" w:rsidP="004F1F27">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1</m:t>
              </m:r>
            </m:sub>
          </m:sSub>
          <m:r>
            <w:rPr>
              <w:rFonts w:ascii="Cambria Math" w:eastAsia="Cambria Math" w:hAnsi="Cambria Math" w:cs="Cambria Math"/>
            </w:rPr>
            <m:t xml:space="preserve">=2.601 </m:t>
          </m:r>
          <m:sSup>
            <m:sSupPr>
              <m:ctrlPr>
                <w:rPr>
                  <w:rFonts w:ascii="Cambria Math" w:eastAsia="Cambria Math" w:hAnsi="Cambria Math" w:cs="Cambria Math"/>
                </w:rPr>
              </m:ctrlPr>
            </m:sSupPr>
            <m:e>
              <m:r>
                <w:rPr>
                  <w:rFonts w:ascii="Cambria Math" w:eastAsia="Cambria Math" w:hAnsi="Cambria Math" w:cs="Cambria Math"/>
                </w:rPr>
                <m:t>L</m:t>
              </m:r>
            </m:e>
            <m:sup>
              <m:r>
                <w:rPr>
                  <w:rFonts w:ascii="Cambria Math" w:eastAsia="Cambria Math" w:hAnsi="Cambria Math" w:cs="Cambria Math"/>
                </w:rPr>
                <m:t>0.435</m:t>
              </m:r>
            </m:sup>
          </m:sSup>
          <m:sSup>
            <m:sSupPr>
              <m:ctrlPr>
                <w:rPr>
                  <w:rFonts w:ascii="Cambria Math" w:eastAsia="Cambria Math" w:hAnsi="Cambria Math" w:cs="Cambria Math"/>
                </w:rPr>
              </m:ctrlPr>
            </m:sSupPr>
            <m:e>
              <m:r>
                <w:rPr>
                  <w:rFonts w:ascii="Cambria Math" w:eastAsia="Cambria Math" w:hAnsi="Cambria Math" w:cs="Cambria Math"/>
                </w:rPr>
                <m:t>K</m:t>
              </m:r>
            </m:e>
            <m:sup>
              <m:r>
                <w:rPr>
                  <w:rFonts w:ascii="Cambria Math" w:eastAsia="Cambria Math" w:hAnsi="Cambria Math" w:cs="Cambria Math"/>
                </w:rPr>
                <m:t>0.565</m:t>
              </m:r>
            </m:sup>
          </m:sSup>
        </m:oMath>
      </m:oMathPara>
    </w:p>
    <w:p w14:paraId="1D477E4E" w14:textId="443A8636" w:rsidR="00C4712F" w:rsidRDefault="00C4712F" w:rsidP="00C4712F">
      <w:pPr>
        <w:rPr>
          <w:rFonts w:eastAsiaTheme="minorEastAsia"/>
        </w:rPr>
      </w:pPr>
      <w:r>
        <w:rPr>
          <w:rFonts w:eastAsiaTheme="minorEastAsia"/>
        </w:rPr>
        <w:t xml:space="preserve">If you assume constant return to scale, then </w:t>
      </w:r>
      <m:oMath>
        <m:r>
          <w:rPr>
            <w:rFonts w:ascii="Cambria Math" w:eastAsiaTheme="minorEastAsia" w:hAnsi="Cambria Math"/>
          </w:rPr>
          <m:t>γ=1-α-β</m:t>
        </m:r>
      </m:oMath>
      <w:r>
        <w:rPr>
          <w:rFonts w:eastAsiaTheme="minorEastAsia"/>
        </w:rPr>
        <w:t>.</w:t>
      </w:r>
    </w:p>
    <w:p w14:paraId="0EF384DA" w14:textId="77777777" w:rsidR="00C4712F" w:rsidRPr="00CE667A" w:rsidRDefault="00000000" w:rsidP="00C4712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K</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α</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β</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 xml:space="preserve">-α-β </m:t>
              </m:r>
            </m:sup>
          </m:sSup>
        </m:oMath>
      </m:oMathPara>
    </w:p>
    <w:p w14:paraId="5A164985" w14:textId="77777777" w:rsidR="00C4712F" w:rsidRPr="00802C28" w:rsidRDefault="00000000" w:rsidP="00C4712F">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K</m:t>
                  </m:r>
                </m:den>
              </m:f>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A</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αln</m:t>
              </m:r>
            </m:fName>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K</m:t>
                  </m:r>
                </m:den>
              </m:f>
            </m:e>
          </m:func>
          <m:r>
            <w:rPr>
              <w:rFonts w:ascii="Cambria Math" w:eastAsiaTheme="minorEastAsia" w:hAnsi="Cambria Math"/>
            </w:rPr>
            <m:t>+β</m:t>
          </m:r>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K</m:t>
                  </m:r>
                </m:den>
              </m:f>
            </m:e>
          </m:func>
        </m:oMath>
      </m:oMathPara>
    </w:p>
    <w:p w14:paraId="06AEC3D8" w14:textId="77777777" w:rsidR="00C4712F" w:rsidRPr="00802C28" w:rsidRDefault="00000000" w:rsidP="00C4712F">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+α</m:t>
          </m:r>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+β</m:t>
          </m:r>
          <m:acc>
            <m:accPr>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 xml:space="preserve">,  </m:t>
          </m:r>
          <m:r>
            <m:rPr>
              <m:sty m:val="p"/>
            </m:rPr>
            <w:rPr>
              <w:rFonts w:ascii="Cambria Math" w:eastAsiaTheme="minorEastAsia" w:hAnsi="Cambria Math"/>
            </w:rPr>
            <m:t>Where</m:t>
          </m:r>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K</m:t>
                  </m:r>
                </m:den>
              </m:f>
            </m:e>
          </m:func>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 xml:space="preserve">A </m:t>
              </m:r>
            </m:e>
          </m:func>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K</m:t>
                  </m:r>
                </m:den>
              </m:f>
            </m:e>
          </m:func>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K</m:t>
                  </m:r>
                </m:den>
              </m:f>
            </m:e>
          </m:func>
        </m:oMath>
      </m:oMathPara>
    </w:p>
    <w:p w14:paraId="51049EC9" w14:textId="545B253E" w:rsidR="00C4712F" w:rsidRDefault="00C4712F" w:rsidP="00C4712F">
      <w:pPr>
        <w:pStyle w:val="Caption"/>
        <w:rPr>
          <w:rFonts w:eastAsiaTheme="minorEastAsia"/>
        </w:rPr>
      </w:pPr>
      <w:r>
        <w:t xml:space="preserve">Equation </w:t>
      </w:r>
      <w:r>
        <w:fldChar w:fldCharType="begin"/>
      </w:r>
      <w:r>
        <w:instrText xml:space="preserve"> SEQ Equation \* ARABIC </w:instrText>
      </w:r>
      <w:r>
        <w:fldChar w:fldCharType="separate"/>
      </w:r>
      <w:r w:rsidR="00FC1132">
        <w:rPr>
          <w:noProof/>
        </w:rPr>
        <w:t>21</w:t>
      </w:r>
      <w:r>
        <w:rPr>
          <w:noProof/>
        </w:rPr>
        <w:fldChar w:fldCharType="end"/>
      </w:r>
      <w:r>
        <w:t xml:space="preserve"> Multivariable Linear Regression Model of CD</w:t>
      </w:r>
    </w:p>
    <w:p w14:paraId="4844A414" w14:textId="0C577B32" w:rsidR="004F1F27" w:rsidRDefault="00C4712F" w:rsidP="00E40374">
      <w:pPr>
        <w:rPr>
          <w:rFonts w:eastAsiaTheme="minorEastAsia"/>
        </w:rPr>
      </w:pPr>
      <w:r>
        <w:rPr>
          <w:rFonts w:eastAsiaTheme="minorEastAsia"/>
        </w:rPr>
        <w:t xml:space="preserve">The constants in this equation can be estimated by multi-variable linear regression which was complete in R. The simple linear regression used to calculate the parameters can return answer in the whole range </w:t>
      </w:r>
      <m:oMath>
        <m:r>
          <m:rPr>
            <m:scr m:val="double-struck"/>
          </m:rPr>
          <w:rPr>
            <w:rFonts w:ascii="Cambria Math" w:eastAsiaTheme="minorEastAsia" w:hAnsi="Cambria Math"/>
          </w:rPr>
          <m:t>R</m:t>
        </m:r>
      </m:oMath>
      <w:r>
        <w:rPr>
          <w:rFonts w:eastAsiaTheme="minorEastAsia"/>
        </w:rPr>
        <w:t>. Therefore</w:t>
      </w:r>
      <w:r w:rsidR="00816732">
        <w:rPr>
          <w:rFonts w:eastAsiaTheme="minorEastAsia"/>
        </w:rPr>
        <w:t>,</w:t>
      </w:r>
      <w:r>
        <w:rPr>
          <w:rFonts w:eastAsiaTheme="minorEastAsia"/>
        </w:rPr>
        <w:t xml:space="preserve"> for some of the sectors there may exist </w:t>
      </w:r>
      <w:r w:rsidR="00816732">
        <w:rPr>
          <w:rFonts w:eastAsiaTheme="minorEastAsia"/>
        </w:rPr>
        <w:t>better estimators of the function</w:t>
      </w:r>
      <w:r>
        <w:rPr>
          <w:rFonts w:eastAsiaTheme="minorEastAsia"/>
        </w:rPr>
        <w:t xml:space="preserve"> </w:t>
      </w:r>
      <w:r w:rsidR="00816732">
        <w:rPr>
          <w:rFonts w:eastAsiaTheme="minorEastAsia"/>
        </w:rPr>
        <w:t xml:space="preserve">outside the bounds of the parameters, </w:t>
      </w:r>
      <m:oMath>
        <m:r>
          <w:rPr>
            <w:rFonts w:ascii="Cambria Math" w:eastAsiaTheme="minorEastAsia" w:hAnsi="Cambria Math"/>
          </w:rPr>
          <m:t>0&lt;α,β,γ&lt;1</m:t>
        </m:r>
      </m:oMath>
      <w:r w:rsidR="00816732">
        <w:rPr>
          <w:rFonts w:eastAsiaTheme="minorEastAsia"/>
        </w:rPr>
        <w:t>.</w:t>
      </w:r>
    </w:p>
    <w:p w14:paraId="0B858C1D" w14:textId="3971EF22" w:rsidR="00C4712F" w:rsidRDefault="00816732" w:rsidP="00816732">
      <w:pPr>
        <w:pStyle w:val="Heading4"/>
      </w:pPr>
      <w:r>
        <w:t>Linear Regression Results</w:t>
      </w:r>
    </w:p>
    <w:tbl>
      <w:tblPr>
        <w:tblW w:w="6537" w:type="dxa"/>
        <w:tblLook w:val="04A0" w:firstRow="1" w:lastRow="0" w:firstColumn="1" w:lastColumn="0" w:noHBand="0" w:noVBand="1"/>
      </w:tblPr>
      <w:tblGrid>
        <w:gridCol w:w="1319"/>
        <w:gridCol w:w="1283"/>
        <w:gridCol w:w="1283"/>
        <w:gridCol w:w="1283"/>
        <w:gridCol w:w="1369"/>
      </w:tblGrid>
      <w:tr w:rsidR="00816732" w:rsidRPr="00816732" w14:paraId="18F66165" w14:textId="77777777" w:rsidTr="00816732">
        <w:trPr>
          <w:trHeight w:val="261"/>
        </w:trPr>
        <w:tc>
          <w:tcPr>
            <w:tcW w:w="131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29C57F8" w14:textId="77777777" w:rsidR="00816732" w:rsidRPr="00816732" w:rsidRDefault="00816732" w:rsidP="00816732">
            <w:pPr>
              <w:spacing w:after="0" w:line="240" w:lineRule="auto"/>
              <w:rPr>
                <w:rFonts w:eastAsia="Times New Roman"/>
                <w:b/>
                <w:bCs/>
                <w:color w:val="000000"/>
              </w:rPr>
            </w:pPr>
            <w:r w:rsidRPr="00816732">
              <w:rPr>
                <w:rFonts w:eastAsia="Times New Roman"/>
                <w:b/>
                <w:bCs/>
                <w:color w:val="000000"/>
              </w:rPr>
              <w:t>Sector</w:t>
            </w:r>
          </w:p>
        </w:tc>
        <w:tc>
          <w:tcPr>
            <w:tcW w:w="1283" w:type="dxa"/>
            <w:tcBorders>
              <w:top w:val="single" w:sz="4" w:space="0" w:color="auto"/>
              <w:left w:val="nil"/>
              <w:bottom w:val="single" w:sz="4" w:space="0" w:color="auto"/>
              <w:right w:val="single" w:sz="4" w:space="0" w:color="auto"/>
            </w:tcBorders>
            <w:shd w:val="clear" w:color="000000" w:fill="FFFFFF"/>
            <w:noWrap/>
            <w:vAlign w:val="bottom"/>
            <w:hideMark/>
          </w:tcPr>
          <w:p w14:paraId="02E79F63" w14:textId="28CBCA2A" w:rsidR="00816732" w:rsidRPr="00816732" w:rsidRDefault="00CF68E5" w:rsidP="00816732">
            <w:pPr>
              <w:spacing w:after="0" w:line="240" w:lineRule="auto"/>
              <w:jc w:val="center"/>
              <w:rPr>
                <w:rFonts w:eastAsia="Times New Roman"/>
                <w:b/>
                <w:bCs/>
                <w:color w:val="000000"/>
              </w:rPr>
            </w:pPr>
            <m:oMathPara>
              <m:oMath>
                <m:acc>
                  <m:accPr>
                    <m:ctrlPr>
                      <w:rPr>
                        <w:rFonts w:ascii="Cambria Math" w:eastAsia="Times New Roman" w:hAnsi="Cambria Math"/>
                        <w:b/>
                        <w:bCs/>
                        <w:i/>
                        <w:color w:val="000000"/>
                      </w:rPr>
                    </m:ctrlPr>
                  </m:accPr>
                  <m:e>
                    <m:r>
                      <m:rPr>
                        <m:sty m:val="bi"/>
                      </m:rPr>
                      <w:rPr>
                        <w:rFonts w:ascii="Cambria Math" w:eastAsia="Times New Roman" w:hAnsi="Cambria Math"/>
                        <w:color w:val="000000"/>
                      </w:rPr>
                      <m:t>A</m:t>
                    </m:r>
                  </m:e>
                </m:acc>
              </m:oMath>
            </m:oMathPara>
          </w:p>
        </w:tc>
        <w:tc>
          <w:tcPr>
            <w:tcW w:w="1283" w:type="dxa"/>
            <w:tcBorders>
              <w:top w:val="single" w:sz="4" w:space="0" w:color="auto"/>
              <w:left w:val="nil"/>
              <w:bottom w:val="single" w:sz="4" w:space="0" w:color="auto"/>
              <w:right w:val="single" w:sz="4" w:space="0" w:color="auto"/>
            </w:tcBorders>
            <w:shd w:val="clear" w:color="000000" w:fill="FFFFFF"/>
            <w:noWrap/>
            <w:vAlign w:val="bottom"/>
            <w:hideMark/>
          </w:tcPr>
          <w:p w14:paraId="0ADA47B9" w14:textId="77777777" w:rsidR="00816732" w:rsidRPr="00816732" w:rsidRDefault="00816732" w:rsidP="00816732">
            <w:pPr>
              <w:spacing w:after="0" w:line="240" w:lineRule="auto"/>
              <w:jc w:val="center"/>
              <w:rPr>
                <w:rFonts w:eastAsia="Times New Roman"/>
                <w:b/>
                <w:bCs/>
                <w:color w:val="000000"/>
              </w:rPr>
            </w:pPr>
            <w:r w:rsidRPr="00816732">
              <w:rPr>
                <w:rFonts w:eastAsia="Times New Roman"/>
                <w:b/>
                <w:bCs/>
                <w:color w:val="000000"/>
              </w:rPr>
              <w:t>Alpha</w:t>
            </w:r>
          </w:p>
        </w:tc>
        <w:tc>
          <w:tcPr>
            <w:tcW w:w="1283" w:type="dxa"/>
            <w:tcBorders>
              <w:top w:val="single" w:sz="4" w:space="0" w:color="auto"/>
              <w:left w:val="nil"/>
              <w:bottom w:val="single" w:sz="4" w:space="0" w:color="auto"/>
              <w:right w:val="single" w:sz="4" w:space="0" w:color="auto"/>
            </w:tcBorders>
            <w:shd w:val="clear" w:color="000000" w:fill="FFFFFF"/>
            <w:noWrap/>
            <w:vAlign w:val="bottom"/>
            <w:hideMark/>
          </w:tcPr>
          <w:p w14:paraId="72FE44DF" w14:textId="77777777" w:rsidR="00816732" w:rsidRPr="00816732" w:rsidRDefault="00816732" w:rsidP="00816732">
            <w:pPr>
              <w:spacing w:after="0" w:line="240" w:lineRule="auto"/>
              <w:jc w:val="center"/>
              <w:rPr>
                <w:rFonts w:eastAsia="Times New Roman"/>
                <w:b/>
                <w:bCs/>
                <w:color w:val="000000"/>
              </w:rPr>
            </w:pPr>
            <w:r w:rsidRPr="00816732">
              <w:rPr>
                <w:rFonts w:eastAsia="Times New Roman"/>
                <w:b/>
                <w:bCs/>
                <w:color w:val="000000"/>
              </w:rPr>
              <w:t>Beta</w:t>
            </w:r>
          </w:p>
        </w:tc>
        <w:tc>
          <w:tcPr>
            <w:tcW w:w="1369" w:type="dxa"/>
            <w:tcBorders>
              <w:top w:val="single" w:sz="4" w:space="0" w:color="auto"/>
              <w:left w:val="nil"/>
              <w:bottom w:val="single" w:sz="4" w:space="0" w:color="auto"/>
              <w:right w:val="single" w:sz="4" w:space="0" w:color="auto"/>
            </w:tcBorders>
            <w:shd w:val="clear" w:color="000000" w:fill="FFFFFF"/>
            <w:noWrap/>
            <w:vAlign w:val="bottom"/>
            <w:hideMark/>
          </w:tcPr>
          <w:p w14:paraId="1FA5067B" w14:textId="77777777" w:rsidR="00816732" w:rsidRPr="00816732" w:rsidRDefault="00816732" w:rsidP="00816732">
            <w:pPr>
              <w:spacing w:after="0" w:line="240" w:lineRule="auto"/>
              <w:jc w:val="center"/>
              <w:rPr>
                <w:rFonts w:eastAsia="Times New Roman"/>
                <w:b/>
                <w:bCs/>
                <w:color w:val="000000"/>
              </w:rPr>
            </w:pPr>
            <w:r w:rsidRPr="00816732">
              <w:rPr>
                <w:rFonts w:eastAsia="Times New Roman"/>
                <w:b/>
                <w:bCs/>
                <w:color w:val="000000"/>
              </w:rPr>
              <w:t>Gamma</w:t>
            </w:r>
          </w:p>
        </w:tc>
      </w:tr>
      <w:tr w:rsidR="00816732" w:rsidRPr="00816732" w14:paraId="7F80A38E" w14:textId="77777777" w:rsidTr="00816732">
        <w:trPr>
          <w:trHeight w:val="261"/>
        </w:trPr>
        <w:tc>
          <w:tcPr>
            <w:tcW w:w="1319" w:type="dxa"/>
            <w:tcBorders>
              <w:top w:val="nil"/>
              <w:left w:val="single" w:sz="4" w:space="0" w:color="auto"/>
              <w:bottom w:val="single" w:sz="4" w:space="0" w:color="auto"/>
              <w:right w:val="single" w:sz="4" w:space="0" w:color="auto"/>
            </w:tcBorders>
            <w:shd w:val="clear" w:color="000000" w:fill="FFFFFF"/>
            <w:noWrap/>
            <w:vAlign w:val="bottom"/>
            <w:hideMark/>
          </w:tcPr>
          <w:p w14:paraId="3F0328D2" w14:textId="77777777" w:rsidR="00816732" w:rsidRPr="00816732" w:rsidRDefault="00816732" w:rsidP="00816732">
            <w:pPr>
              <w:spacing w:after="0" w:line="240" w:lineRule="auto"/>
              <w:rPr>
                <w:rFonts w:eastAsia="Times New Roman"/>
                <w:color w:val="000000"/>
              </w:rPr>
            </w:pPr>
            <w:r w:rsidRPr="00816732">
              <w:rPr>
                <w:rFonts w:eastAsia="Times New Roman"/>
                <w:color w:val="000000"/>
              </w:rPr>
              <w:t>A01</w:t>
            </w:r>
          </w:p>
        </w:tc>
        <w:tc>
          <w:tcPr>
            <w:tcW w:w="1283" w:type="dxa"/>
            <w:tcBorders>
              <w:top w:val="nil"/>
              <w:left w:val="nil"/>
              <w:bottom w:val="single" w:sz="4" w:space="0" w:color="auto"/>
              <w:right w:val="single" w:sz="4" w:space="0" w:color="auto"/>
            </w:tcBorders>
            <w:shd w:val="clear" w:color="000000" w:fill="FFFFFF"/>
            <w:noWrap/>
            <w:vAlign w:val="bottom"/>
            <w:hideMark/>
          </w:tcPr>
          <w:p w14:paraId="7741E4EA"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1.364</w:t>
            </w:r>
          </w:p>
        </w:tc>
        <w:tc>
          <w:tcPr>
            <w:tcW w:w="1283" w:type="dxa"/>
            <w:tcBorders>
              <w:top w:val="nil"/>
              <w:left w:val="nil"/>
              <w:bottom w:val="single" w:sz="4" w:space="0" w:color="auto"/>
              <w:right w:val="single" w:sz="4" w:space="0" w:color="auto"/>
            </w:tcBorders>
            <w:shd w:val="clear" w:color="000000" w:fill="FFFFFF"/>
            <w:noWrap/>
            <w:vAlign w:val="bottom"/>
            <w:hideMark/>
          </w:tcPr>
          <w:p w14:paraId="35F7E30A"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0.414</w:t>
            </w:r>
          </w:p>
        </w:tc>
        <w:tc>
          <w:tcPr>
            <w:tcW w:w="1283" w:type="dxa"/>
            <w:tcBorders>
              <w:top w:val="nil"/>
              <w:left w:val="nil"/>
              <w:bottom w:val="single" w:sz="4" w:space="0" w:color="auto"/>
              <w:right w:val="single" w:sz="4" w:space="0" w:color="auto"/>
            </w:tcBorders>
            <w:shd w:val="clear" w:color="000000" w:fill="FFFFFF"/>
            <w:noWrap/>
            <w:vAlign w:val="bottom"/>
            <w:hideMark/>
          </w:tcPr>
          <w:p w14:paraId="01CDBE32"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0.111</w:t>
            </w:r>
          </w:p>
        </w:tc>
        <w:tc>
          <w:tcPr>
            <w:tcW w:w="1369" w:type="dxa"/>
            <w:tcBorders>
              <w:top w:val="nil"/>
              <w:left w:val="nil"/>
              <w:bottom w:val="single" w:sz="4" w:space="0" w:color="auto"/>
              <w:right w:val="single" w:sz="4" w:space="0" w:color="auto"/>
            </w:tcBorders>
            <w:shd w:val="clear" w:color="000000" w:fill="FFFFFF"/>
            <w:noWrap/>
            <w:vAlign w:val="bottom"/>
            <w:hideMark/>
          </w:tcPr>
          <w:p w14:paraId="4D06232F"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0.475</w:t>
            </w:r>
          </w:p>
        </w:tc>
      </w:tr>
      <w:tr w:rsidR="00816732" w:rsidRPr="00816732" w14:paraId="7A2A057F" w14:textId="77777777" w:rsidTr="00816732">
        <w:trPr>
          <w:trHeight w:val="261"/>
        </w:trPr>
        <w:tc>
          <w:tcPr>
            <w:tcW w:w="1319" w:type="dxa"/>
            <w:tcBorders>
              <w:top w:val="nil"/>
              <w:left w:val="single" w:sz="4" w:space="0" w:color="auto"/>
              <w:bottom w:val="single" w:sz="4" w:space="0" w:color="auto"/>
              <w:right w:val="single" w:sz="4" w:space="0" w:color="auto"/>
            </w:tcBorders>
            <w:shd w:val="clear" w:color="000000" w:fill="FFFFFF"/>
            <w:noWrap/>
            <w:vAlign w:val="bottom"/>
            <w:hideMark/>
          </w:tcPr>
          <w:p w14:paraId="050F7B7F" w14:textId="77777777" w:rsidR="00816732" w:rsidRPr="00816732" w:rsidRDefault="00816732" w:rsidP="00816732">
            <w:pPr>
              <w:spacing w:after="0" w:line="240" w:lineRule="auto"/>
              <w:rPr>
                <w:rFonts w:eastAsia="Times New Roman"/>
                <w:color w:val="000000"/>
              </w:rPr>
            </w:pPr>
            <w:r w:rsidRPr="00816732">
              <w:rPr>
                <w:rFonts w:eastAsia="Times New Roman"/>
                <w:color w:val="000000"/>
              </w:rPr>
              <w:t>A02</w:t>
            </w:r>
          </w:p>
        </w:tc>
        <w:tc>
          <w:tcPr>
            <w:tcW w:w="1283" w:type="dxa"/>
            <w:tcBorders>
              <w:top w:val="nil"/>
              <w:left w:val="nil"/>
              <w:bottom w:val="single" w:sz="4" w:space="0" w:color="auto"/>
              <w:right w:val="single" w:sz="4" w:space="0" w:color="auto"/>
            </w:tcBorders>
            <w:shd w:val="clear" w:color="000000" w:fill="FFFFFF"/>
            <w:noWrap/>
            <w:vAlign w:val="bottom"/>
            <w:hideMark/>
          </w:tcPr>
          <w:p w14:paraId="3E0162D2"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1.602</w:t>
            </w:r>
          </w:p>
        </w:tc>
        <w:tc>
          <w:tcPr>
            <w:tcW w:w="1283" w:type="dxa"/>
            <w:tcBorders>
              <w:top w:val="nil"/>
              <w:left w:val="nil"/>
              <w:bottom w:val="single" w:sz="4" w:space="0" w:color="auto"/>
              <w:right w:val="single" w:sz="4" w:space="0" w:color="auto"/>
            </w:tcBorders>
            <w:shd w:val="clear" w:color="000000" w:fill="FFFFFF"/>
            <w:noWrap/>
            <w:vAlign w:val="bottom"/>
            <w:hideMark/>
          </w:tcPr>
          <w:p w14:paraId="5638E828"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0.188</w:t>
            </w:r>
          </w:p>
        </w:tc>
        <w:tc>
          <w:tcPr>
            <w:tcW w:w="1283" w:type="dxa"/>
            <w:tcBorders>
              <w:top w:val="nil"/>
              <w:left w:val="nil"/>
              <w:bottom w:val="single" w:sz="4" w:space="0" w:color="auto"/>
              <w:right w:val="single" w:sz="4" w:space="0" w:color="auto"/>
            </w:tcBorders>
            <w:shd w:val="clear" w:color="000000" w:fill="FFFFFF"/>
            <w:noWrap/>
            <w:vAlign w:val="bottom"/>
            <w:hideMark/>
          </w:tcPr>
          <w:p w14:paraId="602F2683"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0.353</w:t>
            </w:r>
          </w:p>
        </w:tc>
        <w:tc>
          <w:tcPr>
            <w:tcW w:w="1369" w:type="dxa"/>
            <w:tcBorders>
              <w:top w:val="nil"/>
              <w:left w:val="nil"/>
              <w:bottom w:val="single" w:sz="4" w:space="0" w:color="auto"/>
              <w:right w:val="single" w:sz="4" w:space="0" w:color="auto"/>
            </w:tcBorders>
            <w:shd w:val="clear" w:color="000000" w:fill="FFFFFF"/>
            <w:noWrap/>
            <w:vAlign w:val="bottom"/>
            <w:hideMark/>
          </w:tcPr>
          <w:p w14:paraId="0BE56395"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0.458</w:t>
            </w:r>
          </w:p>
        </w:tc>
      </w:tr>
      <w:tr w:rsidR="00816732" w:rsidRPr="00816732" w14:paraId="4C089254" w14:textId="77777777" w:rsidTr="00816732">
        <w:trPr>
          <w:trHeight w:val="261"/>
        </w:trPr>
        <w:tc>
          <w:tcPr>
            <w:tcW w:w="1319" w:type="dxa"/>
            <w:tcBorders>
              <w:top w:val="nil"/>
              <w:left w:val="single" w:sz="4" w:space="0" w:color="auto"/>
              <w:bottom w:val="single" w:sz="4" w:space="0" w:color="auto"/>
              <w:right w:val="single" w:sz="4" w:space="0" w:color="auto"/>
            </w:tcBorders>
            <w:shd w:val="clear" w:color="000000" w:fill="FFFFFF"/>
            <w:noWrap/>
            <w:vAlign w:val="bottom"/>
            <w:hideMark/>
          </w:tcPr>
          <w:p w14:paraId="3921C615" w14:textId="77777777" w:rsidR="00816732" w:rsidRPr="00816732" w:rsidRDefault="00816732" w:rsidP="00816732">
            <w:pPr>
              <w:spacing w:after="0" w:line="240" w:lineRule="auto"/>
              <w:rPr>
                <w:rFonts w:eastAsia="Times New Roman"/>
                <w:color w:val="000000"/>
              </w:rPr>
            </w:pPr>
            <w:r w:rsidRPr="00816732">
              <w:rPr>
                <w:rFonts w:eastAsia="Times New Roman"/>
                <w:color w:val="000000"/>
              </w:rPr>
              <w:t>B</w:t>
            </w:r>
          </w:p>
        </w:tc>
        <w:tc>
          <w:tcPr>
            <w:tcW w:w="1283" w:type="dxa"/>
            <w:tcBorders>
              <w:top w:val="nil"/>
              <w:left w:val="nil"/>
              <w:bottom w:val="single" w:sz="4" w:space="0" w:color="auto"/>
              <w:right w:val="single" w:sz="4" w:space="0" w:color="auto"/>
            </w:tcBorders>
            <w:shd w:val="clear" w:color="000000" w:fill="FFFFFF"/>
            <w:noWrap/>
            <w:vAlign w:val="bottom"/>
            <w:hideMark/>
          </w:tcPr>
          <w:p w14:paraId="5FB8F1AA"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1.113</w:t>
            </w:r>
          </w:p>
        </w:tc>
        <w:tc>
          <w:tcPr>
            <w:tcW w:w="1283" w:type="dxa"/>
            <w:tcBorders>
              <w:top w:val="nil"/>
              <w:left w:val="nil"/>
              <w:bottom w:val="single" w:sz="4" w:space="0" w:color="auto"/>
              <w:right w:val="single" w:sz="4" w:space="0" w:color="auto"/>
            </w:tcBorders>
            <w:shd w:val="clear" w:color="000000" w:fill="FFFFFF"/>
            <w:noWrap/>
            <w:vAlign w:val="bottom"/>
            <w:hideMark/>
          </w:tcPr>
          <w:p w14:paraId="551BDF06"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0.666</w:t>
            </w:r>
          </w:p>
        </w:tc>
        <w:tc>
          <w:tcPr>
            <w:tcW w:w="1283" w:type="dxa"/>
            <w:tcBorders>
              <w:top w:val="nil"/>
              <w:left w:val="nil"/>
              <w:bottom w:val="single" w:sz="4" w:space="0" w:color="auto"/>
              <w:right w:val="single" w:sz="4" w:space="0" w:color="auto"/>
            </w:tcBorders>
            <w:shd w:val="clear" w:color="000000" w:fill="FFFFFF"/>
            <w:noWrap/>
            <w:vAlign w:val="bottom"/>
            <w:hideMark/>
          </w:tcPr>
          <w:p w14:paraId="2947C1F9"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0.118</w:t>
            </w:r>
          </w:p>
        </w:tc>
        <w:tc>
          <w:tcPr>
            <w:tcW w:w="1369" w:type="dxa"/>
            <w:tcBorders>
              <w:top w:val="nil"/>
              <w:left w:val="nil"/>
              <w:bottom w:val="single" w:sz="4" w:space="0" w:color="auto"/>
              <w:right w:val="single" w:sz="4" w:space="0" w:color="auto"/>
            </w:tcBorders>
            <w:shd w:val="clear" w:color="000000" w:fill="FFFFFF"/>
            <w:noWrap/>
            <w:vAlign w:val="bottom"/>
            <w:hideMark/>
          </w:tcPr>
          <w:p w14:paraId="40E92A4D"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0.215</w:t>
            </w:r>
          </w:p>
        </w:tc>
      </w:tr>
      <w:tr w:rsidR="00816732" w:rsidRPr="00816732" w14:paraId="06AD619B" w14:textId="77777777" w:rsidTr="00816732">
        <w:trPr>
          <w:trHeight w:val="261"/>
        </w:trPr>
        <w:tc>
          <w:tcPr>
            <w:tcW w:w="1319" w:type="dxa"/>
            <w:tcBorders>
              <w:top w:val="nil"/>
              <w:left w:val="single" w:sz="4" w:space="0" w:color="auto"/>
              <w:bottom w:val="single" w:sz="4" w:space="0" w:color="auto"/>
              <w:right w:val="single" w:sz="4" w:space="0" w:color="auto"/>
            </w:tcBorders>
            <w:shd w:val="clear" w:color="000000" w:fill="FFFFFF"/>
            <w:noWrap/>
            <w:vAlign w:val="bottom"/>
            <w:hideMark/>
          </w:tcPr>
          <w:p w14:paraId="7FE28FDB" w14:textId="77777777" w:rsidR="00816732" w:rsidRPr="00816732" w:rsidRDefault="00816732" w:rsidP="00816732">
            <w:pPr>
              <w:spacing w:after="0" w:line="240" w:lineRule="auto"/>
              <w:rPr>
                <w:rFonts w:eastAsia="Times New Roman"/>
                <w:color w:val="000000"/>
              </w:rPr>
            </w:pPr>
            <w:r w:rsidRPr="00816732">
              <w:rPr>
                <w:rFonts w:eastAsia="Times New Roman"/>
                <w:color w:val="000000"/>
              </w:rPr>
              <w:t>C18</w:t>
            </w:r>
          </w:p>
        </w:tc>
        <w:tc>
          <w:tcPr>
            <w:tcW w:w="1283" w:type="dxa"/>
            <w:tcBorders>
              <w:top w:val="nil"/>
              <w:left w:val="nil"/>
              <w:bottom w:val="single" w:sz="4" w:space="0" w:color="auto"/>
              <w:right w:val="single" w:sz="4" w:space="0" w:color="auto"/>
            </w:tcBorders>
            <w:shd w:val="clear" w:color="000000" w:fill="FFFFFF"/>
            <w:noWrap/>
            <w:vAlign w:val="bottom"/>
            <w:hideMark/>
          </w:tcPr>
          <w:p w14:paraId="31B5C19D"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1.058</w:t>
            </w:r>
          </w:p>
        </w:tc>
        <w:tc>
          <w:tcPr>
            <w:tcW w:w="1283" w:type="dxa"/>
            <w:tcBorders>
              <w:top w:val="nil"/>
              <w:left w:val="nil"/>
              <w:bottom w:val="single" w:sz="4" w:space="0" w:color="auto"/>
              <w:right w:val="single" w:sz="4" w:space="0" w:color="auto"/>
            </w:tcBorders>
            <w:shd w:val="clear" w:color="000000" w:fill="FFFFFF"/>
            <w:noWrap/>
            <w:vAlign w:val="bottom"/>
            <w:hideMark/>
          </w:tcPr>
          <w:p w14:paraId="24D18405"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0.587</w:t>
            </w:r>
          </w:p>
        </w:tc>
        <w:tc>
          <w:tcPr>
            <w:tcW w:w="1283" w:type="dxa"/>
            <w:tcBorders>
              <w:top w:val="nil"/>
              <w:left w:val="nil"/>
              <w:bottom w:val="single" w:sz="4" w:space="0" w:color="auto"/>
              <w:right w:val="single" w:sz="4" w:space="0" w:color="auto"/>
            </w:tcBorders>
            <w:shd w:val="clear" w:color="000000" w:fill="FFFFFF"/>
            <w:noWrap/>
            <w:vAlign w:val="bottom"/>
            <w:hideMark/>
          </w:tcPr>
          <w:p w14:paraId="14C28172"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0.259</w:t>
            </w:r>
          </w:p>
        </w:tc>
        <w:tc>
          <w:tcPr>
            <w:tcW w:w="1369" w:type="dxa"/>
            <w:tcBorders>
              <w:top w:val="nil"/>
              <w:left w:val="nil"/>
              <w:bottom w:val="single" w:sz="4" w:space="0" w:color="auto"/>
              <w:right w:val="single" w:sz="4" w:space="0" w:color="auto"/>
            </w:tcBorders>
            <w:shd w:val="clear" w:color="000000" w:fill="FFFFFF"/>
            <w:noWrap/>
            <w:vAlign w:val="bottom"/>
            <w:hideMark/>
          </w:tcPr>
          <w:p w14:paraId="04ECACCA"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0.154</w:t>
            </w:r>
          </w:p>
        </w:tc>
      </w:tr>
      <w:tr w:rsidR="00816732" w:rsidRPr="00816732" w14:paraId="382D4A09" w14:textId="77777777" w:rsidTr="00816732">
        <w:trPr>
          <w:trHeight w:val="261"/>
        </w:trPr>
        <w:tc>
          <w:tcPr>
            <w:tcW w:w="1319" w:type="dxa"/>
            <w:tcBorders>
              <w:top w:val="nil"/>
              <w:left w:val="single" w:sz="4" w:space="0" w:color="auto"/>
              <w:bottom w:val="single" w:sz="4" w:space="0" w:color="auto"/>
              <w:right w:val="single" w:sz="4" w:space="0" w:color="auto"/>
            </w:tcBorders>
            <w:shd w:val="clear" w:color="000000" w:fill="FFFFFF"/>
            <w:noWrap/>
            <w:vAlign w:val="bottom"/>
            <w:hideMark/>
          </w:tcPr>
          <w:p w14:paraId="44862ED5" w14:textId="77777777" w:rsidR="00816732" w:rsidRPr="00816732" w:rsidRDefault="00816732" w:rsidP="00816732">
            <w:pPr>
              <w:spacing w:after="0" w:line="240" w:lineRule="auto"/>
              <w:rPr>
                <w:rFonts w:eastAsia="Times New Roman"/>
                <w:color w:val="000000"/>
              </w:rPr>
            </w:pPr>
            <w:r w:rsidRPr="00816732">
              <w:rPr>
                <w:rFonts w:eastAsia="Times New Roman"/>
                <w:color w:val="000000"/>
              </w:rPr>
              <w:t>C19</w:t>
            </w:r>
          </w:p>
        </w:tc>
        <w:tc>
          <w:tcPr>
            <w:tcW w:w="1283" w:type="dxa"/>
            <w:tcBorders>
              <w:top w:val="nil"/>
              <w:left w:val="nil"/>
              <w:bottom w:val="single" w:sz="4" w:space="0" w:color="auto"/>
              <w:right w:val="single" w:sz="4" w:space="0" w:color="auto"/>
            </w:tcBorders>
            <w:shd w:val="clear" w:color="000000" w:fill="FFFFFF"/>
            <w:noWrap/>
            <w:vAlign w:val="bottom"/>
            <w:hideMark/>
          </w:tcPr>
          <w:p w14:paraId="6ABF6BB5"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1.282</w:t>
            </w:r>
          </w:p>
        </w:tc>
        <w:tc>
          <w:tcPr>
            <w:tcW w:w="1283" w:type="dxa"/>
            <w:tcBorders>
              <w:top w:val="nil"/>
              <w:left w:val="nil"/>
              <w:bottom w:val="single" w:sz="4" w:space="0" w:color="auto"/>
              <w:right w:val="single" w:sz="4" w:space="0" w:color="auto"/>
            </w:tcBorders>
            <w:shd w:val="clear" w:color="000000" w:fill="FFFFFF"/>
            <w:noWrap/>
            <w:vAlign w:val="bottom"/>
            <w:hideMark/>
          </w:tcPr>
          <w:p w14:paraId="4C93DFC9"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0.698</w:t>
            </w:r>
          </w:p>
        </w:tc>
        <w:tc>
          <w:tcPr>
            <w:tcW w:w="1283" w:type="dxa"/>
            <w:tcBorders>
              <w:top w:val="nil"/>
              <w:left w:val="nil"/>
              <w:bottom w:val="single" w:sz="4" w:space="0" w:color="auto"/>
              <w:right w:val="single" w:sz="4" w:space="0" w:color="auto"/>
            </w:tcBorders>
            <w:shd w:val="clear" w:color="000000" w:fill="FFFFFF"/>
            <w:noWrap/>
            <w:vAlign w:val="bottom"/>
            <w:hideMark/>
          </w:tcPr>
          <w:p w14:paraId="5FFD0479"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0.072</w:t>
            </w:r>
          </w:p>
        </w:tc>
        <w:tc>
          <w:tcPr>
            <w:tcW w:w="1369" w:type="dxa"/>
            <w:tcBorders>
              <w:top w:val="nil"/>
              <w:left w:val="nil"/>
              <w:bottom w:val="single" w:sz="4" w:space="0" w:color="auto"/>
              <w:right w:val="single" w:sz="4" w:space="0" w:color="auto"/>
            </w:tcBorders>
            <w:shd w:val="clear" w:color="000000" w:fill="FFFFFF"/>
            <w:noWrap/>
            <w:vAlign w:val="bottom"/>
            <w:hideMark/>
          </w:tcPr>
          <w:p w14:paraId="08A189BA"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0.229</w:t>
            </w:r>
          </w:p>
        </w:tc>
      </w:tr>
      <w:tr w:rsidR="00816732" w:rsidRPr="00816732" w14:paraId="65DE0488" w14:textId="77777777" w:rsidTr="00816732">
        <w:trPr>
          <w:trHeight w:val="261"/>
        </w:trPr>
        <w:tc>
          <w:tcPr>
            <w:tcW w:w="1319" w:type="dxa"/>
            <w:tcBorders>
              <w:top w:val="nil"/>
              <w:left w:val="single" w:sz="4" w:space="0" w:color="auto"/>
              <w:bottom w:val="single" w:sz="4" w:space="0" w:color="auto"/>
              <w:right w:val="single" w:sz="4" w:space="0" w:color="auto"/>
            </w:tcBorders>
            <w:shd w:val="clear" w:color="000000" w:fill="FFFFFF"/>
            <w:noWrap/>
            <w:vAlign w:val="bottom"/>
            <w:hideMark/>
          </w:tcPr>
          <w:p w14:paraId="3C7E0E37" w14:textId="77777777" w:rsidR="00816732" w:rsidRPr="00816732" w:rsidRDefault="00816732" w:rsidP="00816732">
            <w:pPr>
              <w:spacing w:after="0" w:line="240" w:lineRule="auto"/>
              <w:rPr>
                <w:rFonts w:eastAsia="Times New Roman"/>
                <w:color w:val="000000"/>
              </w:rPr>
            </w:pPr>
            <w:r w:rsidRPr="00816732">
              <w:rPr>
                <w:rFonts w:eastAsia="Times New Roman"/>
                <w:color w:val="000000"/>
              </w:rPr>
              <w:t>C22</w:t>
            </w:r>
          </w:p>
        </w:tc>
        <w:tc>
          <w:tcPr>
            <w:tcW w:w="1283" w:type="dxa"/>
            <w:tcBorders>
              <w:top w:val="nil"/>
              <w:left w:val="nil"/>
              <w:bottom w:val="single" w:sz="4" w:space="0" w:color="auto"/>
              <w:right w:val="single" w:sz="4" w:space="0" w:color="auto"/>
            </w:tcBorders>
            <w:shd w:val="clear" w:color="000000" w:fill="FFFFFF"/>
            <w:noWrap/>
            <w:vAlign w:val="bottom"/>
            <w:hideMark/>
          </w:tcPr>
          <w:p w14:paraId="4AF430BE"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0.941</w:t>
            </w:r>
          </w:p>
        </w:tc>
        <w:tc>
          <w:tcPr>
            <w:tcW w:w="1283" w:type="dxa"/>
            <w:tcBorders>
              <w:top w:val="nil"/>
              <w:left w:val="nil"/>
              <w:bottom w:val="single" w:sz="4" w:space="0" w:color="auto"/>
              <w:right w:val="single" w:sz="4" w:space="0" w:color="auto"/>
            </w:tcBorders>
            <w:shd w:val="clear" w:color="000000" w:fill="FFFFFF"/>
            <w:noWrap/>
            <w:vAlign w:val="bottom"/>
            <w:hideMark/>
          </w:tcPr>
          <w:p w14:paraId="14FEBDEC"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0.512</w:t>
            </w:r>
          </w:p>
        </w:tc>
        <w:tc>
          <w:tcPr>
            <w:tcW w:w="1283" w:type="dxa"/>
            <w:tcBorders>
              <w:top w:val="nil"/>
              <w:left w:val="nil"/>
              <w:bottom w:val="single" w:sz="4" w:space="0" w:color="auto"/>
              <w:right w:val="single" w:sz="4" w:space="0" w:color="auto"/>
            </w:tcBorders>
            <w:shd w:val="clear" w:color="000000" w:fill="FFFFFF"/>
            <w:noWrap/>
            <w:vAlign w:val="bottom"/>
            <w:hideMark/>
          </w:tcPr>
          <w:p w14:paraId="0BC8B27F"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0.445</w:t>
            </w:r>
          </w:p>
        </w:tc>
        <w:tc>
          <w:tcPr>
            <w:tcW w:w="1369" w:type="dxa"/>
            <w:tcBorders>
              <w:top w:val="nil"/>
              <w:left w:val="nil"/>
              <w:bottom w:val="single" w:sz="4" w:space="0" w:color="auto"/>
              <w:right w:val="single" w:sz="4" w:space="0" w:color="auto"/>
            </w:tcBorders>
            <w:shd w:val="clear" w:color="000000" w:fill="FFFFFF"/>
            <w:noWrap/>
            <w:vAlign w:val="bottom"/>
            <w:hideMark/>
          </w:tcPr>
          <w:p w14:paraId="2D74689C"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0.043</w:t>
            </w:r>
          </w:p>
        </w:tc>
      </w:tr>
      <w:tr w:rsidR="00816732" w:rsidRPr="00816732" w14:paraId="2DCAFB36" w14:textId="77777777" w:rsidTr="00816732">
        <w:trPr>
          <w:trHeight w:val="261"/>
        </w:trPr>
        <w:tc>
          <w:tcPr>
            <w:tcW w:w="1319" w:type="dxa"/>
            <w:tcBorders>
              <w:top w:val="nil"/>
              <w:left w:val="single" w:sz="4" w:space="0" w:color="auto"/>
              <w:bottom w:val="single" w:sz="4" w:space="0" w:color="auto"/>
              <w:right w:val="single" w:sz="4" w:space="0" w:color="auto"/>
            </w:tcBorders>
            <w:shd w:val="clear" w:color="000000" w:fill="FFFFFF"/>
            <w:noWrap/>
            <w:vAlign w:val="bottom"/>
            <w:hideMark/>
          </w:tcPr>
          <w:p w14:paraId="1160C9C6" w14:textId="77777777" w:rsidR="00816732" w:rsidRPr="00816732" w:rsidRDefault="00816732" w:rsidP="00816732">
            <w:pPr>
              <w:spacing w:after="0" w:line="240" w:lineRule="auto"/>
              <w:rPr>
                <w:rFonts w:eastAsia="Times New Roman"/>
                <w:color w:val="000000"/>
              </w:rPr>
            </w:pPr>
            <w:r w:rsidRPr="00816732">
              <w:rPr>
                <w:rFonts w:eastAsia="Times New Roman"/>
                <w:color w:val="000000"/>
              </w:rPr>
              <w:t>C23</w:t>
            </w:r>
          </w:p>
        </w:tc>
        <w:tc>
          <w:tcPr>
            <w:tcW w:w="1283" w:type="dxa"/>
            <w:tcBorders>
              <w:top w:val="nil"/>
              <w:left w:val="nil"/>
              <w:bottom w:val="single" w:sz="4" w:space="0" w:color="auto"/>
              <w:right w:val="single" w:sz="4" w:space="0" w:color="auto"/>
            </w:tcBorders>
            <w:shd w:val="clear" w:color="000000" w:fill="FFFFFF"/>
            <w:noWrap/>
            <w:vAlign w:val="bottom"/>
            <w:hideMark/>
          </w:tcPr>
          <w:p w14:paraId="492967C7"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1.261</w:t>
            </w:r>
          </w:p>
        </w:tc>
        <w:tc>
          <w:tcPr>
            <w:tcW w:w="1283" w:type="dxa"/>
            <w:tcBorders>
              <w:top w:val="nil"/>
              <w:left w:val="nil"/>
              <w:bottom w:val="single" w:sz="4" w:space="0" w:color="auto"/>
              <w:right w:val="single" w:sz="4" w:space="0" w:color="auto"/>
            </w:tcBorders>
            <w:shd w:val="clear" w:color="000000" w:fill="FFFFFF"/>
            <w:noWrap/>
            <w:vAlign w:val="bottom"/>
            <w:hideMark/>
          </w:tcPr>
          <w:p w14:paraId="547F15A2"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0.396</w:t>
            </w:r>
          </w:p>
        </w:tc>
        <w:tc>
          <w:tcPr>
            <w:tcW w:w="1283" w:type="dxa"/>
            <w:tcBorders>
              <w:top w:val="nil"/>
              <w:left w:val="nil"/>
              <w:bottom w:val="single" w:sz="4" w:space="0" w:color="auto"/>
              <w:right w:val="single" w:sz="4" w:space="0" w:color="auto"/>
            </w:tcBorders>
            <w:shd w:val="clear" w:color="000000" w:fill="FFFFFF"/>
            <w:noWrap/>
            <w:vAlign w:val="bottom"/>
            <w:hideMark/>
          </w:tcPr>
          <w:p w14:paraId="2A6DC79D"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0.47</w:t>
            </w:r>
          </w:p>
        </w:tc>
        <w:tc>
          <w:tcPr>
            <w:tcW w:w="1369" w:type="dxa"/>
            <w:tcBorders>
              <w:top w:val="nil"/>
              <w:left w:val="nil"/>
              <w:bottom w:val="single" w:sz="4" w:space="0" w:color="auto"/>
              <w:right w:val="single" w:sz="4" w:space="0" w:color="auto"/>
            </w:tcBorders>
            <w:shd w:val="clear" w:color="000000" w:fill="FFFFFF"/>
            <w:noWrap/>
            <w:vAlign w:val="bottom"/>
            <w:hideMark/>
          </w:tcPr>
          <w:p w14:paraId="508F8AC1"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0.135</w:t>
            </w:r>
          </w:p>
        </w:tc>
      </w:tr>
      <w:tr w:rsidR="00816732" w:rsidRPr="00816732" w14:paraId="02B2D6C6" w14:textId="77777777" w:rsidTr="00816732">
        <w:trPr>
          <w:trHeight w:val="261"/>
        </w:trPr>
        <w:tc>
          <w:tcPr>
            <w:tcW w:w="1319" w:type="dxa"/>
            <w:tcBorders>
              <w:top w:val="nil"/>
              <w:left w:val="single" w:sz="4" w:space="0" w:color="auto"/>
              <w:bottom w:val="single" w:sz="4" w:space="0" w:color="auto"/>
              <w:right w:val="single" w:sz="4" w:space="0" w:color="auto"/>
            </w:tcBorders>
            <w:shd w:val="clear" w:color="000000" w:fill="FFFFFF"/>
            <w:noWrap/>
            <w:vAlign w:val="bottom"/>
            <w:hideMark/>
          </w:tcPr>
          <w:p w14:paraId="5F140C13" w14:textId="77777777" w:rsidR="00816732" w:rsidRPr="00816732" w:rsidRDefault="00816732" w:rsidP="00816732">
            <w:pPr>
              <w:spacing w:after="0" w:line="240" w:lineRule="auto"/>
              <w:rPr>
                <w:rFonts w:eastAsia="Times New Roman"/>
                <w:color w:val="000000"/>
              </w:rPr>
            </w:pPr>
            <w:r w:rsidRPr="00816732">
              <w:rPr>
                <w:rFonts w:eastAsia="Times New Roman"/>
                <w:color w:val="000000"/>
              </w:rPr>
              <w:t>C25</w:t>
            </w:r>
          </w:p>
        </w:tc>
        <w:tc>
          <w:tcPr>
            <w:tcW w:w="1283" w:type="dxa"/>
            <w:tcBorders>
              <w:top w:val="nil"/>
              <w:left w:val="nil"/>
              <w:bottom w:val="single" w:sz="4" w:space="0" w:color="auto"/>
              <w:right w:val="single" w:sz="4" w:space="0" w:color="auto"/>
            </w:tcBorders>
            <w:shd w:val="clear" w:color="000000" w:fill="FFFFFF"/>
            <w:noWrap/>
            <w:vAlign w:val="bottom"/>
            <w:hideMark/>
          </w:tcPr>
          <w:p w14:paraId="1F201D5B"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1.677</w:t>
            </w:r>
          </w:p>
        </w:tc>
        <w:tc>
          <w:tcPr>
            <w:tcW w:w="1283" w:type="dxa"/>
            <w:tcBorders>
              <w:top w:val="nil"/>
              <w:left w:val="nil"/>
              <w:bottom w:val="single" w:sz="4" w:space="0" w:color="auto"/>
              <w:right w:val="single" w:sz="4" w:space="0" w:color="auto"/>
            </w:tcBorders>
            <w:shd w:val="clear" w:color="000000" w:fill="FFFFFF"/>
            <w:noWrap/>
            <w:vAlign w:val="bottom"/>
            <w:hideMark/>
          </w:tcPr>
          <w:p w14:paraId="2E12E77A"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0.11</w:t>
            </w:r>
          </w:p>
        </w:tc>
        <w:tc>
          <w:tcPr>
            <w:tcW w:w="1283" w:type="dxa"/>
            <w:tcBorders>
              <w:top w:val="nil"/>
              <w:left w:val="nil"/>
              <w:bottom w:val="single" w:sz="4" w:space="0" w:color="auto"/>
              <w:right w:val="single" w:sz="4" w:space="0" w:color="auto"/>
            </w:tcBorders>
            <w:shd w:val="clear" w:color="000000" w:fill="FFFFFF"/>
            <w:noWrap/>
            <w:vAlign w:val="bottom"/>
            <w:hideMark/>
          </w:tcPr>
          <w:p w14:paraId="26470EBC"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0.538</w:t>
            </w:r>
          </w:p>
        </w:tc>
        <w:tc>
          <w:tcPr>
            <w:tcW w:w="1369" w:type="dxa"/>
            <w:tcBorders>
              <w:top w:val="nil"/>
              <w:left w:val="nil"/>
              <w:bottom w:val="single" w:sz="4" w:space="0" w:color="auto"/>
              <w:right w:val="single" w:sz="4" w:space="0" w:color="auto"/>
            </w:tcBorders>
            <w:shd w:val="clear" w:color="000000" w:fill="FFFFFF"/>
            <w:noWrap/>
            <w:vAlign w:val="bottom"/>
            <w:hideMark/>
          </w:tcPr>
          <w:p w14:paraId="0F0D0CDB"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0.353</w:t>
            </w:r>
          </w:p>
        </w:tc>
      </w:tr>
      <w:tr w:rsidR="00816732" w:rsidRPr="00816732" w14:paraId="7238AB36" w14:textId="77777777" w:rsidTr="00816732">
        <w:trPr>
          <w:trHeight w:val="261"/>
        </w:trPr>
        <w:tc>
          <w:tcPr>
            <w:tcW w:w="1319" w:type="dxa"/>
            <w:tcBorders>
              <w:top w:val="nil"/>
              <w:left w:val="single" w:sz="4" w:space="0" w:color="auto"/>
              <w:bottom w:val="single" w:sz="4" w:space="0" w:color="auto"/>
              <w:right w:val="single" w:sz="4" w:space="0" w:color="auto"/>
            </w:tcBorders>
            <w:shd w:val="clear" w:color="000000" w:fill="FFFFFF"/>
            <w:noWrap/>
            <w:vAlign w:val="bottom"/>
            <w:hideMark/>
          </w:tcPr>
          <w:p w14:paraId="21E619A9" w14:textId="77777777" w:rsidR="00816732" w:rsidRPr="00816732" w:rsidRDefault="00816732" w:rsidP="00816732">
            <w:pPr>
              <w:spacing w:after="0" w:line="240" w:lineRule="auto"/>
              <w:rPr>
                <w:rFonts w:eastAsia="Times New Roman"/>
                <w:color w:val="000000"/>
              </w:rPr>
            </w:pPr>
            <w:r w:rsidRPr="00816732">
              <w:rPr>
                <w:rFonts w:eastAsia="Times New Roman"/>
                <w:color w:val="000000"/>
              </w:rPr>
              <w:t>C28</w:t>
            </w:r>
          </w:p>
        </w:tc>
        <w:tc>
          <w:tcPr>
            <w:tcW w:w="1283" w:type="dxa"/>
            <w:tcBorders>
              <w:top w:val="nil"/>
              <w:left w:val="nil"/>
              <w:bottom w:val="single" w:sz="4" w:space="0" w:color="auto"/>
              <w:right w:val="single" w:sz="4" w:space="0" w:color="auto"/>
            </w:tcBorders>
            <w:shd w:val="clear" w:color="000000" w:fill="FFFFFF"/>
            <w:noWrap/>
            <w:vAlign w:val="bottom"/>
            <w:hideMark/>
          </w:tcPr>
          <w:p w14:paraId="137336ED"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1.036</w:t>
            </w:r>
          </w:p>
        </w:tc>
        <w:tc>
          <w:tcPr>
            <w:tcW w:w="1283" w:type="dxa"/>
            <w:tcBorders>
              <w:top w:val="nil"/>
              <w:left w:val="nil"/>
              <w:bottom w:val="single" w:sz="4" w:space="0" w:color="auto"/>
              <w:right w:val="single" w:sz="4" w:space="0" w:color="auto"/>
            </w:tcBorders>
            <w:shd w:val="clear" w:color="000000" w:fill="FFFFFF"/>
            <w:noWrap/>
            <w:vAlign w:val="bottom"/>
            <w:hideMark/>
          </w:tcPr>
          <w:p w14:paraId="460ED400"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0.466</w:t>
            </w:r>
          </w:p>
        </w:tc>
        <w:tc>
          <w:tcPr>
            <w:tcW w:w="1283" w:type="dxa"/>
            <w:tcBorders>
              <w:top w:val="nil"/>
              <w:left w:val="nil"/>
              <w:bottom w:val="single" w:sz="4" w:space="0" w:color="auto"/>
              <w:right w:val="single" w:sz="4" w:space="0" w:color="auto"/>
            </w:tcBorders>
            <w:shd w:val="clear" w:color="000000" w:fill="FFFFFF"/>
            <w:noWrap/>
            <w:vAlign w:val="bottom"/>
            <w:hideMark/>
          </w:tcPr>
          <w:p w14:paraId="41E7DCCA"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0.459</w:t>
            </w:r>
          </w:p>
        </w:tc>
        <w:tc>
          <w:tcPr>
            <w:tcW w:w="1369" w:type="dxa"/>
            <w:tcBorders>
              <w:top w:val="nil"/>
              <w:left w:val="nil"/>
              <w:bottom w:val="single" w:sz="4" w:space="0" w:color="auto"/>
              <w:right w:val="single" w:sz="4" w:space="0" w:color="auto"/>
            </w:tcBorders>
            <w:shd w:val="clear" w:color="000000" w:fill="FFFFFF"/>
            <w:noWrap/>
            <w:vAlign w:val="bottom"/>
            <w:hideMark/>
          </w:tcPr>
          <w:p w14:paraId="770E1496"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0.075</w:t>
            </w:r>
          </w:p>
        </w:tc>
      </w:tr>
      <w:tr w:rsidR="00816732" w:rsidRPr="00816732" w14:paraId="652D362D" w14:textId="77777777" w:rsidTr="00816732">
        <w:trPr>
          <w:trHeight w:val="261"/>
        </w:trPr>
        <w:tc>
          <w:tcPr>
            <w:tcW w:w="1319" w:type="dxa"/>
            <w:tcBorders>
              <w:top w:val="nil"/>
              <w:left w:val="single" w:sz="4" w:space="0" w:color="auto"/>
              <w:bottom w:val="single" w:sz="4" w:space="0" w:color="auto"/>
              <w:right w:val="single" w:sz="4" w:space="0" w:color="auto"/>
            </w:tcBorders>
            <w:shd w:val="clear" w:color="000000" w:fill="FFFFFF"/>
            <w:noWrap/>
            <w:vAlign w:val="bottom"/>
            <w:hideMark/>
          </w:tcPr>
          <w:p w14:paraId="030D260A" w14:textId="77777777" w:rsidR="00816732" w:rsidRPr="00816732" w:rsidRDefault="00816732" w:rsidP="00816732">
            <w:pPr>
              <w:spacing w:after="0" w:line="240" w:lineRule="auto"/>
              <w:rPr>
                <w:rFonts w:eastAsia="Times New Roman"/>
                <w:color w:val="000000"/>
              </w:rPr>
            </w:pPr>
            <w:r w:rsidRPr="00816732">
              <w:rPr>
                <w:rFonts w:eastAsia="Times New Roman"/>
                <w:color w:val="000000"/>
              </w:rPr>
              <w:t>C31_32</w:t>
            </w:r>
          </w:p>
        </w:tc>
        <w:tc>
          <w:tcPr>
            <w:tcW w:w="1283" w:type="dxa"/>
            <w:tcBorders>
              <w:top w:val="nil"/>
              <w:left w:val="nil"/>
              <w:bottom w:val="single" w:sz="4" w:space="0" w:color="auto"/>
              <w:right w:val="single" w:sz="4" w:space="0" w:color="auto"/>
            </w:tcBorders>
            <w:shd w:val="clear" w:color="000000" w:fill="FFFFFF"/>
            <w:noWrap/>
            <w:vAlign w:val="bottom"/>
            <w:hideMark/>
          </w:tcPr>
          <w:p w14:paraId="2A790502"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0.843</w:t>
            </w:r>
          </w:p>
        </w:tc>
        <w:tc>
          <w:tcPr>
            <w:tcW w:w="1283" w:type="dxa"/>
            <w:tcBorders>
              <w:top w:val="nil"/>
              <w:left w:val="nil"/>
              <w:bottom w:val="single" w:sz="4" w:space="0" w:color="auto"/>
              <w:right w:val="single" w:sz="4" w:space="0" w:color="auto"/>
            </w:tcBorders>
            <w:shd w:val="clear" w:color="000000" w:fill="FFFFFF"/>
            <w:noWrap/>
            <w:vAlign w:val="bottom"/>
            <w:hideMark/>
          </w:tcPr>
          <w:p w14:paraId="7FC1DA1E"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0.754</w:t>
            </w:r>
          </w:p>
        </w:tc>
        <w:tc>
          <w:tcPr>
            <w:tcW w:w="1283" w:type="dxa"/>
            <w:tcBorders>
              <w:top w:val="nil"/>
              <w:left w:val="nil"/>
              <w:bottom w:val="single" w:sz="4" w:space="0" w:color="auto"/>
              <w:right w:val="single" w:sz="4" w:space="0" w:color="auto"/>
            </w:tcBorders>
            <w:shd w:val="clear" w:color="000000" w:fill="FFFFFF"/>
            <w:noWrap/>
            <w:vAlign w:val="bottom"/>
            <w:hideMark/>
          </w:tcPr>
          <w:p w14:paraId="4AD9B12D"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0.22</w:t>
            </w:r>
          </w:p>
        </w:tc>
        <w:tc>
          <w:tcPr>
            <w:tcW w:w="1369" w:type="dxa"/>
            <w:tcBorders>
              <w:top w:val="nil"/>
              <w:left w:val="nil"/>
              <w:bottom w:val="single" w:sz="4" w:space="0" w:color="auto"/>
              <w:right w:val="single" w:sz="4" w:space="0" w:color="auto"/>
            </w:tcBorders>
            <w:shd w:val="clear" w:color="000000" w:fill="FFFFFF"/>
            <w:noWrap/>
            <w:vAlign w:val="bottom"/>
            <w:hideMark/>
          </w:tcPr>
          <w:p w14:paraId="1C6EE3FE"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0.026</w:t>
            </w:r>
          </w:p>
        </w:tc>
      </w:tr>
      <w:tr w:rsidR="00816732" w:rsidRPr="00816732" w14:paraId="6D0E6576" w14:textId="77777777" w:rsidTr="00816732">
        <w:trPr>
          <w:trHeight w:val="261"/>
        </w:trPr>
        <w:tc>
          <w:tcPr>
            <w:tcW w:w="1319" w:type="dxa"/>
            <w:tcBorders>
              <w:top w:val="nil"/>
              <w:left w:val="single" w:sz="4" w:space="0" w:color="auto"/>
              <w:bottom w:val="single" w:sz="4" w:space="0" w:color="auto"/>
              <w:right w:val="single" w:sz="4" w:space="0" w:color="auto"/>
            </w:tcBorders>
            <w:shd w:val="clear" w:color="000000" w:fill="FFFFFF"/>
            <w:noWrap/>
            <w:vAlign w:val="bottom"/>
            <w:hideMark/>
          </w:tcPr>
          <w:p w14:paraId="12845150" w14:textId="77777777" w:rsidR="00816732" w:rsidRPr="00816732" w:rsidRDefault="00816732" w:rsidP="00816732">
            <w:pPr>
              <w:spacing w:after="0" w:line="240" w:lineRule="auto"/>
              <w:rPr>
                <w:rFonts w:eastAsia="Times New Roman"/>
                <w:color w:val="000000"/>
              </w:rPr>
            </w:pPr>
            <w:r w:rsidRPr="00816732">
              <w:rPr>
                <w:rFonts w:eastAsia="Times New Roman"/>
                <w:color w:val="000000"/>
              </w:rPr>
              <w:t>D</w:t>
            </w:r>
          </w:p>
        </w:tc>
        <w:tc>
          <w:tcPr>
            <w:tcW w:w="1283" w:type="dxa"/>
            <w:tcBorders>
              <w:top w:val="nil"/>
              <w:left w:val="nil"/>
              <w:bottom w:val="single" w:sz="4" w:space="0" w:color="auto"/>
              <w:right w:val="single" w:sz="4" w:space="0" w:color="auto"/>
            </w:tcBorders>
            <w:shd w:val="clear" w:color="000000" w:fill="FFFFFF"/>
            <w:noWrap/>
            <w:vAlign w:val="bottom"/>
            <w:hideMark/>
          </w:tcPr>
          <w:p w14:paraId="7930324A"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0.873</w:t>
            </w:r>
          </w:p>
        </w:tc>
        <w:tc>
          <w:tcPr>
            <w:tcW w:w="1283" w:type="dxa"/>
            <w:tcBorders>
              <w:top w:val="nil"/>
              <w:left w:val="nil"/>
              <w:bottom w:val="single" w:sz="4" w:space="0" w:color="auto"/>
              <w:right w:val="single" w:sz="4" w:space="0" w:color="auto"/>
            </w:tcBorders>
            <w:shd w:val="clear" w:color="000000" w:fill="FFFFFF"/>
            <w:noWrap/>
            <w:vAlign w:val="bottom"/>
            <w:hideMark/>
          </w:tcPr>
          <w:p w14:paraId="490644FB"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0.752</w:t>
            </w:r>
          </w:p>
        </w:tc>
        <w:tc>
          <w:tcPr>
            <w:tcW w:w="1283" w:type="dxa"/>
            <w:tcBorders>
              <w:top w:val="nil"/>
              <w:left w:val="nil"/>
              <w:bottom w:val="single" w:sz="4" w:space="0" w:color="auto"/>
              <w:right w:val="single" w:sz="4" w:space="0" w:color="auto"/>
            </w:tcBorders>
            <w:shd w:val="clear" w:color="000000" w:fill="FFFFFF"/>
            <w:noWrap/>
            <w:vAlign w:val="bottom"/>
            <w:hideMark/>
          </w:tcPr>
          <w:p w14:paraId="10913404"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0.087</w:t>
            </w:r>
          </w:p>
        </w:tc>
        <w:tc>
          <w:tcPr>
            <w:tcW w:w="1369" w:type="dxa"/>
            <w:tcBorders>
              <w:top w:val="nil"/>
              <w:left w:val="nil"/>
              <w:bottom w:val="single" w:sz="4" w:space="0" w:color="auto"/>
              <w:right w:val="single" w:sz="4" w:space="0" w:color="auto"/>
            </w:tcBorders>
            <w:shd w:val="clear" w:color="000000" w:fill="FFFFFF"/>
            <w:noWrap/>
            <w:vAlign w:val="bottom"/>
            <w:hideMark/>
          </w:tcPr>
          <w:p w14:paraId="2D854755"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0.162</w:t>
            </w:r>
          </w:p>
        </w:tc>
      </w:tr>
      <w:tr w:rsidR="00816732" w:rsidRPr="00816732" w14:paraId="70459AEF" w14:textId="77777777" w:rsidTr="00816732">
        <w:trPr>
          <w:trHeight w:val="261"/>
        </w:trPr>
        <w:tc>
          <w:tcPr>
            <w:tcW w:w="1319" w:type="dxa"/>
            <w:tcBorders>
              <w:top w:val="nil"/>
              <w:left w:val="single" w:sz="4" w:space="0" w:color="auto"/>
              <w:bottom w:val="single" w:sz="4" w:space="0" w:color="auto"/>
              <w:right w:val="single" w:sz="4" w:space="0" w:color="auto"/>
            </w:tcBorders>
            <w:shd w:val="clear" w:color="000000" w:fill="FFFFFF"/>
            <w:noWrap/>
            <w:vAlign w:val="bottom"/>
            <w:hideMark/>
          </w:tcPr>
          <w:p w14:paraId="5C575B0C" w14:textId="77777777" w:rsidR="00816732" w:rsidRPr="00816732" w:rsidRDefault="00816732" w:rsidP="00816732">
            <w:pPr>
              <w:spacing w:after="0" w:line="240" w:lineRule="auto"/>
              <w:rPr>
                <w:rFonts w:eastAsia="Times New Roman"/>
                <w:color w:val="000000"/>
              </w:rPr>
            </w:pPr>
            <w:r w:rsidRPr="00816732">
              <w:rPr>
                <w:rFonts w:eastAsia="Times New Roman"/>
                <w:color w:val="000000"/>
              </w:rPr>
              <w:t>F</w:t>
            </w:r>
          </w:p>
        </w:tc>
        <w:tc>
          <w:tcPr>
            <w:tcW w:w="1283" w:type="dxa"/>
            <w:tcBorders>
              <w:top w:val="nil"/>
              <w:left w:val="nil"/>
              <w:bottom w:val="single" w:sz="4" w:space="0" w:color="auto"/>
              <w:right w:val="single" w:sz="4" w:space="0" w:color="auto"/>
            </w:tcBorders>
            <w:shd w:val="clear" w:color="000000" w:fill="FFFFFF"/>
            <w:noWrap/>
            <w:vAlign w:val="bottom"/>
            <w:hideMark/>
          </w:tcPr>
          <w:p w14:paraId="1E4CCCE1"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1.758</w:t>
            </w:r>
          </w:p>
        </w:tc>
        <w:tc>
          <w:tcPr>
            <w:tcW w:w="1283" w:type="dxa"/>
            <w:tcBorders>
              <w:top w:val="nil"/>
              <w:left w:val="nil"/>
              <w:bottom w:val="single" w:sz="4" w:space="0" w:color="auto"/>
              <w:right w:val="single" w:sz="4" w:space="0" w:color="auto"/>
            </w:tcBorders>
            <w:shd w:val="clear" w:color="000000" w:fill="FFFFFF"/>
            <w:noWrap/>
            <w:vAlign w:val="bottom"/>
            <w:hideMark/>
          </w:tcPr>
          <w:p w14:paraId="035C8E56"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0.571</w:t>
            </w:r>
          </w:p>
        </w:tc>
        <w:tc>
          <w:tcPr>
            <w:tcW w:w="1283" w:type="dxa"/>
            <w:tcBorders>
              <w:top w:val="nil"/>
              <w:left w:val="nil"/>
              <w:bottom w:val="single" w:sz="4" w:space="0" w:color="auto"/>
              <w:right w:val="single" w:sz="4" w:space="0" w:color="auto"/>
            </w:tcBorders>
            <w:shd w:val="clear" w:color="000000" w:fill="FFFFFF"/>
            <w:noWrap/>
            <w:vAlign w:val="bottom"/>
            <w:hideMark/>
          </w:tcPr>
          <w:p w14:paraId="10CD2E5F"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0.099</w:t>
            </w:r>
          </w:p>
        </w:tc>
        <w:tc>
          <w:tcPr>
            <w:tcW w:w="1369" w:type="dxa"/>
            <w:tcBorders>
              <w:top w:val="nil"/>
              <w:left w:val="nil"/>
              <w:bottom w:val="single" w:sz="4" w:space="0" w:color="auto"/>
              <w:right w:val="single" w:sz="4" w:space="0" w:color="auto"/>
            </w:tcBorders>
            <w:shd w:val="clear" w:color="000000" w:fill="FFFFFF"/>
            <w:noWrap/>
            <w:vAlign w:val="bottom"/>
            <w:hideMark/>
          </w:tcPr>
          <w:p w14:paraId="2A789DAC"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0.331</w:t>
            </w:r>
          </w:p>
        </w:tc>
      </w:tr>
      <w:tr w:rsidR="00816732" w:rsidRPr="00816732" w14:paraId="1607724F" w14:textId="77777777" w:rsidTr="00816732">
        <w:trPr>
          <w:trHeight w:val="261"/>
        </w:trPr>
        <w:tc>
          <w:tcPr>
            <w:tcW w:w="1319" w:type="dxa"/>
            <w:tcBorders>
              <w:top w:val="nil"/>
              <w:left w:val="single" w:sz="4" w:space="0" w:color="auto"/>
              <w:bottom w:val="single" w:sz="4" w:space="0" w:color="auto"/>
              <w:right w:val="single" w:sz="4" w:space="0" w:color="auto"/>
            </w:tcBorders>
            <w:shd w:val="clear" w:color="000000" w:fill="FFFFFF"/>
            <w:noWrap/>
            <w:vAlign w:val="bottom"/>
            <w:hideMark/>
          </w:tcPr>
          <w:p w14:paraId="3955BFA8" w14:textId="77777777" w:rsidR="00816732" w:rsidRPr="00816732" w:rsidRDefault="00816732" w:rsidP="00816732">
            <w:pPr>
              <w:spacing w:after="0" w:line="240" w:lineRule="auto"/>
              <w:rPr>
                <w:rFonts w:eastAsia="Times New Roman"/>
                <w:color w:val="000000"/>
              </w:rPr>
            </w:pPr>
            <w:r w:rsidRPr="00816732">
              <w:rPr>
                <w:rFonts w:eastAsia="Times New Roman"/>
                <w:color w:val="000000"/>
              </w:rPr>
              <w:t>H</w:t>
            </w:r>
          </w:p>
        </w:tc>
        <w:tc>
          <w:tcPr>
            <w:tcW w:w="1283" w:type="dxa"/>
            <w:tcBorders>
              <w:top w:val="nil"/>
              <w:left w:val="nil"/>
              <w:bottom w:val="single" w:sz="4" w:space="0" w:color="auto"/>
              <w:right w:val="single" w:sz="4" w:space="0" w:color="auto"/>
            </w:tcBorders>
            <w:shd w:val="clear" w:color="000000" w:fill="FFFFFF"/>
            <w:noWrap/>
            <w:vAlign w:val="bottom"/>
            <w:hideMark/>
          </w:tcPr>
          <w:p w14:paraId="29A65B30"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1.111</w:t>
            </w:r>
          </w:p>
        </w:tc>
        <w:tc>
          <w:tcPr>
            <w:tcW w:w="1283" w:type="dxa"/>
            <w:tcBorders>
              <w:top w:val="nil"/>
              <w:left w:val="nil"/>
              <w:bottom w:val="single" w:sz="4" w:space="0" w:color="auto"/>
              <w:right w:val="single" w:sz="4" w:space="0" w:color="auto"/>
            </w:tcBorders>
            <w:shd w:val="clear" w:color="000000" w:fill="FFFFFF"/>
            <w:noWrap/>
            <w:vAlign w:val="bottom"/>
            <w:hideMark/>
          </w:tcPr>
          <w:p w14:paraId="6E04FB07"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0.314</w:t>
            </w:r>
          </w:p>
        </w:tc>
        <w:tc>
          <w:tcPr>
            <w:tcW w:w="1283" w:type="dxa"/>
            <w:tcBorders>
              <w:top w:val="nil"/>
              <w:left w:val="nil"/>
              <w:bottom w:val="single" w:sz="4" w:space="0" w:color="auto"/>
              <w:right w:val="single" w:sz="4" w:space="0" w:color="auto"/>
            </w:tcBorders>
            <w:shd w:val="clear" w:color="000000" w:fill="FFFFFF"/>
            <w:noWrap/>
            <w:vAlign w:val="bottom"/>
            <w:hideMark/>
          </w:tcPr>
          <w:p w14:paraId="501F3D65"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0.565</w:t>
            </w:r>
          </w:p>
        </w:tc>
        <w:tc>
          <w:tcPr>
            <w:tcW w:w="1369" w:type="dxa"/>
            <w:tcBorders>
              <w:top w:val="nil"/>
              <w:left w:val="nil"/>
              <w:bottom w:val="single" w:sz="4" w:space="0" w:color="auto"/>
              <w:right w:val="single" w:sz="4" w:space="0" w:color="auto"/>
            </w:tcBorders>
            <w:shd w:val="clear" w:color="000000" w:fill="FFFFFF"/>
            <w:noWrap/>
            <w:vAlign w:val="bottom"/>
            <w:hideMark/>
          </w:tcPr>
          <w:p w14:paraId="59831D49"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0.121</w:t>
            </w:r>
          </w:p>
        </w:tc>
      </w:tr>
      <w:tr w:rsidR="00816732" w:rsidRPr="00816732" w14:paraId="63D155E9" w14:textId="77777777" w:rsidTr="00816732">
        <w:trPr>
          <w:trHeight w:val="261"/>
        </w:trPr>
        <w:tc>
          <w:tcPr>
            <w:tcW w:w="1319" w:type="dxa"/>
            <w:tcBorders>
              <w:top w:val="nil"/>
              <w:left w:val="single" w:sz="4" w:space="0" w:color="auto"/>
              <w:bottom w:val="single" w:sz="4" w:space="0" w:color="auto"/>
              <w:right w:val="single" w:sz="4" w:space="0" w:color="auto"/>
            </w:tcBorders>
            <w:shd w:val="clear" w:color="000000" w:fill="FFFFFF"/>
            <w:noWrap/>
            <w:vAlign w:val="bottom"/>
            <w:hideMark/>
          </w:tcPr>
          <w:p w14:paraId="36B8ECAF" w14:textId="77777777" w:rsidR="00816732" w:rsidRPr="00816732" w:rsidRDefault="00816732" w:rsidP="00816732">
            <w:pPr>
              <w:spacing w:after="0" w:line="240" w:lineRule="auto"/>
              <w:rPr>
                <w:rFonts w:eastAsia="Times New Roman"/>
                <w:color w:val="000000"/>
              </w:rPr>
            </w:pPr>
            <w:r w:rsidRPr="00816732">
              <w:rPr>
                <w:rFonts w:eastAsia="Times New Roman"/>
                <w:color w:val="000000"/>
              </w:rPr>
              <w:t>N</w:t>
            </w:r>
          </w:p>
        </w:tc>
        <w:tc>
          <w:tcPr>
            <w:tcW w:w="1283" w:type="dxa"/>
            <w:tcBorders>
              <w:top w:val="nil"/>
              <w:left w:val="nil"/>
              <w:bottom w:val="single" w:sz="4" w:space="0" w:color="auto"/>
              <w:right w:val="single" w:sz="4" w:space="0" w:color="auto"/>
            </w:tcBorders>
            <w:shd w:val="clear" w:color="000000" w:fill="FFFFFF"/>
            <w:noWrap/>
            <w:vAlign w:val="bottom"/>
            <w:hideMark/>
          </w:tcPr>
          <w:p w14:paraId="6F5CC0F3"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0.952</w:t>
            </w:r>
          </w:p>
        </w:tc>
        <w:tc>
          <w:tcPr>
            <w:tcW w:w="1283" w:type="dxa"/>
            <w:tcBorders>
              <w:top w:val="nil"/>
              <w:left w:val="nil"/>
              <w:bottom w:val="single" w:sz="4" w:space="0" w:color="auto"/>
              <w:right w:val="single" w:sz="4" w:space="0" w:color="auto"/>
            </w:tcBorders>
            <w:shd w:val="clear" w:color="000000" w:fill="FFFFFF"/>
            <w:noWrap/>
            <w:vAlign w:val="bottom"/>
            <w:hideMark/>
          </w:tcPr>
          <w:p w14:paraId="54632023"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0.597</w:t>
            </w:r>
          </w:p>
        </w:tc>
        <w:tc>
          <w:tcPr>
            <w:tcW w:w="1283" w:type="dxa"/>
            <w:tcBorders>
              <w:top w:val="nil"/>
              <w:left w:val="nil"/>
              <w:bottom w:val="single" w:sz="4" w:space="0" w:color="auto"/>
              <w:right w:val="single" w:sz="4" w:space="0" w:color="auto"/>
            </w:tcBorders>
            <w:shd w:val="clear" w:color="000000" w:fill="FFFFFF"/>
            <w:noWrap/>
            <w:vAlign w:val="bottom"/>
            <w:hideMark/>
          </w:tcPr>
          <w:p w14:paraId="79D4D446"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0.384</w:t>
            </w:r>
          </w:p>
        </w:tc>
        <w:tc>
          <w:tcPr>
            <w:tcW w:w="1369" w:type="dxa"/>
            <w:tcBorders>
              <w:top w:val="nil"/>
              <w:left w:val="nil"/>
              <w:bottom w:val="single" w:sz="4" w:space="0" w:color="auto"/>
              <w:right w:val="single" w:sz="4" w:space="0" w:color="auto"/>
            </w:tcBorders>
            <w:shd w:val="clear" w:color="000000" w:fill="FFFFFF"/>
            <w:noWrap/>
            <w:vAlign w:val="bottom"/>
            <w:hideMark/>
          </w:tcPr>
          <w:p w14:paraId="74E08168"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0.02</w:t>
            </w:r>
          </w:p>
        </w:tc>
      </w:tr>
      <w:tr w:rsidR="00816732" w:rsidRPr="00816732" w14:paraId="693169FA" w14:textId="77777777" w:rsidTr="00816732">
        <w:trPr>
          <w:trHeight w:val="261"/>
        </w:trPr>
        <w:tc>
          <w:tcPr>
            <w:tcW w:w="1319" w:type="dxa"/>
            <w:tcBorders>
              <w:top w:val="nil"/>
              <w:left w:val="single" w:sz="4" w:space="0" w:color="auto"/>
              <w:bottom w:val="single" w:sz="4" w:space="0" w:color="auto"/>
              <w:right w:val="single" w:sz="4" w:space="0" w:color="auto"/>
            </w:tcBorders>
            <w:shd w:val="clear" w:color="000000" w:fill="FFFFFF"/>
            <w:noWrap/>
            <w:vAlign w:val="bottom"/>
            <w:hideMark/>
          </w:tcPr>
          <w:p w14:paraId="70D9B178" w14:textId="77777777" w:rsidR="00816732" w:rsidRPr="00816732" w:rsidRDefault="00816732" w:rsidP="00816732">
            <w:pPr>
              <w:spacing w:after="0" w:line="240" w:lineRule="auto"/>
              <w:rPr>
                <w:rFonts w:eastAsia="Times New Roman"/>
                <w:color w:val="000000"/>
              </w:rPr>
            </w:pPr>
            <w:r w:rsidRPr="00816732">
              <w:rPr>
                <w:rFonts w:eastAsia="Times New Roman"/>
                <w:color w:val="000000"/>
              </w:rPr>
              <w:lastRenderedPageBreak/>
              <w:t>O</w:t>
            </w:r>
          </w:p>
        </w:tc>
        <w:tc>
          <w:tcPr>
            <w:tcW w:w="1283" w:type="dxa"/>
            <w:tcBorders>
              <w:top w:val="nil"/>
              <w:left w:val="nil"/>
              <w:bottom w:val="single" w:sz="4" w:space="0" w:color="auto"/>
              <w:right w:val="single" w:sz="4" w:space="0" w:color="auto"/>
            </w:tcBorders>
            <w:shd w:val="clear" w:color="000000" w:fill="FFFFFF"/>
            <w:noWrap/>
            <w:vAlign w:val="bottom"/>
            <w:hideMark/>
          </w:tcPr>
          <w:p w14:paraId="6A7A4306"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1.094</w:t>
            </w:r>
          </w:p>
        </w:tc>
        <w:tc>
          <w:tcPr>
            <w:tcW w:w="1283" w:type="dxa"/>
            <w:tcBorders>
              <w:top w:val="nil"/>
              <w:left w:val="nil"/>
              <w:bottom w:val="single" w:sz="4" w:space="0" w:color="auto"/>
              <w:right w:val="single" w:sz="4" w:space="0" w:color="auto"/>
            </w:tcBorders>
            <w:shd w:val="clear" w:color="000000" w:fill="FFFFFF"/>
            <w:noWrap/>
            <w:vAlign w:val="bottom"/>
            <w:hideMark/>
          </w:tcPr>
          <w:p w14:paraId="6F6A35E3"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0.138</w:t>
            </w:r>
          </w:p>
        </w:tc>
        <w:tc>
          <w:tcPr>
            <w:tcW w:w="1283" w:type="dxa"/>
            <w:tcBorders>
              <w:top w:val="nil"/>
              <w:left w:val="nil"/>
              <w:bottom w:val="single" w:sz="4" w:space="0" w:color="auto"/>
              <w:right w:val="single" w:sz="4" w:space="0" w:color="auto"/>
            </w:tcBorders>
            <w:shd w:val="clear" w:color="000000" w:fill="FFFFFF"/>
            <w:noWrap/>
            <w:vAlign w:val="bottom"/>
            <w:hideMark/>
          </w:tcPr>
          <w:p w14:paraId="58A23734"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0.63</w:t>
            </w:r>
          </w:p>
        </w:tc>
        <w:tc>
          <w:tcPr>
            <w:tcW w:w="1369" w:type="dxa"/>
            <w:tcBorders>
              <w:top w:val="nil"/>
              <w:left w:val="nil"/>
              <w:bottom w:val="single" w:sz="4" w:space="0" w:color="auto"/>
              <w:right w:val="single" w:sz="4" w:space="0" w:color="auto"/>
            </w:tcBorders>
            <w:shd w:val="clear" w:color="000000" w:fill="FFFFFF"/>
            <w:noWrap/>
            <w:vAlign w:val="bottom"/>
            <w:hideMark/>
          </w:tcPr>
          <w:p w14:paraId="622CBBE7"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0.232</w:t>
            </w:r>
          </w:p>
        </w:tc>
      </w:tr>
      <w:tr w:rsidR="00816732" w:rsidRPr="00816732" w14:paraId="3C69F7D5" w14:textId="77777777" w:rsidTr="00816732">
        <w:trPr>
          <w:trHeight w:val="261"/>
        </w:trPr>
        <w:tc>
          <w:tcPr>
            <w:tcW w:w="1319" w:type="dxa"/>
            <w:tcBorders>
              <w:top w:val="nil"/>
              <w:left w:val="single" w:sz="4" w:space="0" w:color="auto"/>
              <w:bottom w:val="single" w:sz="4" w:space="0" w:color="auto"/>
              <w:right w:val="single" w:sz="4" w:space="0" w:color="auto"/>
            </w:tcBorders>
            <w:shd w:val="clear" w:color="000000" w:fill="FFFFFF"/>
            <w:noWrap/>
            <w:vAlign w:val="bottom"/>
            <w:hideMark/>
          </w:tcPr>
          <w:p w14:paraId="27BB8C97" w14:textId="77777777" w:rsidR="00816732" w:rsidRPr="00816732" w:rsidRDefault="00816732" w:rsidP="00816732">
            <w:pPr>
              <w:spacing w:after="0" w:line="240" w:lineRule="auto"/>
              <w:rPr>
                <w:rFonts w:eastAsia="Times New Roman"/>
                <w:color w:val="000000"/>
              </w:rPr>
            </w:pPr>
            <w:r w:rsidRPr="00816732">
              <w:rPr>
                <w:rFonts w:eastAsia="Times New Roman"/>
                <w:color w:val="000000"/>
              </w:rPr>
              <w:t>P</w:t>
            </w:r>
          </w:p>
        </w:tc>
        <w:tc>
          <w:tcPr>
            <w:tcW w:w="1283" w:type="dxa"/>
            <w:tcBorders>
              <w:top w:val="nil"/>
              <w:left w:val="nil"/>
              <w:bottom w:val="single" w:sz="4" w:space="0" w:color="auto"/>
              <w:right w:val="single" w:sz="4" w:space="0" w:color="auto"/>
            </w:tcBorders>
            <w:shd w:val="clear" w:color="000000" w:fill="FFFFFF"/>
            <w:noWrap/>
            <w:vAlign w:val="bottom"/>
            <w:hideMark/>
          </w:tcPr>
          <w:p w14:paraId="610D3E7E"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1.248</w:t>
            </w:r>
          </w:p>
        </w:tc>
        <w:tc>
          <w:tcPr>
            <w:tcW w:w="1283" w:type="dxa"/>
            <w:tcBorders>
              <w:top w:val="nil"/>
              <w:left w:val="nil"/>
              <w:bottom w:val="single" w:sz="4" w:space="0" w:color="auto"/>
              <w:right w:val="single" w:sz="4" w:space="0" w:color="auto"/>
            </w:tcBorders>
            <w:shd w:val="clear" w:color="000000" w:fill="FFFFFF"/>
            <w:noWrap/>
            <w:vAlign w:val="bottom"/>
            <w:hideMark/>
          </w:tcPr>
          <w:p w14:paraId="5423461B"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0.319</w:t>
            </w:r>
          </w:p>
        </w:tc>
        <w:tc>
          <w:tcPr>
            <w:tcW w:w="1283" w:type="dxa"/>
            <w:tcBorders>
              <w:top w:val="nil"/>
              <w:left w:val="nil"/>
              <w:bottom w:val="single" w:sz="4" w:space="0" w:color="auto"/>
              <w:right w:val="single" w:sz="4" w:space="0" w:color="auto"/>
            </w:tcBorders>
            <w:shd w:val="clear" w:color="000000" w:fill="FFFFFF"/>
            <w:noWrap/>
            <w:vAlign w:val="bottom"/>
            <w:hideMark/>
          </w:tcPr>
          <w:p w14:paraId="68456DF2"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0.358</w:t>
            </w:r>
          </w:p>
        </w:tc>
        <w:tc>
          <w:tcPr>
            <w:tcW w:w="1369" w:type="dxa"/>
            <w:tcBorders>
              <w:top w:val="nil"/>
              <w:left w:val="nil"/>
              <w:bottom w:val="single" w:sz="4" w:space="0" w:color="auto"/>
              <w:right w:val="single" w:sz="4" w:space="0" w:color="auto"/>
            </w:tcBorders>
            <w:shd w:val="clear" w:color="000000" w:fill="FFFFFF"/>
            <w:noWrap/>
            <w:vAlign w:val="bottom"/>
            <w:hideMark/>
          </w:tcPr>
          <w:p w14:paraId="4A97CB95"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0.323</w:t>
            </w:r>
          </w:p>
        </w:tc>
      </w:tr>
      <w:tr w:rsidR="00816732" w:rsidRPr="00816732" w14:paraId="164D82DD" w14:textId="77777777" w:rsidTr="00816732">
        <w:trPr>
          <w:trHeight w:val="261"/>
        </w:trPr>
        <w:tc>
          <w:tcPr>
            <w:tcW w:w="1319" w:type="dxa"/>
            <w:tcBorders>
              <w:top w:val="nil"/>
              <w:left w:val="single" w:sz="4" w:space="0" w:color="auto"/>
              <w:bottom w:val="single" w:sz="4" w:space="0" w:color="auto"/>
              <w:right w:val="single" w:sz="4" w:space="0" w:color="auto"/>
            </w:tcBorders>
            <w:shd w:val="clear" w:color="000000" w:fill="FFFFFF"/>
            <w:noWrap/>
            <w:vAlign w:val="bottom"/>
            <w:hideMark/>
          </w:tcPr>
          <w:p w14:paraId="48558503" w14:textId="77777777" w:rsidR="00816732" w:rsidRPr="00816732" w:rsidRDefault="00816732" w:rsidP="00816732">
            <w:pPr>
              <w:spacing w:after="0" w:line="240" w:lineRule="auto"/>
              <w:rPr>
                <w:rFonts w:eastAsia="Times New Roman"/>
                <w:color w:val="000000"/>
              </w:rPr>
            </w:pPr>
            <w:r w:rsidRPr="00816732">
              <w:rPr>
                <w:rFonts w:eastAsia="Times New Roman"/>
                <w:color w:val="000000"/>
              </w:rPr>
              <w:t>Q</w:t>
            </w:r>
          </w:p>
        </w:tc>
        <w:tc>
          <w:tcPr>
            <w:tcW w:w="1283" w:type="dxa"/>
            <w:tcBorders>
              <w:top w:val="nil"/>
              <w:left w:val="nil"/>
              <w:bottom w:val="single" w:sz="4" w:space="0" w:color="auto"/>
              <w:right w:val="single" w:sz="4" w:space="0" w:color="auto"/>
            </w:tcBorders>
            <w:shd w:val="clear" w:color="000000" w:fill="FFFFFF"/>
            <w:noWrap/>
            <w:vAlign w:val="bottom"/>
            <w:hideMark/>
          </w:tcPr>
          <w:p w14:paraId="13DCADBE"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1.904</w:t>
            </w:r>
          </w:p>
        </w:tc>
        <w:tc>
          <w:tcPr>
            <w:tcW w:w="1283" w:type="dxa"/>
            <w:tcBorders>
              <w:top w:val="nil"/>
              <w:left w:val="nil"/>
              <w:bottom w:val="single" w:sz="4" w:space="0" w:color="auto"/>
              <w:right w:val="single" w:sz="4" w:space="0" w:color="auto"/>
            </w:tcBorders>
            <w:shd w:val="clear" w:color="000000" w:fill="FFFFFF"/>
            <w:noWrap/>
            <w:vAlign w:val="bottom"/>
            <w:hideMark/>
          </w:tcPr>
          <w:p w14:paraId="140209D9"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0.293</w:t>
            </w:r>
          </w:p>
        </w:tc>
        <w:tc>
          <w:tcPr>
            <w:tcW w:w="1283" w:type="dxa"/>
            <w:tcBorders>
              <w:top w:val="nil"/>
              <w:left w:val="nil"/>
              <w:bottom w:val="single" w:sz="4" w:space="0" w:color="auto"/>
              <w:right w:val="single" w:sz="4" w:space="0" w:color="auto"/>
            </w:tcBorders>
            <w:shd w:val="clear" w:color="000000" w:fill="FFFFFF"/>
            <w:noWrap/>
            <w:vAlign w:val="bottom"/>
            <w:hideMark/>
          </w:tcPr>
          <w:p w14:paraId="2D4089AC"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0.244</w:t>
            </w:r>
          </w:p>
        </w:tc>
        <w:tc>
          <w:tcPr>
            <w:tcW w:w="1369" w:type="dxa"/>
            <w:tcBorders>
              <w:top w:val="nil"/>
              <w:left w:val="nil"/>
              <w:bottom w:val="single" w:sz="4" w:space="0" w:color="auto"/>
              <w:right w:val="single" w:sz="4" w:space="0" w:color="auto"/>
            </w:tcBorders>
            <w:shd w:val="clear" w:color="000000" w:fill="FFFFFF"/>
            <w:noWrap/>
            <w:vAlign w:val="bottom"/>
            <w:hideMark/>
          </w:tcPr>
          <w:p w14:paraId="1FEE5C09" w14:textId="77777777" w:rsidR="00816732" w:rsidRPr="00816732" w:rsidRDefault="00816732" w:rsidP="00816732">
            <w:pPr>
              <w:spacing w:after="0" w:line="240" w:lineRule="auto"/>
              <w:jc w:val="center"/>
              <w:rPr>
                <w:rFonts w:eastAsia="Times New Roman"/>
                <w:color w:val="000000"/>
              </w:rPr>
            </w:pPr>
            <w:r w:rsidRPr="00816732">
              <w:rPr>
                <w:rFonts w:eastAsia="Times New Roman"/>
                <w:color w:val="000000"/>
              </w:rPr>
              <w:t>0.462</w:t>
            </w:r>
          </w:p>
        </w:tc>
      </w:tr>
    </w:tbl>
    <w:p w14:paraId="40056E81" w14:textId="6D971C7F" w:rsidR="00CF68E5" w:rsidRDefault="00CF68E5" w:rsidP="00CF68E5">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Linear Regression Modelling Results</w:t>
      </w:r>
    </w:p>
    <w:p w14:paraId="15061CDA" w14:textId="60BFFACD" w:rsidR="00816732" w:rsidRDefault="00816732" w:rsidP="00CF68E5">
      <w:pPr>
        <w:pStyle w:val="HeadingNumbered"/>
      </w:pPr>
      <w:r>
        <w:t>Production Function 2</w:t>
      </w:r>
    </w:p>
    <w:p w14:paraId="05011A81" w14:textId="64D83CD8" w:rsidR="00816732" w:rsidRDefault="00816732" w:rsidP="00816732">
      <w:pPr>
        <w:rPr>
          <w:rFonts w:eastAsiaTheme="minorEastAsia"/>
        </w:rPr>
      </w:pPr>
      <w:r>
        <w:t xml:space="preserve">To find the parameters for the sectors that linear regression failed other techniques were required. The aim was to find the local minimum Mean Squared Error (MSE) within the parameter range. Given the level of accuracy the modelling is going to use, the first approach was to use a brute force search method. Calculate the Mean square Error (MSE) of all possible combination of </w:t>
      </w:r>
      <m:oMath>
        <m:d>
          <m:dPr>
            <m:begChr m:val="["/>
            <m:endChr m:val="]"/>
            <m:ctrlPr>
              <w:rPr>
                <w:rFonts w:ascii="Cambria Math" w:hAnsi="Cambria Math"/>
                <w:i/>
              </w:rPr>
            </m:ctrlPr>
          </m:dPr>
          <m:e>
            <m:r>
              <w:rPr>
                <w:rFonts w:ascii="Cambria Math" w:hAnsi="Cambria Math"/>
              </w:rPr>
              <m:t>0.01&lt;α,β,γ&lt;0.97</m:t>
            </m:r>
            <m:r>
              <w:rPr>
                <w:rFonts w:ascii="Cambria Math" w:eastAsiaTheme="minorEastAsia" w:hAnsi="Cambria Math"/>
              </w:rPr>
              <m:t>, A∈</m:t>
            </m:r>
            <m:d>
              <m:dPr>
                <m:ctrlPr>
                  <w:rPr>
                    <w:rFonts w:ascii="Cambria Math" w:eastAsiaTheme="minorEastAsia" w:hAnsi="Cambria Math"/>
                    <w:i/>
                  </w:rPr>
                </m:ctrlPr>
              </m:dPr>
              <m:e>
                <m:r>
                  <w:rPr>
                    <w:rFonts w:ascii="Cambria Math" w:eastAsiaTheme="minorEastAsia" w:hAnsi="Cambria Math"/>
                  </w:rPr>
                  <m:t xml:space="preserve"> 0.84,1.90</m:t>
                </m:r>
              </m:e>
            </m:d>
            <m:r>
              <w:rPr>
                <w:rFonts w:ascii="Cambria Math" w:eastAsiaTheme="minorEastAsia" w:hAnsi="Cambria Math"/>
              </w:rPr>
              <m:t xml:space="preserve">, </m:t>
            </m:r>
            <m:ctrlPr>
              <w:rPr>
                <w:rFonts w:ascii="Cambria Math" w:eastAsiaTheme="minorEastAsia" w:hAnsi="Cambria Math"/>
                <w:i/>
              </w:rPr>
            </m:ctrlPr>
          </m:e>
        </m:d>
        <m:r>
          <w:rPr>
            <w:rStyle w:val="FootnoteReference"/>
            <w:rFonts w:ascii="Cambria Math" w:eastAsiaTheme="minorEastAsia" w:hAnsi="Cambria Math"/>
            <w:i/>
          </w:rPr>
          <w:footnoteReference w:id="6"/>
        </m:r>
        <m:r>
          <w:rPr>
            <w:rFonts w:ascii="Cambria Math" w:eastAsiaTheme="minorEastAsia" w:hAnsi="Cambria Math"/>
          </w:rPr>
          <m:t xml:space="preserve">, </m:t>
        </m:r>
      </m:oMath>
      <w:r>
        <w:t>at 2-digits (i.e., 0.23, 0.76, etc).</w:t>
      </w:r>
      <w:r>
        <w:rPr>
          <w:rFonts w:eastAsiaTheme="minorEastAsia"/>
        </w:rPr>
        <w:t xml:space="preserve"> </w:t>
      </w:r>
    </w:p>
    <w:p w14:paraId="292DF5E6" w14:textId="6B21F8A4" w:rsidR="00816732" w:rsidRDefault="00816732" w:rsidP="00816732">
      <w:pPr>
        <w:rPr>
          <w:rFonts w:eastAsiaTheme="minorEastAsia"/>
        </w:rPr>
      </w:pPr>
      <m:oMathPara>
        <m:oMath>
          <m:r>
            <w:rPr>
              <w:rFonts w:ascii="Cambria Math" w:eastAsiaTheme="minorEastAsia" w:hAnsi="Cambria Math"/>
            </w:rPr>
            <m:t>MSE=</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eastAsiaTheme="minorEastAsia" w:hAnsi="Cambria Math"/>
                        </w:rPr>
                        <m:t>Q</m:t>
                      </m:r>
                      <m:r>
                        <w:rPr>
                          <w:rFonts w:ascii="Cambria Math" w:eastAsiaTheme="minorEastAsia" w:hAnsi="Cambria Math"/>
                        </w:rPr>
                        <m:t>-</m:t>
                      </m:r>
                      <m:acc>
                        <m:accPr>
                          <m:chr m:val="̅"/>
                          <m:ctrlPr>
                            <w:rPr>
                              <w:rFonts w:ascii="Cambria Math" w:eastAsiaTheme="minorEastAsia" w:hAnsi="Cambria Math"/>
                              <w:i/>
                            </w:rPr>
                          </m:ctrlPr>
                        </m:accPr>
                        <m:e>
                          <m:r>
                            <m:rPr>
                              <m:sty m:val="bi"/>
                            </m:rPr>
                            <w:rPr>
                              <w:rFonts w:ascii="Cambria Math" w:eastAsiaTheme="minorEastAsia" w:hAnsi="Cambria Math"/>
                            </w:rPr>
                            <m:t>Q</m:t>
                          </m:r>
                        </m:e>
                      </m:acc>
                    </m:e>
                  </m:d>
                </m:e>
                <m:sup>
                  <m:r>
                    <w:rPr>
                      <w:rFonts w:ascii="Cambria Math" w:eastAsiaTheme="minorEastAsia" w:hAnsi="Cambria Math"/>
                    </w:rPr>
                    <m:t>2</m:t>
                  </m:r>
                </m:sup>
              </m:sSup>
              <m:r>
                <w:rPr>
                  <w:rFonts w:ascii="Cambria Math" w:eastAsiaTheme="minorEastAsia" w:hAnsi="Cambria Math"/>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Q</m:t>
                  </m:r>
                </m:e>
              </m:acc>
            </m:e>
          </m:nary>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sSup>
            <m:sSupPr>
              <m:ctrlPr>
                <w:rPr>
                  <w:rFonts w:ascii="Cambria Math" w:eastAsiaTheme="minorEastAsia" w:hAnsi="Cambria Math"/>
                  <w:b/>
                  <w:bCs/>
                  <w:i/>
                </w:rPr>
              </m:ctrlPr>
            </m:sSupPr>
            <m:e>
              <m:r>
                <m:rPr>
                  <m:sty m:val="bi"/>
                </m:rPr>
                <w:rPr>
                  <w:rFonts w:ascii="Cambria Math" w:eastAsiaTheme="minorEastAsia" w:hAnsi="Cambria Math"/>
                </w:rPr>
                <m:t>G</m:t>
              </m:r>
            </m:e>
            <m:sup>
              <m:acc>
                <m:accPr>
                  <m:chr m:val="̅"/>
                  <m:ctrlPr>
                    <w:rPr>
                      <w:rFonts w:ascii="Cambria Math" w:eastAsiaTheme="minorEastAsia" w:hAnsi="Cambria Math"/>
                      <w:i/>
                    </w:rPr>
                  </m:ctrlPr>
                </m:accPr>
                <m:e>
                  <m:r>
                    <w:rPr>
                      <w:rFonts w:ascii="Cambria Math" w:eastAsiaTheme="minorEastAsia" w:hAnsi="Cambria Math"/>
                    </w:rPr>
                    <m:t>α</m:t>
                  </m:r>
                </m:e>
              </m:acc>
            </m:sup>
          </m:sSup>
          <m:sSup>
            <m:sSupPr>
              <m:ctrlPr>
                <w:rPr>
                  <w:rFonts w:ascii="Cambria Math" w:eastAsiaTheme="minorEastAsia" w:hAnsi="Cambria Math"/>
                  <w:b/>
                  <w:bCs/>
                  <w:i/>
                </w:rPr>
              </m:ctrlPr>
            </m:sSupPr>
            <m:e>
              <m:r>
                <m:rPr>
                  <m:sty m:val="bi"/>
                </m:rPr>
                <w:rPr>
                  <w:rFonts w:ascii="Cambria Math" w:eastAsiaTheme="minorEastAsia" w:hAnsi="Cambria Math"/>
                </w:rPr>
                <m:t>L</m:t>
              </m:r>
            </m:e>
            <m:sup>
              <m:acc>
                <m:accPr>
                  <m:chr m:val="̅"/>
                  <m:ctrlPr>
                    <w:rPr>
                      <w:rFonts w:ascii="Cambria Math" w:eastAsiaTheme="minorEastAsia" w:hAnsi="Cambria Math"/>
                      <w:i/>
                    </w:rPr>
                  </m:ctrlPr>
                </m:accPr>
                <m:e>
                  <m:r>
                    <w:rPr>
                      <w:rFonts w:ascii="Cambria Math" w:eastAsiaTheme="minorEastAsia" w:hAnsi="Cambria Math"/>
                    </w:rPr>
                    <m:t>β</m:t>
                  </m:r>
                </m:e>
              </m:acc>
            </m:sup>
          </m:sSup>
          <m:sSup>
            <m:sSupPr>
              <m:ctrlPr>
                <w:rPr>
                  <w:rFonts w:ascii="Cambria Math" w:eastAsiaTheme="minorEastAsia" w:hAnsi="Cambria Math"/>
                  <w:b/>
                  <w:bCs/>
                  <w:i/>
                </w:rPr>
              </m:ctrlPr>
            </m:sSupPr>
            <m:e>
              <m:r>
                <m:rPr>
                  <m:sty m:val="bi"/>
                </m:rPr>
                <w:rPr>
                  <w:rFonts w:ascii="Cambria Math" w:eastAsiaTheme="minorEastAsia" w:hAnsi="Cambria Math"/>
                </w:rPr>
                <m:t>K</m:t>
              </m:r>
            </m:e>
            <m:sup>
              <m:acc>
                <m:accPr>
                  <m:chr m:val="̅"/>
                  <m:ctrlPr>
                    <w:rPr>
                      <w:rFonts w:ascii="Cambria Math" w:eastAsiaTheme="minorEastAsia" w:hAnsi="Cambria Math"/>
                      <w:i/>
                    </w:rPr>
                  </m:ctrlPr>
                </m:accPr>
                <m:e>
                  <m:r>
                    <w:rPr>
                      <w:rFonts w:ascii="Cambria Math" w:eastAsiaTheme="minorEastAsia" w:hAnsi="Cambria Math"/>
                    </w:rPr>
                    <m:t>γ</m:t>
                  </m:r>
                </m:e>
              </m:acc>
            </m:sup>
          </m:sSup>
        </m:oMath>
      </m:oMathPara>
    </w:p>
    <w:p w14:paraId="493381FD" w14:textId="19B1C3EF" w:rsidR="00816732" w:rsidRDefault="00816732" w:rsidP="00816732">
      <w:pPr>
        <w:rPr>
          <w:rFonts w:eastAsiaTheme="minorEastAsia"/>
        </w:rPr>
      </w:pPr>
      <w:r>
        <w:rPr>
          <w:rFonts w:eastAsiaTheme="minorEastAsia"/>
        </w:rPr>
        <w:t xml:space="preserve">This approach would give a local minimum within the discrete search space, that would be a false local minimum of the continuous search space. </w:t>
      </w:r>
      <w:proofErr w:type="gramStart"/>
      <w:r w:rsidR="00622464">
        <w:rPr>
          <w:rFonts w:eastAsiaTheme="minorEastAsia"/>
        </w:rPr>
        <w:t>i.e.</w:t>
      </w:r>
      <w:proofErr w:type="gramEnd"/>
      <w:r w:rsidR="00622464">
        <w:rPr>
          <w:rFonts w:eastAsiaTheme="minorEastAsia"/>
        </w:rPr>
        <w:t xml:space="preserve"> it is the minimum MSE for the finite discrete set of parameter searched over.</w:t>
      </w:r>
      <w:r>
        <w:rPr>
          <w:rFonts w:eastAsiaTheme="minorEastAsia"/>
        </w:rPr>
        <w:t xml:space="preserve"> </w:t>
      </w:r>
    </w:p>
    <w:p w14:paraId="4E28509D" w14:textId="05AD92C2" w:rsidR="00816732" w:rsidRDefault="00816732" w:rsidP="00816732">
      <w:pPr>
        <w:rPr>
          <w:rFonts w:eastAsiaTheme="minorEastAsia"/>
        </w:rPr>
      </w:pPr>
      <w:r>
        <w:rPr>
          <w:rFonts w:eastAsiaTheme="minorEastAsia"/>
        </w:rPr>
        <w:t xml:space="preserve">Where the bar </w:t>
      </w:r>
      <w:r w:rsidR="00C07C80">
        <w:rPr>
          <w:rFonts w:eastAsiaTheme="minorEastAsia"/>
        </w:rPr>
        <w:t>denotes</w:t>
      </w:r>
      <w:r>
        <w:rPr>
          <w:rFonts w:eastAsiaTheme="minorEastAsia"/>
        </w:rPr>
        <w:t xml:space="preserve"> the found estimators satisfying the equation:</w:t>
      </w:r>
    </w:p>
    <w:p w14:paraId="7BA96375" w14:textId="446BB7D4" w:rsidR="00816732" w:rsidRDefault="00000000" w:rsidP="000059EB">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s.t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MSE</m:t>
                </m:r>
              </m:lim>
            </m:limLow>
          </m:fName>
          <m:e>
            <m:r>
              <w:rPr>
                <w:rFonts w:ascii="Cambria Math" w:eastAsiaTheme="minorEastAsia" w:hAnsi="Cambria Math"/>
              </w:rPr>
              <m:t>SE=</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eastAsiaTheme="minorEastAsia" w:hAnsi="Cambria Math"/>
                          </w:rPr>
                          <m:t>Q</m:t>
                        </m:r>
                        <m:r>
                          <w:rPr>
                            <w:rFonts w:ascii="Cambria Math" w:eastAsiaTheme="minorEastAsia" w:hAnsi="Cambria Math"/>
                          </w:rPr>
                          <m:t>-</m:t>
                        </m:r>
                        <m:acc>
                          <m:accPr>
                            <m:chr m:val="̅"/>
                            <m:ctrlPr>
                              <w:rPr>
                                <w:rFonts w:ascii="Cambria Math" w:eastAsiaTheme="minorEastAsia" w:hAnsi="Cambria Math"/>
                                <w:i/>
                              </w:rPr>
                            </m:ctrlPr>
                          </m:accPr>
                          <m:e>
                            <m:r>
                              <m:rPr>
                                <m:sty m:val="bi"/>
                              </m:rPr>
                              <w:rPr>
                                <w:rFonts w:ascii="Cambria Math" w:eastAsiaTheme="minorEastAsia" w:hAnsi="Cambria Math"/>
                              </w:rPr>
                              <m:t>Q</m:t>
                            </m:r>
                          </m:e>
                        </m:acc>
                      </m:e>
                    </m:d>
                  </m:e>
                  <m:sup>
                    <m:r>
                      <w:rPr>
                        <w:rFonts w:ascii="Cambria Math" w:eastAsiaTheme="minorEastAsia" w:hAnsi="Cambria Math"/>
                      </w:rPr>
                      <m:t>2</m:t>
                    </m:r>
                  </m:sup>
                </m:sSup>
                <m:r>
                  <w:rPr>
                    <w:rFonts w:ascii="Cambria Math" w:eastAsiaTheme="minorEastAsia" w:hAnsi="Cambria Math"/>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Q</m:t>
                    </m:r>
                  </m:e>
                </m:acc>
              </m:e>
            </m:nary>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sSup>
              <m:sSupPr>
                <m:ctrlPr>
                  <w:rPr>
                    <w:rFonts w:ascii="Cambria Math" w:eastAsiaTheme="minorEastAsia" w:hAnsi="Cambria Math"/>
                    <w:b/>
                    <w:bCs/>
                    <w:i/>
                  </w:rPr>
                </m:ctrlPr>
              </m:sSupPr>
              <m:e>
                <m:r>
                  <m:rPr>
                    <m:sty m:val="bi"/>
                  </m:rPr>
                  <w:rPr>
                    <w:rFonts w:ascii="Cambria Math" w:eastAsiaTheme="minorEastAsia" w:hAnsi="Cambria Math"/>
                  </w:rPr>
                  <m:t>G</m:t>
                </m:r>
              </m:e>
              <m:sup>
                <m:acc>
                  <m:accPr>
                    <m:chr m:val="̅"/>
                    <m:ctrlPr>
                      <w:rPr>
                        <w:rFonts w:ascii="Cambria Math" w:eastAsiaTheme="minorEastAsia" w:hAnsi="Cambria Math"/>
                        <w:i/>
                      </w:rPr>
                    </m:ctrlPr>
                  </m:accPr>
                  <m:e>
                    <m:r>
                      <w:rPr>
                        <w:rFonts w:ascii="Cambria Math" w:eastAsiaTheme="minorEastAsia" w:hAnsi="Cambria Math"/>
                      </w:rPr>
                      <m:t>α</m:t>
                    </m:r>
                  </m:e>
                </m:acc>
              </m:sup>
            </m:sSup>
            <m:sSup>
              <m:sSupPr>
                <m:ctrlPr>
                  <w:rPr>
                    <w:rFonts w:ascii="Cambria Math" w:eastAsiaTheme="minorEastAsia" w:hAnsi="Cambria Math"/>
                    <w:b/>
                    <w:bCs/>
                    <w:i/>
                  </w:rPr>
                </m:ctrlPr>
              </m:sSupPr>
              <m:e>
                <m:r>
                  <m:rPr>
                    <m:sty m:val="bi"/>
                  </m:rPr>
                  <w:rPr>
                    <w:rFonts w:ascii="Cambria Math" w:eastAsiaTheme="minorEastAsia" w:hAnsi="Cambria Math"/>
                  </w:rPr>
                  <m:t>L</m:t>
                </m:r>
              </m:e>
              <m:sup>
                <m:acc>
                  <m:accPr>
                    <m:chr m:val="̅"/>
                    <m:ctrlPr>
                      <w:rPr>
                        <w:rFonts w:ascii="Cambria Math" w:eastAsiaTheme="minorEastAsia" w:hAnsi="Cambria Math"/>
                        <w:i/>
                      </w:rPr>
                    </m:ctrlPr>
                  </m:accPr>
                  <m:e>
                    <m:r>
                      <w:rPr>
                        <w:rFonts w:ascii="Cambria Math" w:eastAsiaTheme="minorEastAsia" w:hAnsi="Cambria Math"/>
                      </w:rPr>
                      <m:t>β</m:t>
                    </m:r>
                  </m:e>
                </m:acc>
              </m:sup>
            </m:sSup>
            <m:sSup>
              <m:sSupPr>
                <m:ctrlPr>
                  <w:rPr>
                    <w:rFonts w:ascii="Cambria Math" w:eastAsiaTheme="minorEastAsia" w:hAnsi="Cambria Math"/>
                    <w:b/>
                    <w:bCs/>
                    <w:i/>
                  </w:rPr>
                </m:ctrlPr>
              </m:sSupPr>
              <m:e>
                <m:r>
                  <m:rPr>
                    <m:sty m:val="bi"/>
                  </m:rPr>
                  <w:rPr>
                    <w:rFonts w:ascii="Cambria Math" w:eastAsiaTheme="minorEastAsia" w:hAnsi="Cambria Math"/>
                  </w:rPr>
                  <m:t>K</m:t>
                </m:r>
              </m:e>
              <m:sup>
                <m:acc>
                  <m:accPr>
                    <m:chr m:val="̅"/>
                    <m:ctrlPr>
                      <w:rPr>
                        <w:rFonts w:ascii="Cambria Math" w:eastAsiaTheme="minorEastAsia" w:hAnsi="Cambria Math"/>
                        <w:i/>
                      </w:rPr>
                    </m:ctrlPr>
                  </m:accPr>
                  <m:e>
                    <m:r>
                      <w:rPr>
                        <w:rFonts w:ascii="Cambria Math" w:eastAsiaTheme="minorEastAsia" w:hAnsi="Cambria Math"/>
                      </w:rPr>
                      <m:t>γ</m:t>
                    </m:r>
                  </m:e>
                </m:acc>
              </m:sup>
            </m:sSup>
            <m:r>
              <m:rPr>
                <m:sty m:val="bi"/>
              </m:rP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0.01&lt;α,β,γ&lt;0.97</m:t>
                </m:r>
                <m:r>
                  <w:rPr>
                    <w:rFonts w:ascii="Cambria Math" w:eastAsiaTheme="minorEastAsia" w:hAnsi="Cambria Math"/>
                  </w:rPr>
                  <m:t>, A∈</m:t>
                </m:r>
                <m:d>
                  <m:dPr>
                    <m:ctrlPr>
                      <w:rPr>
                        <w:rFonts w:ascii="Cambria Math" w:eastAsiaTheme="minorEastAsia" w:hAnsi="Cambria Math"/>
                        <w:i/>
                      </w:rPr>
                    </m:ctrlPr>
                  </m:dPr>
                  <m:e>
                    <m:r>
                      <w:rPr>
                        <w:rFonts w:ascii="Cambria Math" w:eastAsiaTheme="minorEastAsia" w:hAnsi="Cambria Math"/>
                      </w:rPr>
                      <m:t xml:space="preserve"> 0.84,1.90</m:t>
                    </m:r>
                  </m:e>
                </m:d>
                <m:ctrlPr>
                  <w:rPr>
                    <w:rFonts w:ascii="Cambria Math" w:eastAsiaTheme="minorEastAsia" w:hAnsi="Cambria Math"/>
                    <w:i/>
                  </w:rPr>
                </m:ctrlPr>
              </m:e>
            </m:d>
          </m:e>
        </m:func>
      </m:oMath>
      <w:r w:rsidR="00816732">
        <w:rPr>
          <w:rFonts w:eastAsiaTheme="minorEastAsia"/>
        </w:rPr>
        <w:t>,</w:t>
      </w:r>
    </w:p>
    <w:p w14:paraId="6B43E541" w14:textId="2285F24B" w:rsidR="00816732" w:rsidRDefault="00816732" w:rsidP="00816732">
      <w:pPr>
        <w:rPr>
          <w:rFonts w:eastAsiaTheme="minorEastAsia"/>
        </w:rPr>
      </w:pPr>
      <w:r>
        <w:rPr>
          <w:rFonts w:eastAsiaTheme="minorEastAsia"/>
        </w:rPr>
        <w:t>However, this was too computationally intensive and only one result was found after 18 hours of run time</w:t>
      </w:r>
      <w:r w:rsidR="00C07C80">
        <w:rPr>
          <w:rFonts w:eastAsiaTheme="minorEastAsia"/>
        </w:rPr>
        <w:t>. There were 22 sectors that needed finding (c16 day runtime).</w:t>
      </w:r>
    </w:p>
    <w:tbl>
      <w:tblPr>
        <w:tblStyle w:val="TableGrid"/>
        <w:tblW w:w="0" w:type="auto"/>
        <w:tblLook w:val="04A0" w:firstRow="1" w:lastRow="0" w:firstColumn="1" w:lastColumn="0" w:noHBand="0" w:noVBand="1"/>
      </w:tblPr>
      <w:tblGrid>
        <w:gridCol w:w="1864"/>
        <w:gridCol w:w="1806"/>
        <w:gridCol w:w="1844"/>
        <w:gridCol w:w="1813"/>
        <w:gridCol w:w="1689"/>
      </w:tblGrid>
      <w:tr w:rsidR="00816732" w14:paraId="22B6332F" w14:textId="48554F32" w:rsidTr="00816732">
        <w:tc>
          <w:tcPr>
            <w:tcW w:w="1864" w:type="dxa"/>
          </w:tcPr>
          <w:p w14:paraId="724E6275" w14:textId="77777777" w:rsidR="00816732" w:rsidRPr="00816732" w:rsidRDefault="00816732" w:rsidP="003E2F60">
            <w:pPr>
              <w:rPr>
                <w:b/>
                <w:bCs/>
              </w:rPr>
            </w:pPr>
            <w:r w:rsidRPr="00816732">
              <w:rPr>
                <w:b/>
                <w:bCs/>
              </w:rPr>
              <w:t>Sector</w:t>
            </w:r>
          </w:p>
        </w:tc>
        <w:tc>
          <w:tcPr>
            <w:tcW w:w="1806" w:type="dxa"/>
          </w:tcPr>
          <w:p w14:paraId="44242960" w14:textId="77777777" w:rsidR="00816732" w:rsidRPr="00816732" w:rsidRDefault="00816732" w:rsidP="003E2F60">
            <w:pPr>
              <w:rPr>
                <w:b/>
                <w:bCs/>
              </w:rPr>
            </w:pPr>
            <w:r w:rsidRPr="00816732">
              <w:rPr>
                <w:b/>
                <w:bCs/>
              </w:rPr>
              <w:t>A</w:t>
            </w:r>
          </w:p>
        </w:tc>
        <w:tc>
          <w:tcPr>
            <w:tcW w:w="1844" w:type="dxa"/>
          </w:tcPr>
          <w:p w14:paraId="3A541FEB" w14:textId="77777777" w:rsidR="00816732" w:rsidRPr="00816732" w:rsidRDefault="00816732" w:rsidP="003E2F60">
            <w:pPr>
              <w:rPr>
                <w:b/>
                <w:bCs/>
              </w:rPr>
            </w:pPr>
            <w:r w:rsidRPr="00816732">
              <w:rPr>
                <w:b/>
                <w:bCs/>
              </w:rPr>
              <w:t>Alpha</w:t>
            </w:r>
          </w:p>
        </w:tc>
        <w:tc>
          <w:tcPr>
            <w:tcW w:w="1813" w:type="dxa"/>
          </w:tcPr>
          <w:p w14:paraId="48593E42" w14:textId="77777777" w:rsidR="00816732" w:rsidRPr="00816732" w:rsidRDefault="00816732" w:rsidP="003E2F60">
            <w:pPr>
              <w:rPr>
                <w:b/>
                <w:bCs/>
              </w:rPr>
            </w:pPr>
            <w:r w:rsidRPr="00816732">
              <w:rPr>
                <w:b/>
                <w:bCs/>
              </w:rPr>
              <w:t>Beta</w:t>
            </w:r>
          </w:p>
        </w:tc>
        <w:tc>
          <w:tcPr>
            <w:tcW w:w="1689" w:type="dxa"/>
          </w:tcPr>
          <w:p w14:paraId="0BCC0F21" w14:textId="3E4C3A50" w:rsidR="00816732" w:rsidRPr="00816732" w:rsidRDefault="00816732" w:rsidP="003E2F60">
            <w:pPr>
              <w:rPr>
                <w:b/>
                <w:bCs/>
              </w:rPr>
            </w:pPr>
            <w:r w:rsidRPr="00816732">
              <w:rPr>
                <w:b/>
                <w:bCs/>
              </w:rPr>
              <w:t>Gamma</w:t>
            </w:r>
          </w:p>
        </w:tc>
      </w:tr>
      <w:tr w:rsidR="00816732" w14:paraId="3A463444" w14:textId="2E6D0FEC" w:rsidTr="00816732">
        <w:tc>
          <w:tcPr>
            <w:tcW w:w="1864" w:type="dxa"/>
          </w:tcPr>
          <w:p w14:paraId="42D6574F" w14:textId="77777777" w:rsidR="00816732" w:rsidRDefault="00816732" w:rsidP="003E2F60">
            <w:r>
              <w:t>A03</w:t>
            </w:r>
          </w:p>
        </w:tc>
        <w:tc>
          <w:tcPr>
            <w:tcW w:w="1806" w:type="dxa"/>
          </w:tcPr>
          <w:p w14:paraId="33E0453F" w14:textId="77777777" w:rsidR="00816732" w:rsidRDefault="00816732" w:rsidP="003E2F60">
            <w:r>
              <w:t>0.95</w:t>
            </w:r>
          </w:p>
        </w:tc>
        <w:tc>
          <w:tcPr>
            <w:tcW w:w="1844" w:type="dxa"/>
          </w:tcPr>
          <w:p w14:paraId="3DCD49AB" w14:textId="77777777" w:rsidR="00816732" w:rsidRDefault="00816732" w:rsidP="003E2F60">
            <w:r>
              <w:t>0.8</w:t>
            </w:r>
          </w:p>
        </w:tc>
        <w:tc>
          <w:tcPr>
            <w:tcW w:w="1813" w:type="dxa"/>
          </w:tcPr>
          <w:p w14:paraId="078FFF6A" w14:textId="77777777" w:rsidR="00816732" w:rsidRDefault="00816732" w:rsidP="003E2F60">
            <w:r>
              <w:t>0.01</w:t>
            </w:r>
          </w:p>
        </w:tc>
        <w:tc>
          <w:tcPr>
            <w:tcW w:w="1689" w:type="dxa"/>
          </w:tcPr>
          <w:p w14:paraId="2908ADA6" w14:textId="70ADE8CA" w:rsidR="00816732" w:rsidRDefault="00816732" w:rsidP="003E2F60">
            <w:r>
              <w:t>0.199</w:t>
            </w:r>
          </w:p>
        </w:tc>
      </w:tr>
    </w:tbl>
    <w:p w14:paraId="67D85C00" w14:textId="77777777" w:rsidR="00816732" w:rsidRDefault="00816732" w:rsidP="00816732">
      <w:pPr>
        <w:rPr>
          <w:rFonts w:eastAsiaTheme="minorEastAsia"/>
        </w:rPr>
      </w:pPr>
    </w:p>
    <w:p w14:paraId="1BF96265" w14:textId="4C6601E4" w:rsidR="00C07C80" w:rsidRDefault="00C07C80" w:rsidP="006408BA">
      <w:pPr>
        <w:pStyle w:val="HeadingNumbered"/>
      </w:pPr>
      <w:r>
        <w:t>Production Function 3</w:t>
      </w:r>
    </w:p>
    <w:p w14:paraId="24710967" w14:textId="77777777" w:rsidR="006F4FFE" w:rsidRDefault="00C07C80" w:rsidP="006F4FFE">
      <w:pPr>
        <w:rPr>
          <w:rFonts w:eastAsiaTheme="minorEastAsia"/>
        </w:rPr>
      </w:pPr>
      <w:r>
        <w:rPr>
          <w:rFonts w:eastAsiaTheme="minorEastAsia"/>
        </w:rPr>
        <w:t>The next search method</w:t>
      </w:r>
      <w:r w:rsidR="00213890">
        <w:rPr>
          <w:rFonts w:eastAsiaTheme="minorEastAsia"/>
        </w:rPr>
        <w:t xml:space="preserve"> to find the local minimums </w:t>
      </w:r>
      <w:r w:rsidR="00543640">
        <w:rPr>
          <w:rFonts w:eastAsiaTheme="minorEastAsia"/>
        </w:rPr>
        <w:t>was an algorithmic search</w:t>
      </w:r>
      <w:r w:rsidR="00213890">
        <w:rPr>
          <w:rFonts w:eastAsiaTheme="minorEastAsia"/>
        </w:rPr>
        <w:t xml:space="preserve"> based on shrinking spheres</w:t>
      </w:r>
      <w:r w:rsidR="00543640">
        <w:rPr>
          <w:rFonts w:eastAsiaTheme="minorEastAsia"/>
        </w:rPr>
        <w:t>.</w:t>
      </w:r>
      <w:r w:rsidR="00622464">
        <w:rPr>
          <w:rFonts w:eastAsiaTheme="minorEastAsia"/>
        </w:rPr>
        <w:t xml:space="preserve"> </w:t>
      </w:r>
      <w:r w:rsidR="006F4FFE">
        <w:rPr>
          <w:rFonts w:eastAsiaTheme="minorEastAsia"/>
        </w:rPr>
        <w:t xml:space="preserve">The starting point for the algorithm is the central point, </w:t>
      </w:r>
      <m:oMath>
        <m:r>
          <w:rPr>
            <w:rFonts w:ascii="Cambria Math" w:eastAsiaTheme="minorEastAsia" w:hAnsi="Cambria Math"/>
          </w:rPr>
          <m:t>α=0.33,  β=0.33,  A=1.24</m:t>
        </m:r>
        <m:r>
          <w:rPr>
            <w:rStyle w:val="FootnoteReference"/>
            <w:rFonts w:ascii="Cambria Math" w:eastAsiaTheme="minorEastAsia" w:hAnsi="Cambria Math"/>
            <w:i/>
          </w:rPr>
          <w:footnoteReference w:id="7"/>
        </m:r>
      </m:oMath>
      <w:r w:rsidR="006F4FFE">
        <w:rPr>
          <w:rFonts w:eastAsiaTheme="minorEastAsia"/>
        </w:rPr>
        <w:t>.</w:t>
      </w:r>
    </w:p>
    <w:p w14:paraId="1F827323" w14:textId="7AC38A0A" w:rsidR="006F4FFE" w:rsidRDefault="006F4FFE" w:rsidP="006F4FFE">
      <w:pPr>
        <w:pStyle w:val="BulletPoint"/>
      </w:pPr>
      <w:r>
        <w:t xml:space="preserve">The step </w:t>
      </w:r>
      <w:r>
        <w:t xml:space="preserve">1 </w:t>
      </w:r>
      <w:r>
        <w:t>is to create new set of points are selected at random on the surface of the sphere centred at the start point.</w:t>
      </w:r>
    </w:p>
    <w:p w14:paraId="6A87BA76" w14:textId="23AEA0DD" w:rsidR="006F4FFE" w:rsidRDefault="006F4FFE" w:rsidP="006F4FFE">
      <w:pPr>
        <w:pStyle w:val="BulletPoint"/>
      </w:pPr>
      <w:r>
        <w:t xml:space="preserve">The radius of the sphere </w:t>
      </w:r>
      <w:r>
        <w:t>decreases</w:t>
      </w:r>
      <w:r>
        <w:t xml:space="preserve"> with each iteration of the algorithm. </w:t>
      </w:r>
    </w:p>
    <w:p w14:paraId="1B4F5224" w14:textId="0D148D9D" w:rsidR="006F4FFE" w:rsidRDefault="006F4FFE" w:rsidP="006F4FFE">
      <w:pPr>
        <w:pStyle w:val="BulletPoint"/>
      </w:pPr>
      <w:r>
        <w:t>The MSE of each element of the set is calculated.</w:t>
      </w:r>
    </w:p>
    <w:p w14:paraId="1D864DB8" w14:textId="4544113C" w:rsidR="006F4FFE" w:rsidRDefault="006F4FFE" w:rsidP="006F4FFE">
      <w:pPr>
        <w:pStyle w:val="BulletPoint"/>
      </w:pPr>
      <w:r>
        <w:t>The element with the smallest MSE is the new start point, return to step 1.</w:t>
      </w:r>
    </w:p>
    <w:p w14:paraId="7F75EFFB" w14:textId="019A3CD2" w:rsidR="006F4FFE" w:rsidRDefault="006F4FFE" w:rsidP="006F4FFE">
      <w:r>
        <w:t xml:space="preserve">The algorithm is illustrated in </w:t>
      </w:r>
      <w:r>
        <w:fldChar w:fldCharType="begin"/>
      </w:r>
      <w:r>
        <w:instrText xml:space="preserve"> REF _Ref142831193 \h </w:instrText>
      </w:r>
      <w:r>
        <w:fldChar w:fldCharType="separate"/>
      </w:r>
      <w:r>
        <w:t xml:space="preserve">Figure </w:t>
      </w:r>
      <w:r>
        <w:rPr>
          <w:noProof/>
        </w:rPr>
        <w:t>4</w:t>
      </w:r>
      <w:r>
        <w:fldChar w:fldCharType="end"/>
      </w:r>
      <w:r>
        <w:t xml:space="preserve">. The code can be found in </w:t>
      </w:r>
      <w:r w:rsidRPr="006F4FFE">
        <w:t>LM Regression 7.R</w:t>
      </w:r>
      <w:r>
        <w:t xml:space="preserve">, the name of the functions in </w:t>
      </w:r>
      <w:r>
        <w:fldChar w:fldCharType="begin"/>
      </w:r>
      <w:r>
        <w:instrText xml:space="preserve"> REF _Ref142831193 \h </w:instrText>
      </w:r>
      <w:r>
        <w:fldChar w:fldCharType="separate"/>
      </w:r>
      <w:r>
        <w:t xml:space="preserve">Figure </w:t>
      </w:r>
      <w:r>
        <w:rPr>
          <w:noProof/>
        </w:rPr>
        <w:t>4</w:t>
      </w:r>
      <w:r>
        <w:fldChar w:fldCharType="end"/>
      </w:r>
      <w:r>
        <w:t xml:space="preserve"> correspond to those in the code. </w:t>
      </w:r>
    </w:p>
    <w:p w14:paraId="044E3317" w14:textId="74093C45" w:rsidR="00543640" w:rsidRDefault="00543640" w:rsidP="00816732">
      <w:pPr>
        <w:rPr>
          <w:rFonts w:eastAsiaTheme="minorEastAsia"/>
        </w:rPr>
      </w:pPr>
    </w:p>
    <w:p w14:paraId="64F4DC4E" w14:textId="0F28DC69" w:rsidR="006F4FFE" w:rsidRDefault="006F4FFE" w:rsidP="00816732">
      <w:pPr>
        <w:rPr>
          <w:rFonts w:eastAsiaTheme="minorEastAsia"/>
        </w:rPr>
      </w:pPr>
      <w:r w:rsidRPr="006F4FFE">
        <w:rPr>
          <w:rFonts w:eastAsiaTheme="minorEastAsia"/>
        </w:rPr>
        <w:lastRenderedPageBreak/>
        <w:drawing>
          <wp:inline distT="0" distB="0" distL="0" distR="0" wp14:anchorId="2D9C6357" wp14:editId="42D9CE25">
            <wp:extent cx="3395167" cy="3331597"/>
            <wp:effectExtent l="0" t="0" r="0" b="2540"/>
            <wp:docPr id="4" name="Picture 3" descr="A diagram of a function&#10;&#10;Description automatically generated">
              <a:extLst xmlns:a="http://schemas.openxmlformats.org/drawingml/2006/main">
                <a:ext uri="{FF2B5EF4-FFF2-40B4-BE49-F238E27FC236}">
                  <a16:creationId xmlns:a16="http://schemas.microsoft.com/office/drawing/2014/main" id="{7CCE668D-7CEE-A99D-9683-CC4C35A00D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function&#10;&#10;Description automatically generated">
                      <a:extLst>
                        <a:ext uri="{FF2B5EF4-FFF2-40B4-BE49-F238E27FC236}">
                          <a16:creationId xmlns:a16="http://schemas.microsoft.com/office/drawing/2014/main" id="{7CCE668D-7CEE-A99D-9683-CC4C35A00DF5}"/>
                        </a:ext>
                      </a:extLst>
                    </pic:cNvPr>
                    <pic:cNvPicPr>
                      <a:picLocks noChangeAspect="1"/>
                    </pic:cNvPicPr>
                  </pic:nvPicPr>
                  <pic:blipFill>
                    <a:blip r:embed="rId12"/>
                    <a:stretch>
                      <a:fillRect/>
                    </a:stretch>
                  </pic:blipFill>
                  <pic:spPr>
                    <a:xfrm>
                      <a:off x="0" y="0"/>
                      <a:ext cx="3397999" cy="3334376"/>
                    </a:xfrm>
                    <a:prstGeom prst="rect">
                      <a:avLst/>
                    </a:prstGeom>
                  </pic:spPr>
                </pic:pic>
              </a:graphicData>
            </a:graphic>
          </wp:inline>
        </w:drawing>
      </w:r>
    </w:p>
    <w:p w14:paraId="283346F3" w14:textId="709FA433" w:rsidR="006F4FFE" w:rsidRDefault="006F4FFE" w:rsidP="006F4FFE">
      <w:pPr>
        <w:pStyle w:val="Caption"/>
      </w:pPr>
      <w:bookmarkStart w:id="13" w:name="_Ref142831193"/>
      <w:r>
        <w:t xml:space="preserve">Figure </w:t>
      </w:r>
      <w:r>
        <w:fldChar w:fldCharType="begin"/>
      </w:r>
      <w:r>
        <w:instrText xml:space="preserve"> SEQ Figure \* ARABIC </w:instrText>
      </w:r>
      <w:r>
        <w:fldChar w:fldCharType="separate"/>
      </w:r>
      <w:r>
        <w:rPr>
          <w:noProof/>
        </w:rPr>
        <w:t>4</w:t>
      </w:r>
      <w:r>
        <w:fldChar w:fldCharType="end"/>
      </w:r>
      <w:bookmarkEnd w:id="13"/>
      <w:r>
        <w:t xml:space="preserve"> Flow Diagram of Search Algorithm</w:t>
      </w:r>
    </w:p>
    <w:p w14:paraId="17102C10" w14:textId="18EFD922" w:rsidR="00CF68E5" w:rsidRDefault="00CF68E5" w:rsidP="00CF68E5">
      <w:pPr>
        <w:pStyle w:val="Heading4"/>
      </w:pPr>
      <w:r>
        <w:t>Production Function Results</w:t>
      </w:r>
    </w:p>
    <w:tbl>
      <w:tblPr>
        <w:tblW w:w="4800" w:type="dxa"/>
        <w:tblLook w:val="04A0" w:firstRow="1" w:lastRow="0" w:firstColumn="1" w:lastColumn="0" w:noHBand="0" w:noVBand="1"/>
      </w:tblPr>
      <w:tblGrid>
        <w:gridCol w:w="999"/>
        <w:gridCol w:w="960"/>
        <w:gridCol w:w="960"/>
        <w:gridCol w:w="960"/>
        <w:gridCol w:w="1024"/>
      </w:tblGrid>
      <w:tr w:rsidR="00CF68E5" w:rsidRPr="00CF68E5" w14:paraId="2864F264" w14:textId="77777777" w:rsidTr="00CF68E5">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F581F43" w14:textId="77777777" w:rsidR="00CF68E5" w:rsidRPr="00CF68E5" w:rsidRDefault="00CF68E5" w:rsidP="00CF68E5">
            <w:pPr>
              <w:spacing w:after="0" w:line="240" w:lineRule="auto"/>
              <w:rPr>
                <w:rFonts w:eastAsia="Times New Roman"/>
                <w:b/>
                <w:bCs/>
                <w:color w:val="000000"/>
              </w:rPr>
            </w:pPr>
            <w:r w:rsidRPr="00CF68E5">
              <w:rPr>
                <w:rFonts w:eastAsia="Times New Roman"/>
                <w:b/>
                <w:bCs/>
                <w:color w:val="000000"/>
              </w:rPr>
              <w:t>Sector</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52B431F8" w14:textId="77777777" w:rsidR="00CF68E5" w:rsidRPr="00CF68E5" w:rsidRDefault="00CF68E5" w:rsidP="00CF68E5">
            <w:pPr>
              <w:spacing w:after="0" w:line="240" w:lineRule="auto"/>
              <w:rPr>
                <w:rFonts w:eastAsia="Times New Roman"/>
                <w:b/>
                <w:bCs/>
                <w:color w:val="000000"/>
              </w:rPr>
            </w:pPr>
            <w:r w:rsidRPr="00CF68E5">
              <w:rPr>
                <w:rFonts w:eastAsia="Times New Roman"/>
                <w:b/>
                <w:bCs/>
                <w:color w:val="000000"/>
              </w:rPr>
              <w:t>A</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65EDCEC2" w14:textId="77777777" w:rsidR="00CF68E5" w:rsidRPr="00CF68E5" w:rsidRDefault="00CF68E5" w:rsidP="00CF68E5">
            <w:pPr>
              <w:spacing w:after="0" w:line="240" w:lineRule="auto"/>
              <w:rPr>
                <w:rFonts w:eastAsia="Times New Roman"/>
                <w:b/>
                <w:bCs/>
                <w:color w:val="000000"/>
              </w:rPr>
            </w:pPr>
            <w:r w:rsidRPr="00CF68E5">
              <w:rPr>
                <w:rFonts w:eastAsia="Times New Roman"/>
                <w:b/>
                <w:bCs/>
                <w:color w:val="000000"/>
              </w:rPr>
              <w:t>Alpha</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6F21D63E" w14:textId="77777777" w:rsidR="00CF68E5" w:rsidRPr="00CF68E5" w:rsidRDefault="00CF68E5" w:rsidP="00CF68E5">
            <w:pPr>
              <w:spacing w:after="0" w:line="240" w:lineRule="auto"/>
              <w:rPr>
                <w:rFonts w:eastAsia="Times New Roman"/>
                <w:b/>
                <w:bCs/>
                <w:color w:val="000000"/>
              </w:rPr>
            </w:pPr>
            <w:r w:rsidRPr="00CF68E5">
              <w:rPr>
                <w:rFonts w:eastAsia="Times New Roman"/>
                <w:b/>
                <w:bCs/>
                <w:color w:val="000000"/>
              </w:rPr>
              <w:t>Beta</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00250CB3" w14:textId="77777777" w:rsidR="00CF68E5" w:rsidRPr="00CF68E5" w:rsidRDefault="00CF68E5" w:rsidP="00CF68E5">
            <w:pPr>
              <w:spacing w:after="0" w:line="240" w:lineRule="auto"/>
              <w:rPr>
                <w:rFonts w:eastAsia="Times New Roman"/>
                <w:b/>
                <w:bCs/>
                <w:color w:val="000000"/>
              </w:rPr>
            </w:pPr>
            <w:r w:rsidRPr="00CF68E5">
              <w:rPr>
                <w:rFonts w:eastAsia="Times New Roman"/>
                <w:b/>
                <w:bCs/>
                <w:color w:val="000000"/>
              </w:rPr>
              <w:t>Gamma</w:t>
            </w:r>
          </w:p>
        </w:tc>
      </w:tr>
      <w:tr w:rsidR="00CF68E5" w:rsidRPr="00CF68E5" w14:paraId="748E7E4E"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43B3A51F"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A01</w:t>
            </w:r>
          </w:p>
        </w:tc>
        <w:tc>
          <w:tcPr>
            <w:tcW w:w="960" w:type="dxa"/>
            <w:tcBorders>
              <w:top w:val="nil"/>
              <w:left w:val="nil"/>
              <w:bottom w:val="single" w:sz="4" w:space="0" w:color="auto"/>
              <w:right w:val="single" w:sz="4" w:space="0" w:color="auto"/>
            </w:tcBorders>
            <w:shd w:val="clear" w:color="000000" w:fill="FFFFFF"/>
            <w:noWrap/>
            <w:vAlign w:val="bottom"/>
            <w:hideMark/>
          </w:tcPr>
          <w:p w14:paraId="5DD2605D"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3.91</w:t>
            </w:r>
          </w:p>
        </w:tc>
        <w:tc>
          <w:tcPr>
            <w:tcW w:w="960" w:type="dxa"/>
            <w:tcBorders>
              <w:top w:val="nil"/>
              <w:left w:val="nil"/>
              <w:bottom w:val="single" w:sz="4" w:space="0" w:color="auto"/>
              <w:right w:val="single" w:sz="4" w:space="0" w:color="auto"/>
            </w:tcBorders>
            <w:shd w:val="clear" w:color="000000" w:fill="FFFFFF"/>
            <w:noWrap/>
            <w:vAlign w:val="bottom"/>
            <w:hideMark/>
          </w:tcPr>
          <w:p w14:paraId="6AC7C246"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0.41</w:t>
            </w:r>
          </w:p>
        </w:tc>
        <w:tc>
          <w:tcPr>
            <w:tcW w:w="960" w:type="dxa"/>
            <w:tcBorders>
              <w:top w:val="nil"/>
              <w:left w:val="nil"/>
              <w:bottom w:val="single" w:sz="4" w:space="0" w:color="auto"/>
              <w:right w:val="single" w:sz="4" w:space="0" w:color="auto"/>
            </w:tcBorders>
            <w:shd w:val="clear" w:color="000000" w:fill="FFFFFF"/>
            <w:noWrap/>
            <w:vAlign w:val="bottom"/>
            <w:hideMark/>
          </w:tcPr>
          <w:p w14:paraId="0C74E641"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0.11</w:t>
            </w:r>
          </w:p>
        </w:tc>
        <w:tc>
          <w:tcPr>
            <w:tcW w:w="960" w:type="dxa"/>
            <w:tcBorders>
              <w:top w:val="nil"/>
              <w:left w:val="nil"/>
              <w:bottom w:val="single" w:sz="4" w:space="0" w:color="auto"/>
              <w:right w:val="single" w:sz="4" w:space="0" w:color="auto"/>
            </w:tcBorders>
            <w:shd w:val="clear" w:color="000000" w:fill="FFFFFF"/>
            <w:noWrap/>
            <w:vAlign w:val="bottom"/>
            <w:hideMark/>
          </w:tcPr>
          <w:p w14:paraId="7BB1F199"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0.48</w:t>
            </w:r>
          </w:p>
        </w:tc>
      </w:tr>
      <w:tr w:rsidR="00CF68E5" w:rsidRPr="00CF68E5" w14:paraId="7829FA50"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19905CC4"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A02</w:t>
            </w:r>
          </w:p>
        </w:tc>
        <w:tc>
          <w:tcPr>
            <w:tcW w:w="960" w:type="dxa"/>
            <w:tcBorders>
              <w:top w:val="nil"/>
              <w:left w:val="nil"/>
              <w:bottom w:val="single" w:sz="4" w:space="0" w:color="auto"/>
              <w:right w:val="single" w:sz="4" w:space="0" w:color="auto"/>
            </w:tcBorders>
            <w:shd w:val="clear" w:color="000000" w:fill="FFFFFF"/>
            <w:noWrap/>
            <w:vAlign w:val="bottom"/>
            <w:hideMark/>
          </w:tcPr>
          <w:p w14:paraId="52438A5E"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4.96</w:t>
            </w:r>
          </w:p>
        </w:tc>
        <w:tc>
          <w:tcPr>
            <w:tcW w:w="960" w:type="dxa"/>
            <w:tcBorders>
              <w:top w:val="nil"/>
              <w:left w:val="nil"/>
              <w:bottom w:val="single" w:sz="4" w:space="0" w:color="auto"/>
              <w:right w:val="single" w:sz="4" w:space="0" w:color="auto"/>
            </w:tcBorders>
            <w:shd w:val="clear" w:color="000000" w:fill="FFFFFF"/>
            <w:noWrap/>
            <w:vAlign w:val="bottom"/>
            <w:hideMark/>
          </w:tcPr>
          <w:p w14:paraId="042016B6"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0.19</w:t>
            </w:r>
          </w:p>
        </w:tc>
        <w:tc>
          <w:tcPr>
            <w:tcW w:w="960" w:type="dxa"/>
            <w:tcBorders>
              <w:top w:val="nil"/>
              <w:left w:val="nil"/>
              <w:bottom w:val="single" w:sz="4" w:space="0" w:color="auto"/>
              <w:right w:val="single" w:sz="4" w:space="0" w:color="auto"/>
            </w:tcBorders>
            <w:shd w:val="clear" w:color="000000" w:fill="FFFFFF"/>
            <w:noWrap/>
            <w:vAlign w:val="bottom"/>
            <w:hideMark/>
          </w:tcPr>
          <w:p w14:paraId="5E14006F"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0.35</w:t>
            </w:r>
          </w:p>
        </w:tc>
        <w:tc>
          <w:tcPr>
            <w:tcW w:w="960" w:type="dxa"/>
            <w:tcBorders>
              <w:top w:val="nil"/>
              <w:left w:val="nil"/>
              <w:bottom w:val="single" w:sz="4" w:space="0" w:color="auto"/>
              <w:right w:val="single" w:sz="4" w:space="0" w:color="auto"/>
            </w:tcBorders>
            <w:shd w:val="clear" w:color="000000" w:fill="FFFFFF"/>
            <w:noWrap/>
            <w:vAlign w:val="bottom"/>
            <w:hideMark/>
          </w:tcPr>
          <w:p w14:paraId="406184A1"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0.46</w:t>
            </w:r>
          </w:p>
        </w:tc>
      </w:tr>
      <w:tr w:rsidR="00CF68E5" w:rsidRPr="00CF68E5" w14:paraId="38B9A62E"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7D74C97E"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A03</w:t>
            </w:r>
          </w:p>
        </w:tc>
        <w:tc>
          <w:tcPr>
            <w:tcW w:w="960" w:type="dxa"/>
            <w:tcBorders>
              <w:top w:val="nil"/>
              <w:left w:val="nil"/>
              <w:bottom w:val="single" w:sz="4" w:space="0" w:color="auto"/>
              <w:right w:val="single" w:sz="4" w:space="0" w:color="auto"/>
            </w:tcBorders>
            <w:shd w:val="clear" w:color="000000" w:fill="FFFFFF"/>
            <w:noWrap/>
            <w:vAlign w:val="bottom"/>
            <w:hideMark/>
          </w:tcPr>
          <w:p w14:paraId="0462DF7D"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29.92</w:t>
            </w:r>
          </w:p>
        </w:tc>
        <w:tc>
          <w:tcPr>
            <w:tcW w:w="960" w:type="dxa"/>
            <w:tcBorders>
              <w:top w:val="nil"/>
              <w:left w:val="nil"/>
              <w:bottom w:val="single" w:sz="4" w:space="0" w:color="auto"/>
              <w:right w:val="single" w:sz="4" w:space="0" w:color="auto"/>
            </w:tcBorders>
            <w:shd w:val="clear" w:color="000000" w:fill="FFFFFF"/>
            <w:noWrap/>
            <w:vAlign w:val="bottom"/>
            <w:hideMark/>
          </w:tcPr>
          <w:p w14:paraId="6024637F"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0.41</w:t>
            </w:r>
          </w:p>
        </w:tc>
        <w:tc>
          <w:tcPr>
            <w:tcW w:w="960" w:type="dxa"/>
            <w:tcBorders>
              <w:top w:val="nil"/>
              <w:left w:val="nil"/>
              <w:bottom w:val="single" w:sz="4" w:space="0" w:color="auto"/>
              <w:right w:val="single" w:sz="4" w:space="0" w:color="auto"/>
            </w:tcBorders>
            <w:shd w:val="clear" w:color="000000" w:fill="FFFFFF"/>
            <w:noWrap/>
            <w:vAlign w:val="bottom"/>
            <w:hideMark/>
          </w:tcPr>
          <w:p w14:paraId="6F09FBF7"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14:paraId="6D142418"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0.58</w:t>
            </w:r>
          </w:p>
        </w:tc>
      </w:tr>
      <w:tr w:rsidR="00CF68E5" w:rsidRPr="00CF68E5" w14:paraId="7C2B604B"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4528F71F"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B</w:t>
            </w:r>
          </w:p>
        </w:tc>
        <w:tc>
          <w:tcPr>
            <w:tcW w:w="960" w:type="dxa"/>
            <w:tcBorders>
              <w:top w:val="nil"/>
              <w:left w:val="nil"/>
              <w:bottom w:val="single" w:sz="4" w:space="0" w:color="auto"/>
              <w:right w:val="single" w:sz="4" w:space="0" w:color="auto"/>
            </w:tcBorders>
            <w:shd w:val="clear" w:color="000000" w:fill="FFFFFF"/>
            <w:noWrap/>
            <w:vAlign w:val="bottom"/>
            <w:hideMark/>
          </w:tcPr>
          <w:p w14:paraId="4F9D33E2"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3.04</w:t>
            </w:r>
          </w:p>
        </w:tc>
        <w:tc>
          <w:tcPr>
            <w:tcW w:w="960" w:type="dxa"/>
            <w:tcBorders>
              <w:top w:val="nil"/>
              <w:left w:val="nil"/>
              <w:bottom w:val="single" w:sz="4" w:space="0" w:color="auto"/>
              <w:right w:val="single" w:sz="4" w:space="0" w:color="auto"/>
            </w:tcBorders>
            <w:shd w:val="clear" w:color="000000" w:fill="FFFFFF"/>
            <w:noWrap/>
            <w:vAlign w:val="bottom"/>
            <w:hideMark/>
          </w:tcPr>
          <w:p w14:paraId="5CDC33DA"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0.67</w:t>
            </w:r>
          </w:p>
        </w:tc>
        <w:tc>
          <w:tcPr>
            <w:tcW w:w="960" w:type="dxa"/>
            <w:tcBorders>
              <w:top w:val="nil"/>
              <w:left w:val="nil"/>
              <w:bottom w:val="single" w:sz="4" w:space="0" w:color="auto"/>
              <w:right w:val="single" w:sz="4" w:space="0" w:color="auto"/>
            </w:tcBorders>
            <w:shd w:val="clear" w:color="000000" w:fill="FFFFFF"/>
            <w:noWrap/>
            <w:vAlign w:val="bottom"/>
            <w:hideMark/>
          </w:tcPr>
          <w:p w14:paraId="06BE085E"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0.12</w:t>
            </w:r>
          </w:p>
        </w:tc>
        <w:tc>
          <w:tcPr>
            <w:tcW w:w="960" w:type="dxa"/>
            <w:tcBorders>
              <w:top w:val="nil"/>
              <w:left w:val="nil"/>
              <w:bottom w:val="single" w:sz="4" w:space="0" w:color="auto"/>
              <w:right w:val="single" w:sz="4" w:space="0" w:color="auto"/>
            </w:tcBorders>
            <w:shd w:val="clear" w:color="000000" w:fill="FFFFFF"/>
            <w:noWrap/>
            <w:vAlign w:val="bottom"/>
            <w:hideMark/>
          </w:tcPr>
          <w:p w14:paraId="4353AD47"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0.22</w:t>
            </w:r>
          </w:p>
        </w:tc>
      </w:tr>
      <w:tr w:rsidR="00CF68E5" w:rsidRPr="00CF68E5" w14:paraId="28B1C95D"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271A25D8"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C10T12</w:t>
            </w:r>
          </w:p>
        </w:tc>
        <w:tc>
          <w:tcPr>
            <w:tcW w:w="960" w:type="dxa"/>
            <w:tcBorders>
              <w:top w:val="nil"/>
              <w:left w:val="nil"/>
              <w:bottom w:val="single" w:sz="4" w:space="0" w:color="auto"/>
              <w:right w:val="single" w:sz="4" w:space="0" w:color="auto"/>
            </w:tcBorders>
            <w:shd w:val="clear" w:color="000000" w:fill="FFFFFF"/>
            <w:noWrap/>
            <w:vAlign w:val="bottom"/>
            <w:hideMark/>
          </w:tcPr>
          <w:p w14:paraId="312A880A"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7.23</w:t>
            </w:r>
          </w:p>
        </w:tc>
        <w:tc>
          <w:tcPr>
            <w:tcW w:w="960" w:type="dxa"/>
            <w:tcBorders>
              <w:top w:val="nil"/>
              <w:left w:val="nil"/>
              <w:bottom w:val="single" w:sz="4" w:space="0" w:color="auto"/>
              <w:right w:val="single" w:sz="4" w:space="0" w:color="auto"/>
            </w:tcBorders>
            <w:shd w:val="clear" w:color="000000" w:fill="FFFFFF"/>
            <w:noWrap/>
            <w:vAlign w:val="bottom"/>
            <w:hideMark/>
          </w:tcPr>
          <w:p w14:paraId="47B1C6CB"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0.7</w:t>
            </w:r>
          </w:p>
        </w:tc>
        <w:tc>
          <w:tcPr>
            <w:tcW w:w="960" w:type="dxa"/>
            <w:tcBorders>
              <w:top w:val="nil"/>
              <w:left w:val="nil"/>
              <w:bottom w:val="single" w:sz="4" w:space="0" w:color="auto"/>
              <w:right w:val="single" w:sz="4" w:space="0" w:color="auto"/>
            </w:tcBorders>
            <w:shd w:val="clear" w:color="000000" w:fill="FFFFFF"/>
            <w:noWrap/>
            <w:vAlign w:val="bottom"/>
            <w:hideMark/>
          </w:tcPr>
          <w:p w14:paraId="0A242773"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0.03</w:t>
            </w:r>
          </w:p>
        </w:tc>
        <w:tc>
          <w:tcPr>
            <w:tcW w:w="960" w:type="dxa"/>
            <w:tcBorders>
              <w:top w:val="nil"/>
              <w:left w:val="nil"/>
              <w:bottom w:val="single" w:sz="4" w:space="0" w:color="auto"/>
              <w:right w:val="single" w:sz="4" w:space="0" w:color="auto"/>
            </w:tcBorders>
            <w:shd w:val="clear" w:color="000000" w:fill="FFFFFF"/>
            <w:noWrap/>
            <w:vAlign w:val="bottom"/>
            <w:hideMark/>
          </w:tcPr>
          <w:p w14:paraId="280A281E"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0.27</w:t>
            </w:r>
          </w:p>
        </w:tc>
      </w:tr>
      <w:tr w:rsidR="00CF68E5" w:rsidRPr="00CF68E5" w14:paraId="08B25A84"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4786ACAE"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C13T15</w:t>
            </w:r>
          </w:p>
        </w:tc>
        <w:tc>
          <w:tcPr>
            <w:tcW w:w="960" w:type="dxa"/>
            <w:tcBorders>
              <w:top w:val="nil"/>
              <w:left w:val="nil"/>
              <w:bottom w:val="single" w:sz="4" w:space="0" w:color="auto"/>
              <w:right w:val="single" w:sz="4" w:space="0" w:color="auto"/>
            </w:tcBorders>
            <w:shd w:val="clear" w:color="000000" w:fill="FFFFFF"/>
            <w:noWrap/>
            <w:vAlign w:val="bottom"/>
            <w:hideMark/>
          </w:tcPr>
          <w:p w14:paraId="149B7C62"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8.06</w:t>
            </w:r>
          </w:p>
        </w:tc>
        <w:tc>
          <w:tcPr>
            <w:tcW w:w="960" w:type="dxa"/>
            <w:tcBorders>
              <w:top w:val="nil"/>
              <w:left w:val="nil"/>
              <w:bottom w:val="single" w:sz="4" w:space="0" w:color="auto"/>
              <w:right w:val="single" w:sz="4" w:space="0" w:color="auto"/>
            </w:tcBorders>
            <w:shd w:val="clear" w:color="000000" w:fill="FFFFFF"/>
            <w:noWrap/>
            <w:vAlign w:val="bottom"/>
            <w:hideMark/>
          </w:tcPr>
          <w:p w14:paraId="2BFF8808"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0.75</w:t>
            </w:r>
          </w:p>
        </w:tc>
        <w:tc>
          <w:tcPr>
            <w:tcW w:w="960" w:type="dxa"/>
            <w:tcBorders>
              <w:top w:val="nil"/>
              <w:left w:val="nil"/>
              <w:bottom w:val="single" w:sz="4" w:space="0" w:color="auto"/>
              <w:right w:val="single" w:sz="4" w:space="0" w:color="auto"/>
            </w:tcBorders>
            <w:shd w:val="clear" w:color="000000" w:fill="FFFFFF"/>
            <w:noWrap/>
            <w:vAlign w:val="bottom"/>
            <w:hideMark/>
          </w:tcPr>
          <w:p w14:paraId="051258E0"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0.18</w:t>
            </w:r>
          </w:p>
        </w:tc>
        <w:tc>
          <w:tcPr>
            <w:tcW w:w="960" w:type="dxa"/>
            <w:tcBorders>
              <w:top w:val="nil"/>
              <w:left w:val="nil"/>
              <w:bottom w:val="single" w:sz="4" w:space="0" w:color="auto"/>
              <w:right w:val="single" w:sz="4" w:space="0" w:color="auto"/>
            </w:tcBorders>
            <w:shd w:val="clear" w:color="000000" w:fill="FFFFFF"/>
            <w:noWrap/>
            <w:vAlign w:val="bottom"/>
            <w:hideMark/>
          </w:tcPr>
          <w:p w14:paraId="2BE8452B"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0.06</w:t>
            </w:r>
          </w:p>
        </w:tc>
      </w:tr>
      <w:tr w:rsidR="00CF68E5" w:rsidRPr="00CF68E5" w14:paraId="5E1D3F88"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3D472FE7"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C16</w:t>
            </w:r>
          </w:p>
        </w:tc>
        <w:tc>
          <w:tcPr>
            <w:tcW w:w="960" w:type="dxa"/>
            <w:tcBorders>
              <w:top w:val="nil"/>
              <w:left w:val="nil"/>
              <w:bottom w:val="single" w:sz="4" w:space="0" w:color="auto"/>
              <w:right w:val="single" w:sz="4" w:space="0" w:color="auto"/>
            </w:tcBorders>
            <w:shd w:val="clear" w:color="000000" w:fill="FFFFFF"/>
            <w:noWrap/>
            <w:vAlign w:val="bottom"/>
            <w:hideMark/>
          </w:tcPr>
          <w:p w14:paraId="6F05825D"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3.3</w:t>
            </w:r>
          </w:p>
        </w:tc>
        <w:tc>
          <w:tcPr>
            <w:tcW w:w="960" w:type="dxa"/>
            <w:tcBorders>
              <w:top w:val="nil"/>
              <w:left w:val="nil"/>
              <w:bottom w:val="single" w:sz="4" w:space="0" w:color="auto"/>
              <w:right w:val="single" w:sz="4" w:space="0" w:color="auto"/>
            </w:tcBorders>
            <w:shd w:val="clear" w:color="000000" w:fill="FFFFFF"/>
            <w:noWrap/>
            <w:vAlign w:val="bottom"/>
            <w:hideMark/>
          </w:tcPr>
          <w:p w14:paraId="416714A2"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0.88</w:t>
            </w:r>
          </w:p>
        </w:tc>
        <w:tc>
          <w:tcPr>
            <w:tcW w:w="960" w:type="dxa"/>
            <w:tcBorders>
              <w:top w:val="nil"/>
              <w:left w:val="nil"/>
              <w:bottom w:val="single" w:sz="4" w:space="0" w:color="auto"/>
              <w:right w:val="single" w:sz="4" w:space="0" w:color="auto"/>
            </w:tcBorders>
            <w:shd w:val="clear" w:color="000000" w:fill="FFFFFF"/>
            <w:noWrap/>
            <w:vAlign w:val="bottom"/>
            <w:hideMark/>
          </w:tcPr>
          <w:p w14:paraId="2A8F6597"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0.07</w:t>
            </w:r>
          </w:p>
        </w:tc>
        <w:tc>
          <w:tcPr>
            <w:tcW w:w="960" w:type="dxa"/>
            <w:tcBorders>
              <w:top w:val="nil"/>
              <w:left w:val="nil"/>
              <w:bottom w:val="single" w:sz="4" w:space="0" w:color="auto"/>
              <w:right w:val="single" w:sz="4" w:space="0" w:color="auto"/>
            </w:tcBorders>
            <w:shd w:val="clear" w:color="000000" w:fill="FFFFFF"/>
            <w:noWrap/>
            <w:vAlign w:val="bottom"/>
            <w:hideMark/>
          </w:tcPr>
          <w:p w14:paraId="5A392A6B"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0.05</w:t>
            </w:r>
          </w:p>
        </w:tc>
      </w:tr>
      <w:tr w:rsidR="00CF68E5" w:rsidRPr="00CF68E5" w14:paraId="44123551"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231B3D7E"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C17</w:t>
            </w:r>
          </w:p>
        </w:tc>
        <w:tc>
          <w:tcPr>
            <w:tcW w:w="960" w:type="dxa"/>
            <w:tcBorders>
              <w:top w:val="nil"/>
              <w:left w:val="nil"/>
              <w:bottom w:val="single" w:sz="4" w:space="0" w:color="auto"/>
              <w:right w:val="single" w:sz="4" w:space="0" w:color="auto"/>
            </w:tcBorders>
            <w:shd w:val="clear" w:color="000000" w:fill="FFFFFF"/>
            <w:noWrap/>
            <w:vAlign w:val="bottom"/>
            <w:hideMark/>
          </w:tcPr>
          <w:p w14:paraId="6712D2A1"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141.98</w:t>
            </w:r>
          </w:p>
        </w:tc>
        <w:tc>
          <w:tcPr>
            <w:tcW w:w="960" w:type="dxa"/>
            <w:tcBorders>
              <w:top w:val="nil"/>
              <w:left w:val="nil"/>
              <w:bottom w:val="single" w:sz="4" w:space="0" w:color="auto"/>
              <w:right w:val="single" w:sz="4" w:space="0" w:color="auto"/>
            </w:tcBorders>
            <w:shd w:val="clear" w:color="000000" w:fill="FFFFFF"/>
            <w:noWrap/>
            <w:vAlign w:val="bottom"/>
            <w:hideMark/>
          </w:tcPr>
          <w:p w14:paraId="58274BBE"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0.29</w:t>
            </w:r>
          </w:p>
        </w:tc>
        <w:tc>
          <w:tcPr>
            <w:tcW w:w="960" w:type="dxa"/>
            <w:tcBorders>
              <w:top w:val="nil"/>
              <w:left w:val="nil"/>
              <w:bottom w:val="single" w:sz="4" w:space="0" w:color="auto"/>
              <w:right w:val="single" w:sz="4" w:space="0" w:color="auto"/>
            </w:tcBorders>
            <w:shd w:val="clear" w:color="000000" w:fill="FFFFFF"/>
            <w:noWrap/>
            <w:vAlign w:val="bottom"/>
            <w:hideMark/>
          </w:tcPr>
          <w:p w14:paraId="7691AF62"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0.57</w:t>
            </w:r>
          </w:p>
        </w:tc>
        <w:tc>
          <w:tcPr>
            <w:tcW w:w="960" w:type="dxa"/>
            <w:tcBorders>
              <w:top w:val="nil"/>
              <w:left w:val="nil"/>
              <w:bottom w:val="single" w:sz="4" w:space="0" w:color="auto"/>
              <w:right w:val="single" w:sz="4" w:space="0" w:color="auto"/>
            </w:tcBorders>
            <w:shd w:val="clear" w:color="000000" w:fill="FFFFFF"/>
            <w:noWrap/>
            <w:vAlign w:val="bottom"/>
            <w:hideMark/>
          </w:tcPr>
          <w:p w14:paraId="4E022A01"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0.13</w:t>
            </w:r>
          </w:p>
        </w:tc>
      </w:tr>
      <w:tr w:rsidR="00CF68E5" w:rsidRPr="00CF68E5" w14:paraId="4A78A4C2"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09942CCF"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C18</w:t>
            </w:r>
          </w:p>
        </w:tc>
        <w:tc>
          <w:tcPr>
            <w:tcW w:w="960" w:type="dxa"/>
            <w:tcBorders>
              <w:top w:val="nil"/>
              <w:left w:val="nil"/>
              <w:bottom w:val="single" w:sz="4" w:space="0" w:color="auto"/>
              <w:right w:val="single" w:sz="4" w:space="0" w:color="auto"/>
            </w:tcBorders>
            <w:shd w:val="clear" w:color="000000" w:fill="FFFFFF"/>
            <w:noWrap/>
            <w:vAlign w:val="bottom"/>
            <w:hideMark/>
          </w:tcPr>
          <w:p w14:paraId="1487C683"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2.88</w:t>
            </w:r>
          </w:p>
        </w:tc>
        <w:tc>
          <w:tcPr>
            <w:tcW w:w="960" w:type="dxa"/>
            <w:tcBorders>
              <w:top w:val="nil"/>
              <w:left w:val="nil"/>
              <w:bottom w:val="single" w:sz="4" w:space="0" w:color="auto"/>
              <w:right w:val="single" w:sz="4" w:space="0" w:color="auto"/>
            </w:tcBorders>
            <w:shd w:val="clear" w:color="000000" w:fill="FFFFFF"/>
            <w:noWrap/>
            <w:vAlign w:val="bottom"/>
            <w:hideMark/>
          </w:tcPr>
          <w:p w14:paraId="37D743BE"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0.59</w:t>
            </w:r>
          </w:p>
        </w:tc>
        <w:tc>
          <w:tcPr>
            <w:tcW w:w="960" w:type="dxa"/>
            <w:tcBorders>
              <w:top w:val="nil"/>
              <w:left w:val="nil"/>
              <w:bottom w:val="single" w:sz="4" w:space="0" w:color="auto"/>
              <w:right w:val="single" w:sz="4" w:space="0" w:color="auto"/>
            </w:tcBorders>
            <w:shd w:val="clear" w:color="000000" w:fill="FFFFFF"/>
            <w:noWrap/>
            <w:vAlign w:val="bottom"/>
            <w:hideMark/>
          </w:tcPr>
          <w:p w14:paraId="584E93AF"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0.26</w:t>
            </w:r>
          </w:p>
        </w:tc>
        <w:tc>
          <w:tcPr>
            <w:tcW w:w="960" w:type="dxa"/>
            <w:tcBorders>
              <w:top w:val="nil"/>
              <w:left w:val="nil"/>
              <w:bottom w:val="single" w:sz="4" w:space="0" w:color="auto"/>
              <w:right w:val="single" w:sz="4" w:space="0" w:color="auto"/>
            </w:tcBorders>
            <w:shd w:val="clear" w:color="000000" w:fill="FFFFFF"/>
            <w:noWrap/>
            <w:vAlign w:val="bottom"/>
            <w:hideMark/>
          </w:tcPr>
          <w:p w14:paraId="59847B3C"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0.15</w:t>
            </w:r>
          </w:p>
        </w:tc>
      </w:tr>
      <w:tr w:rsidR="00CF68E5" w:rsidRPr="00CF68E5" w14:paraId="7C415C40"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115578E7"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C19</w:t>
            </w:r>
          </w:p>
        </w:tc>
        <w:tc>
          <w:tcPr>
            <w:tcW w:w="960" w:type="dxa"/>
            <w:tcBorders>
              <w:top w:val="nil"/>
              <w:left w:val="nil"/>
              <w:bottom w:val="single" w:sz="4" w:space="0" w:color="auto"/>
              <w:right w:val="single" w:sz="4" w:space="0" w:color="auto"/>
            </w:tcBorders>
            <w:shd w:val="clear" w:color="000000" w:fill="FFFFFF"/>
            <w:noWrap/>
            <w:vAlign w:val="bottom"/>
            <w:hideMark/>
          </w:tcPr>
          <w:p w14:paraId="170BE1E7"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3.6</w:t>
            </w:r>
          </w:p>
        </w:tc>
        <w:tc>
          <w:tcPr>
            <w:tcW w:w="960" w:type="dxa"/>
            <w:tcBorders>
              <w:top w:val="nil"/>
              <w:left w:val="nil"/>
              <w:bottom w:val="single" w:sz="4" w:space="0" w:color="auto"/>
              <w:right w:val="single" w:sz="4" w:space="0" w:color="auto"/>
            </w:tcBorders>
            <w:shd w:val="clear" w:color="000000" w:fill="FFFFFF"/>
            <w:noWrap/>
            <w:vAlign w:val="bottom"/>
            <w:hideMark/>
          </w:tcPr>
          <w:p w14:paraId="3DE6264C"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0.7</w:t>
            </w:r>
          </w:p>
        </w:tc>
        <w:tc>
          <w:tcPr>
            <w:tcW w:w="960" w:type="dxa"/>
            <w:tcBorders>
              <w:top w:val="nil"/>
              <w:left w:val="nil"/>
              <w:bottom w:val="single" w:sz="4" w:space="0" w:color="auto"/>
              <w:right w:val="single" w:sz="4" w:space="0" w:color="auto"/>
            </w:tcBorders>
            <w:shd w:val="clear" w:color="000000" w:fill="FFFFFF"/>
            <w:noWrap/>
            <w:vAlign w:val="bottom"/>
            <w:hideMark/>
          </w:tcPr>
          <w:p w14:paraId="4158011C"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0.07</w:t>
            </w:r>
          </w:p>
        </w:tc>
        <w:tc>
          <w:tcPr>
            <w:tcW w:w="960" w:type="dxa"/>
            <w:tcBorders>
              <w:top w:val="nil"/>
              <w:left w:val="nil"/>
              <w:bottom w:val="single" w:sz="4" w:space="0" w:color="auto"/>
              <w:right w:val="single" w:sz="4" w:space="0" w:color="auto"/>
            </w:tcBorders>
            <w:shd w:val="clear" w:color="000000" w:fill="FFFFFF"/>
            <w:noWrap/>
            <w:vAlign w:val="bottom"/>
            <w:hideMark/>
          </w:tcPr>
          <w:p w14:paraId="682F5E4B"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0.23</w:t>
            </w:r>
          </w:p>
        </w:tc>
      </w:tr>
      <w:tr w:rsidR="00CF68E5" w:rsidRPr="00CF68E5" w14:paraId="268DDE55"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727D10DD"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C20</w:t>
            </w:r>
          </w:p>
        </w:tc>
        <w:tc>
          <w:tcPr>
            <w:tcW w:w="960" w:type="dxa"/>
            <w:tcBorders>
              <w:top w:val="nil"/>
              <w:left w:val="nil"/>
              <w:bottom w:val="single" w:sz="4" w:space="0" w:color="auto"/>
              <w:right w:val="single" w:sz="4" w:space="0" w:color="auto"/>
            </w:tcBorders>
            <w:shd w:val="clear" w:color="000000" w:fill="FFFFFF"/>
            <w:noWrap/>
            <w:vAlign w:val="bottom"/>
            <w:hideMark/>
          </w:tcPr>
          <w:p w14:paraId="42FCD3D0"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4.82</w:t>
            </w:r>
          </w:p>
        </w:tc>
        <w:tc>
          <w:tcPr>
            <w:tcW w:w="960" w:type="dxa"/>
            <w:tcBorders>
              <w:top w:val="nil"/>
              <w:left w:val="nil"/>
              <w:bottom w:val="single" w:sz="4" w:space="0" w:color="auto"/>
              <w:right w:val="single" w:sz="4" w:space="0" w:color="auto"/>
            </w:tcBorders>
            <w:shd w:val="clear" w:color="000000" w:fill="FFFFFF"/>
            <w:noWrap/>
            <w:vAlign w:val="bottom"/>
            <w:hideMark/>
          </w:tcPr>
          <w:p w14:paraId="7856B132"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0.81</w:t>
            </w:r>
          </w:p>
        </w:tc>
        <w:tc>
          <w:tcPr>
            <w:tcW w:w="960" w:type="dxa"/>
            <w:tcBorders>
              <w:top w:val="nil"/>
              <w:left w:val="nil"/>
              <w:bottom w:val="single" w:sz="4" w:space="0" w:color="auto"/>
              <w:right w:val="single" w:sz="4" w:space="0" w:color="auto"/>
            </w:tcBorders>
            <w:shd w:val="clear" w:color="000000" w:fill="FFFFFF"/>
            <w:noWrap/>
            <w:vAlign w:val="bottom"/>
            <w:hideMark/>
          </w:tcPr>
          <w:p w14:paraId="30D8B4D0"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0.13</w:t>
            </w:r>
          </w:p>
        </w:tc>
        <w:tc>
          <w:tcPr>
            <w:tcW w:w="960" w:type="dxa"/>
            <w:tcBorders>
              <w:top w:val="nil"/>
              <w:left w:val="nil"/>
              <w:bottom w:val="single" w:sz="4" w:space="0" w:color="auto"/>
              <w:right w:val="single" w:sz="4" w:space="0" w:color="auto"/>
            </w:tcBorders>
            <w:shd w:val="clear" w:color="000000" w:fill="FFFFFF"/>
            <w:noWrap/>
            <w:vAlign w:val="bottom"/>
            <w:hideMark/>
          </w:tcPr>
          <w:p w14:paraId="049D6DE7"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0.06</w:t>
            </w:r>
          </w:p>
        </w:tc>
      </w:tr>
      <w:tr w:rsidR="00CF68E5" w:rsidRPr="00CF68E5" w14:paraId="188D2352"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2B972B30"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C21</w:t>
            </w:r>
          </w:p>
        </w:tc>
        <w:tc>
          <w:tcPr>
            <w:tcW w:w="960" w:type="dxa"/>
            <w:tcBorders>
              <w:top w:val="nil"/>
              <w:left w:val="nil"/>
              <w:bottom w:val="single" w:sz="4" w:space="0" w:color="auto"/>
              <w:right w:val="single" w:sz="4" w:space="0" w:color="auto"/>
            </w:tcBorders>
            <w:shd w:val="clear" w:color="000000" w:fill="FFFFFF"/>
            <w:noWrap/>
            <w:vAlign w:val="bottom"/>
            <w:hideMark/>
          </w:tcPr>
          <w:p w14:paraId="61608EC7"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84.22</w:t>
            </w:r>
          </w:p>
        </w:tc>
        <w:tc>
          <w:tcPr>
            <w:tcW w:w="960" w:type="dxa"/>
            <w:tcBorders>
              <w:top w:val="nil"/>
              <w:left w:val="nil"/>
              <w:bottom w:val="single" w:sz="4" w:space="0" w:color="auto"/>
              <w:right w:val="single" w:sz="4" w:space="0" w:color="auto"/>
            </w:tcBorders>
            <w:shd w:val="clear" w:color="000000" w:fill="FFFFFF"/>
            <w:noWrap/>
            <w:vAlign w:val="bottom"/>
            <w:hideMark/>
          </w:tcPr>
          <w:p w14:paraId="505246ED"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0.41</w:t>
            </w:r>
          </w:p>
        </w:tc>
        <w:tc>
          <w:tcPr>
            <w:tcW w:w="960" w:type="dxa"/>
            <w:tcBorders>
              <w:top w:val="nil"/>
              <w:left w:val="nil"/>
              <w:bottom w:val="single" w:sz="4" w:space="0" w:color="auto"/>
              <w:right w:val="single" w:sz="4" w:space="0" w:color="auto"/>
            </w:tcBorders>
            <w:shd w:val="clear" w:color="000000" w:fill="FFFFFF"/>
            <w:noWrap/>
            <w:vAlign w:val="bottom"/>
            <w:hideMark/>
          </w:tcPr>
          <w:p w14:paraId="7F77DBBE"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0.49</w:t>
            </w:r>
          </w:p>
        </w:tc>
        <w:tc>
          <w:tcPr>
            <w:tcW w:w="960" w:type="dxa"/>
            <w:tcBorders>
              <w:top w:val="nil"/>
              <w:left w:val="nil"/>
              <w:bottom w:val="single" w:sz="4" w:space="0" w:color="auto"/>
              <w:right w:val="single" w:sz="4" w:space="0" w:color="auto"/>
            </w:tcBorders>
            <w:shd w:val="clear" w:color="000000" w:fill="FFFFFF"/>
            <w:noWrap/>
            <w:vAlign w:val="bottom"/>
            <w:hideMark/>
          </w:tcPr>
          <w:p w14:paraId="34360C93"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0.09</w:t>
            </w:r>
          </w:p>
        </w:tc>
      </w:tr>
      <w:tr w:rsidR="00CF68E5" w:rsidRPr="00CF68E5" w14:paraId="35D6FE10"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7990B1F0"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C22</w:t>
            </w:r>
          </w:p>
        </w:tc>
        <w:tc>
          <w:tcPr>
            <w:tcW w:w="960" w:type="dxa"/>
            <w:tcBorders>
              <w:top w:val="nil"/>
              <w:left w:val="nil"/>
              <w:bottom w:val="single" w:sz="4" w:space="0" w:color="auto"/>
              <w:right w:val="single" w:sz="4" w:space="0" w:color="auto"/>
            </w:tcBorders>
            <w:shd w:val="clear" w:color="000000" w:fill="FFFFFF"/>
            <w:noWrap/>
            <w:vAlign w:val="bottom"/>
            <w:hideMark/>
          </w:tcPr>
          <w:p w14:paraId="3F074A62"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2.56</w:t>
            </w:r>
          </w:p>
        </w:tc>
        <w:tc>
          <w:tcPr>
            <w:tcW w:w="960" w:type="dxa"/>
            <w:tcBorders>
              <w:top w:val="nil"/>
              <w:left w:val="nil"/>
              <w:bottom w:val="single" w:sz="4" w:space="0" w:color="auto"/>
              <w:right w:val="single" w:sz="4" w:space="0" w:color="auto"/>
            </w:tcBorders>
            <w:shd w:val="clear" w:color="000000" w:fill="FFFFFF"/>
            <w:noWrap/>
            <w:vAlign w:val="bottom"/>
            <w:hideMark/>
          </w:tcPr>
          <w:p w14:paraId="15BD77BB"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0.51</w:t>
            </w:r>
          </w:p>
        </w:tc>
        <w:tc>
          <w:tcPr>
            <w:tcW w:w="960" w:type="dxa"/>
            <w:tcBorders>
              <w:top w:val="nil"/>
              <w:left w:val="nil"/>
              <w:bottom w:val="single" w:sz="4" w:space="0" w:color="auto"/>
              <w:right w:val="single" w:sz="4" w:space="0" w:color="auto"/>
            </w:tcBorders>
            <w:shd w:val="clear" w:color="000000" w:fill="FFFFFF"/>
            <w:noWrap/>
            <w:vAlign w:val="bottom"/>
            <w:hideMark/>
          </w:tcPr>
          <w:p w14:paraId="20A70A84"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0.44</w:t>
            </w:r>
          </w:p>
        </w:tc>
        <w:tc>
          <w:tcPr>
            <w:tcW w:w="960" w:type="dxa"/>
            <w:tcBorders>
              <w:top w:val="nil"/>
              <w:left w:val="nil"/>
              <w:bottom w:val="single" w:sz="4" w:space="0" w:color="auto"/>
              <w:right w:val="single" w:sz="4" w:space="0" w:color="auto"/>
            </w:tcBorders>
            <w:shd w:val="clear" w:color="000000" w:fill="FFFFFF"/>
            <w:noWrap/>
            <w:vAlign w:val="bottom"/>
            <w:hideMark/>
          </w:tcPr>
          <w:p w14:paraId="434B2BAA"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0.04</w:t>
            </w:r>
          </w:p>
        </w:tc>
      </w:tr>
      <w:tr w:rsidR="00CF68E5" w:rsidRPr="00CF68E5" w14:paraId="17D0E0E6"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13DD7578"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C23</w:t>
            </w:r>
          </w:p>
        </w:tc>
        <w:tc>
          <w:tcPr>
            <w:tcW w:w="960" w:type="dxa"/>
            <w:tcBorders>
              <w:top w:val="nil"/>
              <w:left w:val="nil"/>
              <w:bottom w:val="single" w:sz="4" w:space="0" w:color="auto"/>
              <w:right w:val="single" w:sz="4" w:space="0" w:color="auto"/>
            </w:tcBorders>
            <w:shd w:val="clear" w:color="000000" w:fill="FFFFFF"/>
            <w:noWrap/>
            <w:vAlign w:val="bottom"/>
            <w:hideMark/>
          </w:tcPr>
          <w:p w14:paraId="31F04546"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3.53</w:t>
            </w:r>
          </w:p>
        </w:tc>
        <w:tc>
          <w:tcPr>
            <w:tcW w:w="960" w:type="dxa"/>
            <w:tcBorders>
              <w:top w:val="nil"/>
              <w:left w:val="nil"/>
              <w:bottom w:val="single" w:sz="4" w:space="0" w:color="auto"/>
              <w:right w:val="single" w:sz="4" w:space="0" w:color="auto"/>
            </w:tcBorders>
            <w:shd w:val="clear" w:color="000000" w:fill="FFFFFF"/>
            <w:noWrap/>
            <w:vAlign w:val="bottom"/>
            <w:hideMark/>
          </w:tcPr>
          <w:p w14:paraId="699E6F9C"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0.4</w:t>
            </w:r>
          </w:p>
        </w:tc>
        <w:tc>
          <w:tcPr>
            <w:tcW w:w="960" w:type="dxa"/>
            <w:tcBorders>
              <w:top w:val="nil"/>
              <w:left w:val="nil"/>
              <w:bottom w:val="single" w:sz="4" w:space="0" w:color="auto"/>
              <w:right w:val="single" w:sz="4" w:space="0" w:color="auto"/>
            </w:tcBorders>
            <w:shd w:val="clear" w:color="000000" w:fill="FFFFFF"/>
            <w:noWrap/>
            <w:vAlign w:val="bottom"/>
            <w:hideMark/>
          </w:tcPr>
          <w:p w14:paraId="7E2CA410"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0.47</w:t>
            </w:r>
          </w:p>
        </w:tc>
        <w:tc>
          <w:tcPr>
            <w:tcW w:w="960" w:type="dxa"/>
            <w:tcBorders>
              <w:top w:val="nil"/>
              <w:left w:val="nil"/>
              <w:bottom w:val="single" w:sz="4" w:space="0" w:color="auto"/>
              <w:right w:val="single" w:sz="4" w:space="0" w:color="auto"/>
            </w:tcBorders>
            <w:shd w:val="clear" w:color="000000" w:fill="FFFFFF"/>
            <w:noWrap/>
            <w:vAlign w:val="bottom"/>
            <w:hideMark/>
          </w:tcPr>
          <w:p w14:paraId="119EE556"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0.13</w:t>
            </w:r>
          </w:p>
        </w:tc>
      </w:tr>
      <w:tr w:rsidR="00CF68E5" w:rsidRPr="00CF68E5" w14:paraId="12C2B569"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43508410"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C24</w:t>
            </w:r>
          </w:p>
        </w:tc>
        <w:tc>
          <w:tcPr>
            <w:tcW w:w="960" w:type="dxa"/>
            <w:tcBorders>
              <w:top w:val="nil"/>
              <w:left w:val="nil"/>
              <w:bottom w:val="single" w:sz="4" w:space="0" w:color="auto"/>
              <w:right w:val="single" w:sz="4" w:space="0" w:color="auto"/>
            </w:tcBorders>
            <w:shd w:val="clear" w:color="000000" w:fill="FFFFFF"/>
            <w:noWrap/>
            <w:vAlign w:val="bottom"/>
            <w:hideMark/>
          </w:tcPr>
          <w:p w14:paraId="02E72F9C"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3</w:t>
            </w:r>
          </w:p>
        </w:tc>
        <w:tc>
          <w:tcPr>
            <w:tcW w:w="960" w:type="dxa"/>
            <w:tcBorders>
              <w:top w:val="nil"/>
              <w:left w:val="nil"/>
              <w:bottom w:val="single" w:sz="4" w:space="0" w:color="auto"/>
              <w:right w:val="single" w:sz="4" w:space="0" w:color="auto"/>
            </w:tcBorders>
            <w:shd w:val="clear" w:color="000000" w:fill="FFFFFF"/>
            <w:noWrap/>
            <w:vAlign w:val="bottom"/>
            <w:hideMark/>
          </w:tcPr>
          <w:p w14:paraId="7A1A2652"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0.87</w:t>
            </w:r>
          </w:p>
        </w:tc>
        <w:tc>
          <w:tcPr>
            <w:tcW w:w="960" w:type="dxa"/>
            <w:tcBorders>
              <w:top w:val="nil"/>
              <w:left w:val="nil"/>
              <w:bottom w:val="single" w:sz="4" w:space="0" w:color="auto"/>
              <w:right w:val="single" w:sz="4" w:space="0" w:color="auto"/>
            </w:tcBorders>
            <w:shd w:val="clear" w:color="000000" w:fill="FFFFFF"/>
            <w:noWrap/>
            <w:vAlign w:val="bottom"/>
            <w:hideMark/>
          </w:tcPr>
          <w:p w14:paraId="583D0FE6"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0.07</w:t>
            </w:r>
          </w:p>
        </w:tc>
        <w:tc>
          <w:tcPr>
            <w:tcW w:w="960" w:type="dxa"/>
            <w:tcBorders>
              <w:top w:val="nil"/>
              <w:left w:val="nil"/>
              <w:bottom w:val="single" w:sz="4" w:space="0" w:color="auto"/>
              <w:right w:val="single" w:sz="4" w:space="0" w:color="auto"/>
            </w:tcBorders>
            <w:shd w:val="clear" w:color="000000" w:fill="FFFFFF"/>
            <w:noWrap/>
            <w:vAlign w:val="bottom"/>
            <w:hideMark/>
          </w:tcPr>
          <w:p w14:paraId="3997E1EB"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0.06</w:t>
            </w:r>
          </w:p>
        </w:tc>
      </w:tr>
      <w:tr w:rsidR="00CF68E5" w:rsidRPr="00CF68E5" w14:paraId="4E9E9865"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52B64A18"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C25</w:t>
            </w:r>
          </w:p>
        </w:tc>
        <w:tc>
          <w:tcPr>
            <w:tcW w:w="960" w:type="dxa"/>
            <w:tcBorders>
              <w:top w:val="nil"/>
              <w:left w:val="nil"/>
              <w:bottom w:val="single" w:sz="4" w:space="0" w:color="auto"/>
              <w:right w:val="single" w:sz="4" w:space="0" w:color="auto"/>
            </w:tcBorders>
            <w:shd w:val="clear" w:color="000000" w:fill="FFFFFF"/>
            <w:noWrap/>
            <w:vAlign w:val="bottom"/>
            <w:hideMark/>
          </w:tcPr>
          <w:p w14:paraId="36456977"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5.35</w:t>
            </w:r>
          </w:p>
        </w:tc>
        <w:tc>
          <w:tcPr>
            <w:tcW w:w="960" w:type="dxa"/>
            <w:tcBorders>
              <w:top w:val="nil"/>
              <w:left w:val="nil"/>
              <w:bottom w:val="single" w:sz="4" w:space="0" w:color="auto"/>
              <w:right w:val="single" w:sz="4" w:space="0" w:color="auto"/>
            </w:tcBorders>
            <w:shd w:val="clear" w:color="000000" w:fill="FFFFFF"/>
            <w:noWrap/>
            <w:vAlign w:val="bottom"/>
            <w:hideMark/>
          </w:tcPr>
          <w:p w14:paraId="1FEBBF8B"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0.11</w:t>
            </w:r>
          </w:p>
        </w:tc>
        <w:tc>
          <w:tcPr>
            <w:tcW w:w="960" w:type="dxa"/>
            <w:tcBorders>
              <w:top w:val="nil"/>
              <w:left w:val="nil"/>
              <w:bottom w:val="single" w:sz="4" w:space="0" w:color="auto"/>
              <w:right w:val="single" w:sz="4" w:space="0" w:color="auto"/>
            </w:tcBorders>
            <w:shd w:val="clear" w:color="000000" w:fill="FFFFFF"/>
            <w:noWrap/>
            <w:vAlign w:val="bottom"/>
            <w:hideMark/>
          </w:tcPr>
          <w:p w14:paraId="321FEBA6"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0.54</w:t>
            </w:r>
          </w:p>
        </w:tc>
        <w:tc>
          <w:tcPr>
            <w:tcW w:w="960" w:type="dxa"/>
            <w:tcBorders>
              <w:top w:val="nil"/>
              <w:left w:val="nil"/>
              <w:bottom w:val="single" w:sz="4" w:space="0" w:color="auto"/>
              <w:right w:val="single" w:sz="4" w:space="0" w:color="auto"/>
            </w:tcBorders>
            <w:shd w:val="clear" w:color="000000" w:fill="FFFFFF"/>
            <w:noWrap/>
            <w:vAlign w:val="bottom"/>
            <w:hideMark/>
          </w:tcPr>
          <w:p w14:paraId="0DA002F8"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0.35</w:t>
            </w:r>
          </w:p>
        </w:tc>
      </w:tr>
      <w:tr w:rsidR="00CF68E5" w:rsidRPr="00CF68E5" w14:paraId="1534B735"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35492C4A"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C26</w:t>
            </w:r>
          </w:p>
        </w:tc>
        <w:tc>
          <w:tcPr>
            <w:tcW w:w="960" w:type="dxa"/>
            <w:tcBorders>
              <w:top w:val="nil"/>
              <w:left w:val="nil"/>
              <w:bottom w:val="single" w:sz="4" w:space="0" w:color="auto"/>
              <w:right w:val="single" w:sz="4" w:space="0" w:color="auto"/>
            </w:tcBorders>
            <w:shd w:val="clear" w:color="000000" w:fill="FFFFFF"/>
            <w:noWrap/>
            <w:vAlign w:val="bottom"/>
            <w:hideMark/>
          </w:tcPr>
          <w:p w14:paraId="5334E54E"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18.37</w:t>
            </w:r>
          </w:p>
        </w:tc>
        <w:tc>
          <w:tcPr>
            <w:tcW w:w="960" w:type="dxa"/>
            <w:tcBorders>
              <w:top w:val="nil"/>
              <w:left w:val="nil"/>
              <w:bottom w:val="single" w:sz="4" w:space="0" w:color="auto"/>
              <w:right w:val="single" w:sz="4" w:space="0" w:color="auto"/>
            </w:tcBorders>
            <w:shd w:val="clear" w:color="000000" w:fill="FFFFFF"/>
            <w:noWrap/>
            <w:vAlign w:val="bottom"/>
            <w:hideMark/>
          </w:tcPr>
          <w:p w14:paraId="2F4DB3AF"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0.62</w:t>
            </w:r>
          </w:p>
        </w:tc>
        <w:tc>
          <w:tcPr>
            <w:tcW w:w="960" w:type="dxa"/>
            <w:tcBorders>
              <w:top w:val="nil"/>
              <w:left w:val="nil"/>
              <w:bottom w:val="single" w:sz="4" w:space="0" w:color="auto"/>
              <w:right w:val="single" w:sz="4" w:space="0" w:color="auto"/>
            </w:tcBorders>
            <w:shd w:val="clear" w:color="000000" w:fill="FFFFFF"/>
            <w:noWrap/>
            <w:vAlign w:val="bottom"/>
            <w:hideMark/>
          </w:tcPr>
          <w:p w14:paraId="52F30BF4"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0.31</w:t>
            </w:r>
          </w:p>
        </w:tc>
        <w:tc>
          <w:tcPr>
            <w:tcW w:w="960" w:type="dxa"/>
            <w:tcBorders>
              <w:top w:val="nil"/>
              <w:left w:val="nil"/>
              <w:bottom w:val="single" w:sz="4" w:space="0" w:color="auto"/>
              <w:right w:val="single" w:sz="4" w:space="0" w:color="auto"/>
            </w:tcBorders>
            <w:shd w:val="clear" w:color="000000" w:fill="FFFFFF"/>
            <w:noWrap/>
            <w:vAlign w:val="bottom"/>
            <w:hideMark/>
          </w:tcPr>
          <w:p w14:paraId="511E5F24"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0.08</w:t>
            </w:r>
          </w:p>
        </w:tc>
      </w:tr>
      <w:tr w:rsidR="00CF68E5" w:rsidRPr="00CF68E5" w14:paraId="5E08921B"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2265188A"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C27</w:t>
            </w:r>
          </w:p>
        </w:tc>
        <w:tc>
          <w:tcPr>
            <w:tcW w:w="960" w:type="dxa"/>
            <w:tcBorders>
              <w:top w:val="nil"/>
              <w:left w:val="nil"/>
              <w:bottom w:val="single" w:sz="4" w:space="0" w:color="auto"/>
              <w:right w:val="single" w:sz="4" w:space="0" w:color="auto"/>
            </w:tcBorders>
            <w:shd w:val="clear" w:color="000000" w:fill="FFFFFF"/>
            <w:noWrap/>
            <w:vAlign w:val="bottom"/>
            <w:hideMark/>
          </w:tcPr>
          <w:p w14:paraId="1B6B2706"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3.57</w:t>
            </w:r>
          </w:p>
        </w:tc>
        <w:tc>
          <w:tcPr>
            <w:tcW w:w="960" w:type="dxa"/>
            <w:tcBorders>
              <w:top w:val="nil"/>
              <w:left w:val="nil"/>
              <w:bottom w:val="single" w:sz="4" w:space="0" w:color="auto"/>
              <w:right w:val="single" w:sz="4" w:space="0" w:color="auto"/>
            </w:tcBorders>
            <w:shd w:val="clear" w:color="000000" w:fill="FFFFFF"/>
            <w:noWrap/>
            <w:vAlign w:val="bottom"/>
            <w:hideMark/>
          </w:tcPr>
          <w:p w14:paraId="78C4D031"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0.87</w:t>
            </w:r>
          </w:p>
        </w:tc>
        <w:tc>
          <w:tcPr>
            <w:tcW w:w="960" w:type="dxa"/>
            <w:tcBorders>
              <w:top w:val="nil"/>
              <w:left w:val="nil"/>
              <w:bottom w:val="single" w:sz="4" w:space="0" w:color="auto"/>
              <w:right w:val="single" w:sz="4" w:space="0" w:color="auto"/>
            </w:tcBorders>
            <w:shd w:val="clear" w:color="000000" w:fill="FFFFFF"/>
            <w:noWrap/>
            <w:vAlign w:val="bottom"/>
            <w:hideMark/>
          </w:tcPr>
          <w:p w14:paraId="3173DECA"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0.08</w:t>
            </w:r>
          </w:p>
        </w:tc>
        <w:tc>
          <w:tcPr>
            <w:tcW w:w="960" w:type="dxa"/>
            <w:tcBorders>
              <w:top w:val="nil"/>
              <w:left w:val="nil"/>
              <w:bottom w:val="single" w:sz="4" w:space="0" w:color="auto"/>
              <w:right w:val="single" w:sz="4" w:space="0" w:color="auto"/>
            </w:tcBorders>
            <w:shd w:val="clear" w:color="000000" w:fill="FFFFFF"/>
            <w:noWrap/>
            <w:vAlign w:val="bottom"/>
            <w:hideMark/>
          </w:tcPr>
          <w:p w14:paraId="4536AFF1"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0.06</w:t>
            </w:r>
          </w:p>
        </w:tc>
      </w:tr>
      <w:tr w:rsidR="00CF68E5" w:rsidRPr="00CF68E5" w14:paraId="666CDBA9"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09DA02AF"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C28</w:t>
            </w:r>
          </w:p>
        </w:tc>
        <w:tc>
          <w:tcPr>
            <w:tcW w:w="960" w:type="dxa"/>
            <w:tcBorders>
              <w:top w:val="nil"/>
              <w:left w:val="nil"/>
              <w:bottom w:val="single" w:sz="4" w:space="0" w:color="auto"/>
              <w:right w:val="single" w:sz="4" w:space="0" w:color="auto"/>
            </w:tcBorders>
            <w:shd w:val="clear" w:color="000000" w:fill="FFFFFF"/>
            <w:noWrap/>
            <w:vAlign w:val="bottom"/>
            <w:hideMark/>
          </w:tcPr>
          <w:p w14:paraId="0BA5A422"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2.82</w:t>
            </w:r>
          </w:p>
        </w:tc>
        <w:tc>
          <w:tcPr>
            <w:tcW w:w="960" w:type="dxa"/>
            <w:tcBorders>
              <w:top w:val="nil"/>
              <w:left w:val="nil"/>
              <w:bottom w:val="single" w:sz="4" w:space="0" w:color="auto"/>
              <w:right w:val="single" w:sz="4" w:space="0" w:color="auto"/>
            </w:tcBorders>
            <w:shd w:val="clear" w:color="000000" w:fill="FFFFFF"/>
            <w:noWrap/>
            <w:vAlign w:val="bottom"/>
            <w:hideMark/>
          </w:tcPr>
          <w:p w14:paraId="6C965470"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0.47</w:t>
            </w:r>
          </w:p>
        </w:tc>
        <w:tc>
          <w:tcPr>
            <w:tcW w:w="960" w:type="dxa"/>
            <w:tcBorders>
              <w:top w:val="nil"/>
              <w:left w:val="nil"/>
              <w:bottom w:val="single" w:sz="4" w:space="0" w:color="auto"/>
              <w:right w:val="single" w:sz="4" w:space="0" w:color="auto"/>
            </w:tcBorders>
            <w:shd w:val="clear" w:color="000000" w:fill="FFFFFF"/>
            <w:noWrap/>
            <w:vAlign w:val="bottom"/>
            <w:hideMark/>
          </w:tcPr>
          <w:p w14:paraId="5E322D58"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0.46</w:t>
            </w:r>
          </w:p>
        </w:tc>
        <w:tc>
          <w:tcPr>
            <w:tcW w:w="960" w:type="dxa"/>
            <w:tcBorders>
              <w:top w:val="nil"/>
              <w:left w:val="nil"/>
              <w:bottom w:val="single" w:sz="4" w:space="0" w:color="auto"/>
              <w:right w:val="single" w:sz="4" w:space="0" w:color="auto"/>
            </w:tcBorders>
            <w:shd w:val="clear" w:color="000000" w:fill="FFFFFF"/>
            <w:noWrap/>
            <w:vAlign w:val="bottom"/>
            <w:hideMark/>
          </w:tcPr>
          <w:p w14:paraId="46026F19"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0.07</w:t>
            </w:r>
          </w:p>
        </w:tc>
      </w:tr>
      <w:tr w:rsidR="00CF68E5" w:rsidRPr="00CF68E5" w14:paraId="792AF0C6"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7933CA77"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C29</w:t>
            </w:r>
          </w:p>
        </w:tc>
        <w:tc>
          <w:tcPr>
            <w:tcW w:w="960" w:type="dxa"/>
            <w:tcBorders>
              <w:top w:val="nil"/>
              <w:left w:val="nil"/>
              <w:bottom w:val="single" w:sz="4" w:space="0" w:color="auto"/>
              <w:right w:val="single" w:sz="4" w:space="0" w:color="auto"/>
            </w:tcBorders>
            <w:shd w:val="clear" w:color="000000" w:fill="FFFFFF"/>
            <w:noWrap/>
            <w:vAlign w:val="bottom"/>
            <w:hideMark/>
          </w:tcPr>
          <w:p w14:paraId="52EB42E5"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8.08</w:t>
            </w:r>
          </w:p>
        </w:tc>
        <w:tc>
          <w:tcPr>
            <w:tcW w:w="960" w:type="dxa"/>
            <w:tcBorders>
              <w:top w:val="nil"/>
              <w:left w:val="nil"/>
              <w:bottom w:val="single" w:sz="4" w:space="0" w:color="auto"/>
              <w:right w:val="single" w:sz="4" w:space="0" w:color="auto"/>
            </w:tcBorders>
            <w:shd w:val="clear" w:color="000000" w:fill="FFFFFF"/>
            <w:noWrap/>
            <w:vAlign w:val="bottom"/>
            <w:hideMark/>
          </w:tcPr>
          <w:p w14:paraId="26723B36"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0.73</w:t>
            </w:r>
          </w:p>
        </w:tc>
        <w:tc>
          <w:tcPr>
            <w:tcW w:w="960" w:type="dxa"/>
            <w:tcBorders>
              <w:top w:val="nil"/>
              <w:left w:val="nil"/>
              <w:bottom w:val="single" w:sz="4" w:space="0" w:color="auto"/>
              <w:right w:val="single" w:sz="4" w:space="0" w:color="auto"/>
            </w:tcBorders>
            <w:shd w:val="clear" w:color="000000" w:fill="FFFFFF"/>
            <w:noWrap/>
            <w:vAlign w:val="bottom"/>
            <w:hideMark/>
          </w:tcPr>
          <w:p w14:paraId="07564F4D"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0.2</w:t>
            </w:r>
          </w:p>
        </w:tc>
        <w:tc>
          <w:tcPr>
            <w:tcW w:w="960" w:type="dxa"/>
            <w:tcBorders>
              <w:top w:val="nil"/>
              <w:left w:val="nil"/>
              <w:bottom w:val="single" w:sz="4" w:space="0" w:color="auto"/>
              <w:right w:val="single" w:sz="4" w:space="0" w:color="auto"/>
            </w:tcBorders>
            <w:shd w:val="clear" w:color="000000" w:fill="FFFFFF"/>
            <w:noWrap/>
            <w:vAlign w:val="bottom"/>
            <w:hideMark/>
          </w:tcPr>
          <w:p w14:paraId="152CF7CB"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0.06</w:t>
            </w:r>
          </w:p>
        </w:tc>
      </w:tr>
      <w:tr w:rsidR="00CF68E5" w:rsidRPr="00CF68E5" w14:paraId="5F40BDE0"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7F63C773"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C30</w:t>
            </w:r>
          </w:p>
        </w:tc>
        <w:tc>
          <w:tcPr>
            <w:tcW w:w="960" w:type="dxa"/>
            <w:tcBorders>
              <w:top w:val="nil"/>
              <w:left w:val="nil"/>
              <w:bottom w:val="single" w:sz="4" w:space="0" w:color="auto"/>
              <w:right w:val="single" w:sz="4" w:space="0" w:color="auto"/>
            </w:tcBorders>
            <w:shd w:val="clear" w:color="000000" w:fill="FFFFFF"/>
            <w:noWrap/>
            <w:vAlign w:val="bottom"/>
            <w:hideMark/>
          </w:tcPr>
          <w:p w14:paraId="31E779CB"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28.15</w:t>
            </w:r>
          </w:p>
        </w:tc>
        <w:tc>
          <w:tcPr>
            <w:tcW w:w="960" w:type="dxa"/>
            <w:tcBorders>
              <w:top w:val="nil"/>
              <w:left w:val="nil"/>
              <w:bottom w:val="single" w:sz="4" w:space="0" w:color="auto"/>
              <w:right w:val="single" w:sz="4" w:space="0" w:color="auto"/>
            </w:tcBorders>
            <w:shd w:val="clear" w:color="000000" w:fill="FFFFFF"/>
            <w:noWrap/>
            <w:vAlign w:val="bottom"/>
            <w:hideMark/>
          </w:tcPr>
          <w:p w14:paraId="183833B2"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0.58</w:t>
            </w:r>
          </w:p>
        </w:tc>
        <w:tc>
          <w:tcPr>
            <w:tcW w:w="960" w:type="dxa"/>
            <w:tcBorders>
              <w:top w:val="nil"/>
              <w:left w:val="nil"/>
              <w:bottom w:val="single" w:sz="4" w:space="0" w:color="auto"/>
              <w:right w:val="single" w:sz="4" w:space="0" w:color="auto"/>
            </w:tcBorders>
            <w:shd w:val="clear" w:color="000000" w:fill="FFFFFF"/>
            <w:noWrap/>
            <w:vAlign w:val="bottom"/>
            <w:hideMark/>
          </w:tcPr>
          <w:p w14:paraId="3F23EA10"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0.4</w:t>
            </w:r>
          </w:p>
        </w:tc>
        <w:tc>
          <w:tcPr>
            <w:tcW w:w="960" w:type="dxa"/>
            <w:tcBorders>
              <w:top w:val="nil"/>
              <w:left w:val="nil"/>
              <w:bottom w:val="single" w:sz="4" w:space="0" w:color="auto"/>
              <w:right w:val="single" w:sz="4" w:space="0" w:color="auto"/>
            </w:tcBorders>
            <w:shd w:val="clear" w:color="000000" w:fill="FFFFFF"/>
            <w:noWrap/>
            <w:vAlign w:val="bottom"/>
            <w:hideMark/>
          </w:tcPr>
          <w:p w14:paraId="5FD73CB4"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0.02</w:t>
            </w:r>
          </w:p>
        </w:tc>
      </w:tr>
      <w:tr w:rsidR="00CF68E5" w:rsidRPr="00CF68E5" w14:paraId="4A99CDF1"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51C11736"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C31_32</w:t>
            </w:r>
          </w:p>
        </w:tc>
        <w:tc>
          <w:tcPr>
            <w:tcW w:w="960" w:type="dxa"/>
            <w:tcBorders>
              <w:top w:val="nil"/>
              <w:left w:val="nil"/>
              <w:bottom w:val="single" w:sz="4" w:space="0" w:color="auto"/>
              <w:right w:val="single" w:sz="4" w:space="0" w:color="auto"/>
            </w:tcBorders>
            <w:shd w:val="clear" w:color="000000" w:fill="FFFFFF"/>
            <w:noWrap/>
            <w:vAlign w:val="bottom"/>
            <w:hideMark/>
          </w:tcPr>
          <w:p w14:paraId="77A44E7A"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2.32</w:t>
            </w:r>
          </w:p>
        </w:tc>
        <w:tc>
          <w:tcPr>
            <w:tcW w:w="960" w:type="dxa"/>
            <w:tcBorders>
              <w:top w:val="nil"/>
              <w:left w:val="nil"/>
              <w:bottom w:val="single" w:sz="4" w:space="0" w:color="auto"/>
              <w:right w:val="single" w:sz="4" w:space="0" w:color="auto"/>
            </w:tcBorders>
            <w:shd w:val="clear" w:color="000000" w:fill="FFFFFF"/>
            <w:noWrap/>
            <w:vAlign w:val="bottom"/>
            <w:hideMark/>
          </w:tcPr>
          <w:p w14:paraId="756392AE"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0.75</w:t>
            </w:r>
          </w:p>
        </w:tc>
        <w:tc>
          <w:tcPr>
            <w:tcW w:w="960" w:type="dxa"/>
            <w:tcBorders>
              <w:top w:val="nil"/>
              <w:left w:val="nil"/>
              <w:bottom w:val="single" w:sz="4" w:space="0" w:color="auto"/>
              <w:right w:val="single" w:sz="4" w:space="0" w:color="auto"/>
            </w:tcBorders>
            <w:shd w:val="clear" w:color="000000" w:fill="FFFFFF"/>
            <w:noWrap/>
            <w:vAlign w:val="bottom"/>
            <w:hideMark/>
          </w:tcPr>
          <w:p w14:paraId="07FF20DD"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0.22</w:t>
            </w:r>
          </w:p>
        </w:tc>
        <w:tc>
          <w:tcPr>
            <w:tcW w:w="960" w:type="dxa"/>
            <w:tcBorders>
              <w:top w:val="nil"/>
              <w:left w:val="nil"/>
              <w:bottom w:val="single" w:sz="4" w:space="0" w:color="auto"/>
              <w:right w:val="single" w:sz="4" w:space="0" w:color="auto"/>
            </w:tcBorders>
            <w:shd w:val="clear" w:color="000000" w:fill="FFFFFF"/>
            <w:noWrap/>
            <w:vAlign w:val="bottom"/>
            <w:hideMark/>
          </w:tcPr>
          <w:p w14:paraId="619C774E"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0.03</w:t>
            </w:r>
          </w:p>
        </w:tc>
      </w:tr>
      <w:tr w:rsidR="00CF68E5" w:rsidRPr="00CF68E5" w14:paraId="71E8ABB5"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097E71E4"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C33</w:t>
            </w:r>
          </w:p>
        </w:tc>
        <w:tc>
          <w:tcPr>
            <w:tcW w:w="960" w:type="dxa"/>
            <w:tcBorders>
              <w:top w:val="nil"/>
              <w:left w:val="nil"/>
              <w:bottom w:val="single" w:sz="4" w:space="0" w:color="auto"/>
              <w:right w:val="single" w:sz="4" w:space="0" w:color="auto"/>
            </w:tcBorders>
            <w:shd w:val="clear" w:color="000000" w:fill="FFFFFF"/>
            <w:noWrap/>
            <w:vAlign w:val="bottom"/>
            <w:hideMark/>
          </w:tcPr>
          <w:p w14:paraId="52E3FB6A"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67.14</w:t>
            </w:r>
          </w:p>
        </w:tc>
        <w:tc>
          <w:tcPr>
            <w:tcW w:w="960" w:type="dxa"/>
            <w:tcBorders>
              <w:top w:val="nil"/>
              <w:left w:val="nil"/>
              <w:bottom w:val="single" w:sz="4" w:space="0" w:color="auto"/>
              <w:right w:val="single" w:sz="4" w:space="0" w:color="auto"/>
            </w:tcBorders>
            <w:shd w:val="clear" w:color="000000" w:fill="FFFFFF"/>
            <w:noWrap/>
            <w:vAlign w:val="bottom"/>
            <w:hideMark/>
          </w:tcPr>
          <w:p w14:paraId="0F30E535"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0.4</w:t>
            </w:r>
          </w:p>
        </w:tc>
        <w:tc>
          <w:tcPr>
            <w:tcW w:w="960" w:type="dxa"/>
            <w:tcBorders>
              <w:top w:val="nil"/>
              <w:left w:val="nil"/>
              <w:bottom w:val="single" w:sz="4" w:space="0" w:color="auto"/>
              <w:right w:val="single" w:sz="4" w:space="0" w:color="auto"/>
            </w:tcBorders>
            <w:shd w:val="clear" w:color="000000" w:fill="FFFFFF"/>
            <w:noWrap/>
            <w:vAlign w:val="bottom"/>
            <w:hideMark/>
          </w:tcPr>
          <w:p w14:paraId="61D5D19B"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0.43</w:t>
            </w:r>
          </w:p>
        </w:tc>
        <w:tc>
          <w:tcPr>
            <w:tcW w:w="960" w:type="dxa"/>
            <w:tcBorders>
              <w:top w:val="nil"/>
              <w:left w:val="nil"/>
              <w:bottom w:val="single" w:sz="4" w:space="0" w:color="auto"/>
              <w:right w:val="single" w:sz="4" w:space="0" w:color="auto"/>
            </w:tcBorders>
            <w:shd w:val="clear" w:color="000000" w:fill="FFFFFF"/>
            <w:noWrap/>
            <w:vAlign w:val="bottom"/>
            <w:hideMark/>
          </w:tcPr>
          <w:p w14:paraId="62D71FB7"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0.16</w:t>
            </w:r>
          </w:p>
        </w:tc>
      </w:tr>
      <w:tr w:rsidR="00CF68E5" w:rsidRPr="00CF68E5" w14:paraId="1F8A6F86" w14:textId="77777777" w:rsidTr="00CF68E5">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0610451B"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D</w:t>
            </w:r>
          </w:p>
        </w:tc>
        <w:tc>
          <w:tcPr>
            <w:tcW w:w="960" w:type="dxa"/>
            <w:tcBorders>
              <w:top w:val="nil"/>
              <w:left w:val="nil"/>
              <w:bottom w:val="single" w:sz="4" w:space="0" w:color="auto"/>
              <w:right w:val="single" w:sz="4" w:space="0" w:color="auto"/>
            </w:tcBorders>
            <w:shd w:val="clear" w:color="000000" w:fill="FFFFFF"/>
            <w:noWrap/>
            <w:vAlign w:val="bottom"/>
            <w:hideMark/>
          </w:tcPr>
          <w:p w14:paraId="3937C426"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2.39</w:t>
            </w:r>
          </w:p>
        </w:tc>
        <w:tc>
          <w:tcPr>
            <w:tcW w:w="960" w:type="dxa"/>
            <w:tcBorders>
              <w:top w:val="nil"/>
              <w:left w:val="nil"/>
              <w:bottom w:val="single" w:sz="4" w:space="0" w:color="auto"/>
              <w:right w:val="single" w:sz="4" w:space="0" w:color="auto"/>
            </w:tcBorders>
            <w:shd w:val="clear" w:color="000000" w:fill="FFFFFF"/>
            <w:noWrap/>
            <w:vAlign w:val="bottom"/>
            <w:hideMark/>
          </w:tcPr>
          <w:p w14:paraId="2B6CA725"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0.75</w:t>
            </w:r>
          </w:p>
        </w:tc>
        <w:tc>
          <w:tcPr>
            <w:tcW w:w="960" w:type="dxa"/>
            <w:tcBorders>
              <w:top w:val="nil"/>
              <w:left w:val="nil"/>
              <w:bottom w:val="single" w:sz="4" w:space="0" w:color="auto"/>
              <w:right w:val="single" w:sz="4" w:space="0" w:color="auto"/>
            </w:tcBorders>
            <w:shd w:val="clear" w:color="000000" w:fill="FFFFFF"/>
            <w:noWrap/>
            <w:vAlign w:val="bottom"/>
            <w:hideMark/>
          </w:tcPr>
          <w:p w14:paraId="0254F8E8"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0.09</w:t>
            </w:r>
          </w:p>
        </w:tc>
        <w:tc>
          <w:tcPr>
            <w:tcW w:w="960" w:type="dxa"/>
            <w:tcBorders>
              <w:top w:val="nil"/>
              <w:left w:val="nil"/>
              <w:bottom w:val="single" w:sz="4" w:space="0" w:color="auto"/>
              <w:right w:val="single" w:sz="4" w:space="0" w:color="auto"/>
            </w:tcBorders>
            <w:shd w:val="clear" w:color="000000" w:fill="FFFFFF"/>
            <w:noWrap/>
            <w:vAlign w:val="bottom"/>
            <w:hideMark/>
          </w:tcPr>
          <w:p w14:paraId="10DD942E"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0.16</w:t>
            </w:r>
          </w:p>
        </w:tc>
      </w:tr>
      <w:tr w:rsidR="00CF68E5" w:rsidRPr="00CF68E5" w14:paraId="2DB8ED10"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1CE524C0"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lastRenderedPageBreak/>
              <w:t>E</w:t>
            </w:r>
          </w:p>
        </w:tc>
        <w:tc>
          <w:tcPr>
            <w:tcW w:w="960" w:type="dxa"/>
            <w:tcBorders>
              <w:top w:val="nil"/>
              <w:left w:val="nil"/>
              <w:bottom w:val="single" w:sz="4" w:space="0" w:color="auto"/>
              <w:right w:val="single" w:sz="4" w:space="0" w:color="auto"/>
            </w:tcBorders>
            <w:shd w:val="clear" w:color="000000" w:fill="FFFFFF"/>
            <w:noWrap/>
            <w:vAlign w:val="bottom"/>
            <w:hideMark/>
          </w:tcPr>
          <w:p w14:paraId="1DBF8EA7"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6.48</w:t>
            </w:r>
          </w:p>
        </w:tc>
        <w:tc>
          <w:tcPr>
            <w:tcW w:w="960" w:type="dxa"/>
            <w:tcBorders>
              <w:top w:val="nil"/>
              <w:left w:val="nil"/>
              <w:bottom w:val="single" w:sz="4" w:space="0" w:color="auto"/>
              <w:right w:val="single" w:sz="4" w:space="0" w:color="auto"/>
            </w:tcBorders>
            <w:shd w:val="clear" w:color="000000" w:fill="FFFFFF"/>
            <w:noWrap/>
            <w:vAlign w:val="bottom"/>
            <w:hideMark/>
          </w:tcPr>
          <w:p w14:paraId="58D05949"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0.8</w:t>
            </w:r>
          </w:p>
        </w:tc>
        <w:tc>
          <w:tcPr>
            <w:tcW w:w="960" w:type="dxa"/>
            <w:tcBorders>
              <w:top w:val="nil"/>
              <w:left w:val="nil"/>
              <w:bottom w:val="single" w:sz="4" w:space="0" w:color="auto"/>
              <w:right w:val="single" w:sz="4" w:space="0" w:color="auto"/>
            </w:tcBorders>
            <w:shd w:val="clear" w:color="000000" w:fill="FFFFFF"/>
            <w:noWrap/>
            <w:vAlign w:val="bottom"/>
            <w:hideMark/>
          </w:tcPr>
          <w:p w14:paraId="4BFE1D56"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0.14</w:t>
            </w:r>
          </w:p>
        </w:tc>
        <w:tc>
          <w:tcPr>
            <w:tcW w:w="960" w:type="dxa"/>
            <w:tcBorders>
              <w:top w:val="nil"/>
              <w:left w:val="nil"/>
              <w:bottom w:val="single" w:sz="4" w:space="0" w:color="auto"/>
              <w:right w:val="single" w:sz="4" w:space="0" w:color="auto"/>
            </w:tcBorders>
            <w:shd w:val="clear" w:color="000000" w:fill="FFFFFF"/>
            <w:noWrap/>
            <w:vAlign w:val="bottom"/>
            <w:hideMark/>
          </w:tcPr>
          <w:p w14:paraId="6EB84195"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0.06</w:t>
            </w:r>
          </w:p>
        </w:tc>
      </w:tr>
      <w:tr w:rsidR="00CF68E5" w:rsidRPr="00CF68E5" w14:paraId="1B94D073" w14:textId="77777777" w:rsidTr="00CF68E5">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2A6B4313"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F</w:t>
            </w:r>
          </w:p>
        </w:tc>
        <w:tc>
          <w:tcPr>
            <w:tcW w:w="960" w:type="dxa"/>
            <w:tcBorders>
              <w:top w:val="nil"/>
              <w:left w:val="nil"/>
              <w:bottom w:val="single" w:sz="4" w:space="0" w:color="auto"/>
              <w:right w:val="single" w:sz="4" w:space="0" w:color="auto"/>
            </w:tcBorders>
            <w:shd w:val="clear" w:color="000000" w:fill="FFFFFF"/>
            <w:noWrap/>
            <w:vAlign w:val="bottom"/>
            <w:hideMark/>
          </w:tcPr>
          <w:p w14:paraId="6FF8F595"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5.8</w:t>
            </w:r>
          </w:p>
        </w:tc>
        <w:tc>
          <w:tcPr>
            <w:tcW w:w="960" w:type="dxa"/>
            <w:tcBorders>
              <w:top w:val="nil"/>
              <w:left w:val="nil"/>
              <w:bottom w:val="single" w:sz="4" w:space="0" w:color="auto"/>
              <w:right w:val="single" w:sz="4" w:space="0" w:color="auto"/>
            </w:tcBorders>
            <w:shd w:val="clear" w:color="000000" w:fill="FFFFFF"/>
            <w:noWrap/>
            <w:vAlign w:val="bottom"/>
            <w:hideMark/>
          </w:tcPr>
          <w:p w14:paraId="3CF2527C"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0.57</w:t>
            </w:r>
          </w:p>
        </w:tc>
        <w:tc>
          <w:tcPr>
            <w:tcW w:w="960" w:type="dxa"/>
            <w:tcBorders>
              <w:top w:val="nil"/>
              <w:left w:val="nil"/>
              <w:bottom w:val="single" w:sz="4" w:space="0" w:color="auto"/>
              <w:right w:val="single" w:sz="4" w:space="0" w:color="auto"/>
            </w:tcBorders>
            <w:shd w:val="clear" w:color="000000" w:fill="FFFFFF"/>
            <w:noWrap/>
            <w:vAlign w:val="bottom"/>
            <w:hideMark/>
          </w:tcPr>
          <w:p w14:paraId="3753348A"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0.1</w:t>
            </w:r>
          </w:p>
        </w:tc>
        <w:tc>
          <w:tcPr>
            <w:tcW w:w="960" w:type="dxa"/>
            <w:tcBorders>
              <w:top w:val="nil"/>
              <w:left w:val="nil"/>
              <w:bottom w:val="single" w:sz="4" w:space="0" w:color="auto"/>
              <w:right w:val="single" w:sz="4" w:space="0" w:color="auto"/>
            </w:tcBorders>
            <w:shd w:val="clear" w:color="000000" w:fill="FFFFFF"/>
            <w:noWrap/>
            <w:vAlign w:val="bottom"/>
            <w:hideMark/>
          </w:tcPr>
          <w:p w14:paraId="0E1375A4"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0.33</w:t>
            </w:r>
          </w:p>
        </w:tc>
      </w:tr>
      <w:tr w:rsidR="00CF68E5" w:rsidRPr="00CF68E5" w14:paraId="304002EA"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370D8446"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G</w:t>
            </w:r>
          </w:p>
        </w:tc>
        <w:tc>
          <w:tcPr>
            <w:tcW w:w="960" w:type="dxa"/>
            <w:tcBorders>
              <w:top w:val="nil"/>
              <w:left w:val="nil"/>
              <w:bottom w:val="single" w:sz="4" w:space="0" w:color="auto"/>
              <w:right w:val="single" w:sz="4" w:space="0" w:color="auto"/>
            </w:tcBorders>
            <w:shd w:val="clear" w:color="000000" w:fill="FFFFFF"/>
            <w:noWrap/>
            <w:vAlign w:val="bottom"/>
            <w:hideMark/>
          </w:tcPr>
          <w:p w14:paraId="1C98499F"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37.54</w:t>
            </w:r>
          </w:p>
        </w:tc>
        <w:tc>
          <w:tcPr>
            <w:tcW w:w="960" w:type="dxa"/>
            <w:tcBorders>
              <w:top w:val="nil"/>
              <w:left w:val="nil"/>
              <w:bottom w:val="single" w:sz="4" w:space="0" w:color="auto"/>
              <w:right w:val="single" w:sz="4" w:space="0" w:color="auto"/>
            </w:tcBorders>
            <w:shd w:val="clear" w:color="000000" w:fill="FFFFFF"/>
            <w:noWrap/>
            <w:vAlign w:val="bottom"/>
            <w:hideMark/>
          </w:tcPr>
          <w:p w14:paraId="194D2A96"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0.37</w:t>
            </w:r>
          </w:p>
        </w:tc>
        <w:tc>
          <w:tcPr>
            <w:tcW w:w="960" w:type="dxa"/>
            <w:tcBorders>
              <w:top w:val="nil"/>
              <w:left w:val="nil"/>
              <w:bottom w:val="single" w:sz="4" w:space="0" w:color="auto"/>
              <w:right w:val="single" w:sz="4" w:space="0" w:color="auto"/>
            </w:tcBorders>
            <w:shd w:val="clear" w:color="000000" w:fill="FFFFFF"/>
            <w:noWrap/>
            <w:vAlign w:val="bottom"/>
            <w:hideMark/>
          </w:tcPr>
          <w:p w14:paraId="40677D75"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14:paraId="5D44B77C"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0.63</w:t>
            </w:r>
          </w:p>
        </w:tc>
      </w:tr>
      <w:tr w:rsidR="00CF68E5" w:rsidRPr="00CF68E5" w14:paraId="4C1DE2DF"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22BC8FF2"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H</w:t>
            </w:r>
          </w:p>
        </w:tc>
        <w:tc>
          <w:tcPr>
            <w:tcW w:w="960" w:type="dxa"/>
            <w:tcBorders>
              <w:top w:val="nil"/>
              <w:left w:val="nil"/>
              <w:bottom w:val="single" w:sz="4" w:space="0" w:color="auto"/>
              <w:right w:val="single" w:sz="4" w:space="0" w:color="auto"/>
            </w:tcBorders>
            <w:shd w:val="clear" w:color="000000" w:fill="FFFFFF"/>
            <w:noWrap/>
            <w:vAlign w:val="bottom"/>
            <w:hideMark/>
          </w:tcPr>
          <w:p w14:paraId="36EAEE96"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3.04</w:t>
            </w:r>
          </w:p>
        </w:tc>
        <w:tc>
          <w:tcPr>
            <w:tcW w:w="960" w:type="dxa"/>
            <w:tcBorders>
              <w:top w:val="nil"/>
              <w:left w:val="nil"/>
              <w:bottom w:val="single" w:sz="4" w:space="0" w:color="auto"/>
              <w:right w:val="single" w:sz="4" w:space="0" w:color="auto"/>
            </w:tcBorders>
            <w:shd w:val="clear" w:color="000000" w:fill="FFFFFF"/>
            <w:noWrap/>
            <w:vAlign w:val="bottom"/>
            <w:hideMark/>
          </w:tcPr>
          <w:p w14:paraId="6DCFC8C1"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0.31</w:t>
            </w:r>
          </w:p>
        </w:tc>
        <w:tc>
          <w:tcPr>
            <w:tcW w:w="960" w:type="dxa"/>
            <w:tcBorders>
              <w:top w:val="nil"/>
              <w:left w:val="nil"/>
              <w:bottom w:val="single" w:sz="4" w:space="0" w:color="auto"/>
              <w:right w:val="single" w:sz="4" w:space="0" w:color="auto"/>
            </w:tcBorders>
            <w:shd w:val="clear" w:color="000000" w:fill="FFFFFF"/>
            <w:noWrap/>
            <w:vAlign w:val="bottom"/>
            <w:hideMark/>
          </w:tcPr>
          <w:p w14:paraId="57559344"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0.56</w:t>
            </w:r>
          </w:p>
        </w:tc>
        <w:tc>
          <w:tcPr>
            <w:tcW w:w="960" w:type="dxa"/>
            <w:tcBorders>
              <w:top w:val="nil"/>
              <w:left w:val="nil"/>
              <w:bottom w:val="single" w:sz="4" w:space="0" w:color="auto"/>
              <w:right w:val="single" w:sz="4" w:space="0" w:color="auto"/>
            </w:tcBorders>
            <w:shd w:val="clear" w:color="000000" w:fill="FFFFFF"/>
            <w:noWrap/>
            <w:vAlign w:val="bottom"/>
            <w:hideMark/>
          </w:tcPr>
          <w:p w14:paraId="08FF7AFD"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0.12</w:t>
            </w:r>
          </w:p>
        </w:tc>
      </w:tr>
      <w:tr w:rsidR="00CF68E5" w:rsidRPr="00CF68E5" w14:paraId="65258A95"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3195703C"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I</w:t>
            </w:r>
          </w:p>
        </w:tc>
        <w:tc>
          <w:tcPr>
            <w:tcW w:w="960" w:type="dxa"/>
            <w:tcBorders>
              <w:top w:val="nil"/>
              <w:left w:val="nil"/>
              <w:bottom w:val="single" w:sz="4" w:space="0" w:color="auto"/>
              <w:right w:val="single" w:sz="4" w:space="0" w:color="auto"/>
            </w:tcBorders>
            <w:shd w:val="clear" w:color="000000" w:fill="FFFFFF"/>
            <w:noWrap/>
            <w:vAlign w:val="bottom"/>
            <w:hideMark/>
          </w:tcPr>
          <w:p w14:paraId="4CFF84DD"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5.76</w:t>
            </w:r>
          </w:p>
        </w:tc>
        <w:tc>
          <w:tcPr>
            <w:tcW w:w="960" w:type="dxa"/>
            <w:tcBorders>
              <w:top w:val="nil"/>
              <w:left w:val="nil"/>
              <w:bottom w:val="single" w:sz="4" w:space="0" w:color="auto"/>
              <w:right w:val="single" w:sz="4" w:space="0" w:color="auto"/>
            </w:tcBorders>
            <w:shd w:val="clear" w:color="000000" w:fill="FFFFFF"/>
            <w:noWrap/>
            <w:vAlign w:val="bottom"/>
            <w:hideMark/>
          </w:tcPr>
          <w:p w14:paraId="0198EEAD"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0.81</w:t>
            </w:r>
          </w:p>
        </w:tc>
        <w:tc>
          <w:tcPr>
            <w:tcW w:w="960" w:type="dxa"/>
            <w:tcBorders>
              <w:top w:val="nil"/>
              <w:left w:val="nil"/>
              <w:bottom w:val="single" w:sz="4" w:space="0" w:color="auto"/>
              <w:right w:val="single" w:sz="4" w:space="0" w:color="auto"/>
            </w:tcBorders>
            <w:shd w:val="clear" w:color="000000" w:fill="FFFFFF"/>
            <w:noWrap/>
            <w:vAlign w:val="bottom"/>
            <w:hideMark/>
          </w:tcPr>
          <w:p w14:paraId="630914E6"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0.13</w:t>
            </w:r>
          </w:p>
        </w:tc>
        <w:tc>
          <w:tcPr>
            <w:tcW w:w="960" w:type="dxa"/>
            <w:tcBorders>
              <w:top w:val="nil"/>
              <w:left w:val="nil"/>
              <w:bottom w:val="single" w:sz="4" w:space="0" w:color="auto"/>
              <w:right w:val="single" w:sz="4" w:space="0" w:color="auto"/>
            </w:tcBorders>
            <w:shd w:val="clear" w:color="000000" w:fill="FFFFFF"/>
            <w:noWrap/>
            <w:vAlign w:val="bottom"/>
            <w:hideMark/>
          </w:tcPr>
          <w:p w14:paraId="6E73A248"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0.06</w:t>
            </w:r>
          </w:p>
        </w:tc>
      </w:tr>
      <w:tr w:rsidR="00CF68E5" w:rsidRPr="00CF68E5" w14:paraId="40F94326"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6C425BA8"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J</w:t>
            </w:r>
          </w:p>
        </w:tc>
        <w:tc>
          <w:tcPr>
            <w:tcW w:w="960" w:type="dxa"/>
            <w:tcBorders>
              <w:top w:val="nil"/>
              <w:left w:val="nil"/>
              <w:bottom w:val="single" w:sz="4" w:space="0" w:color="auto"/>
              <w:right w:val="single" w:sz="4" w:space="0" w:color="auto"/>
            </w:tcBorders>
            <w:shd w:val="clear" w:color="000000" w:fill="FFFFFF"/>
            <w:noWrap/>
            <w:vAlign w:val="bottom"/>
            <w:hideMark/>
          </w:tcPr>
          <w:p w14:paraId="48C31A97"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16.51</w:t>
            </w:r>
          </w:p>
        </w:tc>
        <w:tc>
          <w:tcPr>
            <w:tcW w:w="960" w:type="dxa"/>
            <w:tcBorders>
              <w:top w:val="nil"/>
              <w:left w:val="nil"/>
              <w:bottom w:val="single" w:sz="4" w:space="0" w:color="auto"/>
              <w:right w:val="single" w:sz="4" w:space="0" w:color="auto"/>
            </w:tcBorders>
            <w:shd w:val="clear" w:color="000000" w:fill="FFFFFF"/>
            <w:noWrap/>
            <w:vAlign w:val="bottom"/>
            <w:hideMark/>
          </w:tcPr>
          <w:p w14:paraId="7FDFF5AF"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0.66</w:t>
            </w:r>
          </w:p>
        </w:tc>
        <w:tc>
          <w:tcPr>
            <w:tcW w:w="960" w:type="dxa"/>
            <w:tcBorders>
              <w:top w:val="nil"/>
              <w:left w:val="nil"/>
              <w:bottom w:val="single" w:sz="4" w:space="0" w:color="auto"/>
              <w:right w:val="single" w:sz="4" w:space="0" w:color="auto"/>
            </w:tcBorders>
            <w:shd w:val="clear" w:color="000000" w:fill="FFFFFF"/>
            <w:noWrap/>
            <w:vAlign w:val="bottom"/>
            <w:hideMark/>
          </w:tcPr>
          <w:p w14:paraId="4DE12AD1"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0.28</w:t>
            </w:r>
          </w:p>
        </w:tc>
        <w:tc>
          <w:tcPr>
            <w:tcW w:w="960" w:type="dxa"/>
            <w:tcBorders>
              <w:top w:val="nil"/>
              <w:left w:val="nil"/>
              <w:bottom w:val="single" w:sz="4" w:space="0" w:color="auto"/>
              <w:right w:val="single" w:sz="4" w:space="0" w:color="auto"/>
            </w:tcBorders>
            <w:shd w:val="clear" w:color="000000" w:fill="FFFFFF"/>
            <w:noWrap/>
            <w:vAlign w:val="bottom"/>
            <w:hideMark/>
          </w:tcPr>
          <w:p w14:paraId="523471A9"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0.06</w:t>
            </w:r>
          </w:p>
        </w:tc>
      </w:tr>
      <w:tr w:rsidR="00CF68E5" w:rsidRPr="00CF68E5" w14:paraId="4B4BCA7C"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3591F214"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K</w:t>
            </w:r>
          </w:p>
        </w:tc>
        <w:tc>
          <w:tcPr>
            <w:tcW w:w="960" w:type="dxa"/>
            <w:tcBorders>
              <w:top w:val="nil"/>
              <w:left w:val="nil"/>
              <w:bottom w:val="single" w:sz="4" w:space="0" w:color="auto"/>
              <w:right w:val="single" w:sz="4" w:space="0" w:color="auto"/>
            </w:tcBorders>
            <w:shd w:val="clear" w:color="000000" w:fill="FFFFFF"/>
            <w:noWrap/>
            <w:vAlign w:val="bottom"/>
            <w:hideMark/>
          </w:tcPr>
          <w:p w14:paraId="3B00CAF9"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162.35</w:t>
            </w:r>
          </w:p>
        </w:tc>
        <w:tc>
          <w:tcPr>
            <w:tcW w:w="960" w:type="dxa"/>
            <w:tcBorders>
              <w:top w:val="nil"/>
              <w:left w:val="nil"/>
              <w:bottom w:val="single" w:sz="4" w:space="0" w:color="auto"/>
              <w:right w:val="single" w:sz="4" w:space="0" w:color="auto"/>
            </w:tcBorders>
            <w:shd w:val="clear" w:color="000000" w:fill="FFFFFF"/>
            <w:noWrap/>
            <w:vAlign w:val="bottom"/>
            <w:hideMark/>
          </w:tcPr>
          <w:p w14:paraId="287786E7"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0.32</w:t>
            </w:r>
          </w:p>
        </w:tc>
        <w:tc>
          <w:tcPr>
            <w:tcW w:w="960" w:type="dxa"/>
            <w:tcBorders>
              <w:top w:val="nil"/>
              <w:left w:val="nil"/>
              <w:bottom w:val="single" w:sz="4" w:space="0" w:color="auto"/>
              <w:right w:val="single" w:sz="4" w:space="0" w:color="auto"/>
            </w:tcBorders>
            <w:shd w:val="clear" w:color="000000" w:fill="FFFFFF"/>
            <w:noWrap/>
            <w:vAlign w:val="bottom"/>
            <w:hideMark/>
          </w:tcPr>
          <w:p w14:paraId="0C7F1A99"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0.62</w:t>
            </w:r>
          </w:p>
        </w:tc>
        <w:tc>
          <w:tcPr>
            <w:tcW w:w="960" w:type="dxa"/>
            <w:tcBorders>
              <w:top w:val="nil"/>
              <w:left w:val="nil"/>
              <w:bottom w:val="single" w:sz="4" w:space="0" w:color="auto"/>
              <w:right w:val="single" w:sz="4" w:space="0" w:color="auto"/>
            </w:tcBorders>
            <w:shd w:val="clear" w:color="000000" w:fill="FFFFFF"/>
            <w:noWrap/>
            <w:vAlign w:val="bottom"/>
            <w:hideMark/>
          </w:tcPr>
          <w:p w14:paraId="032C086C"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0.07</w:t>
            </w:r>
          </w:p>
        </w:tc>
      </w:tr>
      <w:tr w:rsidR="00CF68E5" w:rsidRPr="00CF68E5" w14:paraId="751FB9D6"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35A3DA2E"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L</w:t>
            </w:r>
          </w:p>
        </w:tc>
        <w:tc>
          <w:tcPr>
            <w:tcW w:w="960" w:type="dxa"/>
            <w:tcBorders>
              <w:top w:val="nil"/>
              <w:left w:val="nil"/>
              <w:bottom w:val="single" w:sz="4" w:space="0" w:color="auto"/>
              <w:right w:val="single" w:sz="4" w:space="0" w:color="auto"/>
            </w:tcBorders>
            <w:shd w:val="clear" w:color="000000" w:fill="FFFFFF"/>
            <w:noWrap/>
            <w:vAlign w:val="bottom"/>
            <w:hideMark/>
          </w:tcPr>
          <w:p w14:paraId="69F5ED1A"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289.52</w:t>
            </w:r>
          </w:p>
        </w:tc>
        <w:tc>
          <w:tcPr>
            <w:tcW w:w="960" w:type="dxa"/>
            <w:tcBorders>
              <w:top w:val="nil"/>
              <w:left w:val="nil"/>
              <w:bottom w:val="single" w:sz="4" w:space="0" w:color="auto"/>
              <w:right w:val="single" w:sz="4" w:space="0" w:color="auto"/>
            </w:tcBorders>
            <w:shd w:val="clear" w:color="000000" w:fill="FFFFFF"/>
            <w:noWrap/>
            <w:vAlign w:val="bottom"/>
            <w:hideMark/>
          </w:tcPr>
          <w:p w14:paraId="1A95E8D9"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0.15</w:t>
            </w:r>
          </w:p>
        </w:tc>
        <w:tc>
          <w:tcPr>
            <w:tcW w:w="960" w:type="dxa"/>
            <w:tcBorders>
              <w:top w:val="nil"/>
              <w:left w:val="nil"/>
              <w:bottom w:val="single" w:sz="4" w:space="0" w:color="auto"/>
              <w:right w:val="single" w:sz="4" w:space="0" w:color="auto"/>
            </w:tcBorders>
            <w:shd w:val="clear" w:color="000000" w:fill="FFFFFF"/>
            <w:noWrap/>
            <w:vAlign w:val="bottom"/>
            <w:hideMark/>
          </w:tcPr>
          <w:p w14:paraId="04127D9D"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0.48</w:t>
            </w:r>
          </w:p>
        </w:tc>
        <w:tc>
          <w:tcPr>
            <w:tcW w:w="960" w:type="dxa"/>
            <w:tcBorders>
              <w:top w:val="nil"/>
              <w:left w:val="nil"/>
              <w:bottom w:val="single" w:sz="4" w:space="0" w:color="auto"/>
              <w:right w:val="single" w:sz="4" w:space="0" w:color="auto"/>
            </w:tcBorders>
            <w:shd w:val="clear" w:color="000000" w:fill="FFFFFF"/>
            <w:noWrap/>
            <w:vAlign w:val="bottom"/>
            <w:hideMark/>
          </w:tcPr>
          <w:p w14:paraId="5469AD07"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0.37</w:t>
            </w:r>
          </w:p>
        </w:tc>
      </w:tr>
      <w:tr w:rsidR="00CF68E5" w:rsidRPr="00CF68E5" w14:paraId="5956CD63"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5D292DD8"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M</w:t>
            </w:r>
          </w:p>
        </w:tc>
        <w:tc>
          <w:tcPr>
            <w:tcW w:w="960" w:type="dxa"/>
            <w:tcBorders>
              <w:top w:val="nil"/>
              <w:left w:val="nil"/>
              <w:bottom w:val="single" w:sz="4" w:space="0" w:color="auto"/>
              <w:right w:val="single" w:sz="4" w:space="0" w:color="auto"/>
            </w:tcBorders>
            <w:shd w:val="clear" w:color="000000" w:fill="FFFFFF"/>
            <w:noWrap/>
            <w:vAlign w:val="bottom"/>
            <w:hideMark/>
          </w:tcPr>
          <w:p w14:paraId="0FD08EEA"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60.66</w:t>
            </w:r>
          </w:p>
        </w:tc>
        <w:tc>
          <w:tcPr>
            <w:tcW w:w="960" w:type="dxa"/>
            <w:tcBorders>
              <w:top w:val="nil"/>
              <w:left w:val="nil"/>
              <w:bottom w:val="single" w:sz="4" w:space="0" w:color="auto"/>
              <w:right w:val="single" w:sz="4" w:space="0" w:color="auto"/>
            </w:tcBorders>
            <w:shd w:val="clear" w:color="000000" w:fill="FFFFFF"/>
            <w:noWrap/>
            <w:vAlign w:val="bottom"/>
            <w:hideMark/>
          </w:tcPr>
          <w:p w14:paraId="4F075982"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0.43</w:t>
            </w:r>
          </w:p>
        </w:tc>
        <w:tc>
          <w:tcPr>
            <w:tcW w:w="960" w:type="dxa"/>
            <w:tcBorders>
              <w:top w:val="nil"/>
              <w:left w:val="nil"/>
              <w:bottom w:val="single" w:sz="4" w:space="0" w:color="auto"/>
              <w:right w:val="single" w:sz="4" w:space="0" w:color="auto"/>
            </w:tcBorders>
            <w:shd w:val="clear" w:color="000000" w:fill="FFFFFF"/>
            <w:noWrap/>
            <w:vAlign w:val="bottom"/>
            <w:hideMark/>
          </w:tcPr>
          <w:p w14:paraId="6801BA66"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0.48</w:t>
            </w:r>
          </w:p>
        </w:tc>
        <w:tc>
          <w:tcPr>
            <w:tcW w:w="960" w:type="dxa"/>
            <w:tcBorders>
              <w:top w:val="nil"/>
              <w:left w:val="nil"/>
              <w:bottom w:val="single" w:sz="4" w:space="0" w:color="auto"/>
              <w:right w:val="single" w:sz="4" w:space="0" w:color="auto"/>
            </w:tcBorders>
            <w:shd w:val="clear" w:color="000000" w:fill="FFFFFF"/>
            <w:noWrap/>
            <w:vAlign w:val="bottom"/>
            <w:hideMark/>
          </w:tcPr>
          <w:p w14:paraId="2558C3A8"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0.09</w:t>
            </w:r>
          </w:p>
        </w:tc>
      </w:tr>
      <w:tr w:rsidR="00CF68E5" w:rsidRPr="00CF68E5" w14:paraId="2FE6113F"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72122222"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N</w:t>
            </w:r>
          </w:p>
        </w:tc>
        <w:tc>
          <w:tcPr>
            <w:tcW w:w="960" w:type="dxa"/>
            <w:tcBorders>
              <w:top w:val="nil"/>
              <w:left w:val="nil"/>
              <w:bottom w:val="single" w:sz="4" w:space="0" w:color="auto"/>
              <w:right w:val="single" w:sz="4" w:space="0" w:color="auto"/>
            </w:tcBorders>
            <w:shd w:val="clear" w:color="000000" w:fill="FFFFFF"/>
            <w:noWrap/>
            <w:vAlign w:val="bottom"/>
            <w:hideMark/>
          </w:tcPr>
          <w:p w14:paraId="3CB46405"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2.59</w:t>
            </w:r>
          </w:p>
        </w:tc>
        <w:tc>
          <w:tcPr>
            <w:tcW w:w="960" w:type="dxa"/>
            <w:tcBorders>
              <w:top w:val="nil"/>
              <w:left w:val="nil"/>
              <w:bottom w:val="single" w:sz="4" w:space="0" w:color="auto"/>
              <w:right w:val="single" w:sz="4" w:space="0" w:color="auto"/>
            </w:tcBorders>
            <w:shd w:val="clear" w:color="000000" w:fill="FFFFFF"/>
            <w:noWrap/>
            <w:vAlign w:val="bottom"/>
            <w:hideMark/>
          </w:tcPr>
          <w:p w14:paraId="6F6DDC6B"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0.6</w:t>
            </w:r>
          </w:p>
        </w:tc>
        <w:tc>
          <w:tcPr>
            <w:tcW w:w="960" w:type="dxa"/>
            <w:tcBorders>
              <w:top w:val="nil"/>
              <w:left w:val="nil"/>
              <w:bottom w:val="single" w:sz="4" w:space="0" w:color="auto"/>
              <w:right w:val="single" w:sz="4" w:space="0" w:color="auto"/>
            </w:tcBorders>
            <w:shd w:val="clear" w:color="000000" w:fill="FFFFFF"/>
            <w:noWrap/>
            <w:vAlign w:val="bottom"/>
            <w:hideMark/>
          </w:tcPr>
          <w:p w14:paraId="64ADF572"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0.38</w:t>
            </w:r>
          </w:p>
        </w:tc>
        <w:tc>
          <w:tcPr>
            <w:tcW w:w="960" w:type="dxa"/>
            <w:tcBorders>
              <w:top w:val="nil"/>
              <w:left w:val="nil"/>
              <w:bottom w:val="single" w:sz="4" w:space="0" w:color="auto"/>
              <w:right w:val="single" w:sz="4" w:space="0" w:color="auto"/>
            </w:tcBorders>
            <w:shd w:val="clear" w:color="000000" w:fill="FFFFFF"/>
            <w:noWrap/>
            <w:vAlign w:val="bottom"/>
            <w:hideMark/>
          </w:tcPr>
          <w:p w14:paraId="00AE0AEF"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0.02</w:t>
            </w:r>
          </w:p>
        </w:tc>
      </w:tr>
      <w:tr w:rsidR="00CF68E5" w:rsidRPr="00CF68E5" w14:paraId="3139C273"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28306DFD"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O</w:t>
            </w:r>
          </w:p>
        </w:tc>
        <w:tc>
          <w:tcPr>
            <w:tcW w:w="960" w:type="dxa"/>
            <w:tcBorders>
              <w:top w:val="nil"/>
              <w:left w:val="nil"/>
              <w:bottom w:val="single" w:sz="4" w:space="0" w:color="auto"/>
              <w:right w:val="single" w:sz="4" w:space="0" w:color="auto"/>
            </w:tcBorders>
            <w:shd w:val="clear" w:color="000000" w:fill="FFFFFF"/>
            <w:noWrap/>
            <w:vAlign w:val="bottom"/>
            <w:hideMark/>
          </w:tcPr>
          <w:p w14:paraId="64F8488E"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2.99</w:t>
            </w:r>
          </w:p>
        </w:tc>
        <w:tc>
          <w:tcPr>
            <w:tcW w:w="960" w:type="dxa"/>
            <w:tcBorders>
              <w:top w:val="nil"/>
              <w:left w:val="nil"/>
              <w:bottom w:val="single" w:sz="4" w:space="0" w:color="auto"/>
              <w:right w:val="single" w:sz="4" w:space="0" w:color="auto"/>
            </w:tcBorders>
            <w:shd w:val="clear" w:color="000000" w:fill="FFFFFF"/>
            <w:noWrap/>
            <w:vAlign w:val="bottom"/>
            <w:hideMark/>
          </w:tcPr>
          <w:p w14:paraId="24045647"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0.14</w:t>
            </w:r>
          </w:p>
        </w:tc>
        <w:tc>
          <w:tcPr>
            <w:tcW w:w="960" w:type="dxa"/>
            <w:tcBorders>
              <w:top w:val="nil"/>
              <w:left w:val="nil"/>
              <w:bottom w:val="single" w:sz="4" w:space="0" w:color="auto"/>
              <w:right w:val="single" w:sz="4" w:space="0" w:color="auto"/>
            </w:tcBorders>
            <w:shd w:val="clear" w:color="000000" w:fill="FFFFFF"/>
            <w:noWrap/>
            <w:vAlign w:val="bottom"/>
            <w:hideMark/>
          </w:tcPr>
          <w:p w14:paraId="556EA620"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0.63</w:t>
            </w:r>
          </w:p>
        </w:tc>
        <w:tc>
          <w:tcPr>
            <w:tcW w:w="960" w:type="dxa"/>
            <w:tcBorders>
              <w:top w:val="nil"/>
              <w:left w:val="nil"/>
              <w:bottom w:val="single" w:sz="4" w:space="0" w:color="auto"/>
              <w:right w:val="single" w:sz="4" w:space="0" w:color="auto"/>
            </w:tcBorders>
            <w:shd w:val="clear" w:color="000000" w:fill="FFFFFF"/>
            <w:noWrap/>
            <w:vAlign w:val="bottom"/>
            <w:hideMark/>
          </w:tcPr>
          <w:p w14:paraId="10E80CA5"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0.23</w:t>
            </w:r>
          </w:p>
        </w:tc>
      </w:tr>
      <w:tr w:rsidR="00CF68E5" w:rsidRPr="00CF68E5" w14:paraId="0E723F39"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0FE58B93"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P</w:t>
            </w:r>
          </w:p>
        </w:tc>
        <w:tc>
          <w:tcPr>
            <w:tcW w:w="960" w:type="dxa"/>
            <w:tcBorders>
              <w:top w:val="nil"/>
              <w:left w:val="nil"/>
              <w:bottom w:val="single" w:sz="4" w:space="0" w:color="auto"/>
              <w:right w:val="single" w:sz="4" w:space="0" w:color="auto"/>
            </w:tcBorders>
            <w:shd w:val="clear" w:color="000000" w:fill="FFFFFF"/>
            <w:noWrap/>
            <w:vAlign w:val="bottom"/>
            <w:hideMark/>
          </w:tcPr>
          <w:p w14:paraId="7428390D"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3.48</w:t>
            </w:r>
          </w:p>
        </w:tc>
        <w:tc>
          <w:tcPr>
            <w:tcW w:w="960" w:type="dxa"/>
            <w:tcBorders>
              <w:top w:val="nil"/>
              <w:left w:val="nil"/>
              <w:bottom w:val="single" w:sz="4" w:space="0" w:color="auto"/>
              <w:right w:val="single" w:sz="4" w:space="0" w:color="auto"/>
            </w:tcBorders>
            <w:shd w:val="clear" w:color="000000" w:fill="FFFFFF"/>
            <w:noWrap/>
            <w:vAlign w:val="bottom"/>
            <w:hideMark/>
          </w:tcPr>
          <w:p w14:paraId="46219FD5"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0.32</w:t>
            </w:r>
          </w:p>
        </w:tc>
        <w:tc>
          <w:tcPr>
            <w:tcW w:w="960" w:type="dxa"/>
            <w:tcBorders>
              <w:top w:val="nil"/>
              <w:left w:val="nil"/>
              <w:bottom w:val="single" w:sz="4" w:space="0" w:color="auto"/>
              <w:right w:val="single" w:sz="4" w:space="0" w:color="auto"/>
            </w:tcBorders>
            <w:shd w:val="clear" w:color="000000" w:fill="FFFFFF"/>
            <w:noWrap/>
            <w:vAlign w:val="bottom"/>
            <w:hideMark/>
          </w:tcPr>
          <w:p w14:paraId="12FD8ED1"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0.36</w:t>
            </w:r>
          </w:p>
        </w:tc>
        <w:tc>
          <w:tcPr>
            <w:tcW w:w="960" w:type="dxa"/>
            <w:tcBorders>
              <w:top w:val="nil"/>
              <w:left w:val="nil"/>
              <w:bottom w:val="single" w:sz="4" w:space="0" w:color="auto"/>
              <w:right w:val="single" w:sz="4" w:space="0" w:color="auto"/>
            </w:tcBorders>
            <w:shd w:val="clear" w:color="000000" w:fill="FFFFFF"/>
            <w:noWrap/>
            <w:vAlign w:val="bottom"/>
            <w:hideMark/>
          </w:tcPr>
          <w:p w14:paraId="245C92A3"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0.32</w:t>
            </w:r>
          </w:p>
        </w:tc>
      </w:tr>
      <w:tr w:rsidR="00CF68E5" w:rsidRPr="00CF68E5" w14:paraId="4DD3ADDA"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4FF03689"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Q</w:t>
            </w:r>
          </w:p>
        </w:tc>
        <w:tc>
          <w:tcPr>
            <w:tcW w:w="960" w:type="dxa"/>
            <w:tcBorders>
              <w:top w:val="nil"/>
              <w:left w:val="nil"/>
              <w:bottom w:val="single" w:sz="4" w:space="0" w:color="auto"/>
              <w:right w:val="single" w:sz="4" w:space="0" w:color="auto"/>
            </w:tcBorders>
            <w:shd w:val="clear" w:color="000000" w:fill="FFFFFF"/>
            <w:noWrap/>
            <w:vAlign w:val="bottom"/>
            <w:hideMark/>
          </w:tcPr>
          <w:p w14:paraId="4D6914E3"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6.71</w:t>
            </w:r>
          </w:p>
        </w:tc>
        <w:tc>
          <w:tcPr>
            <w:tcW w:w="960" w:type="dxa"/>
            <w:tcBorders>
              <w:top w:val="nil"/>
              <w:left w:val="nil"/>
              <w:bottom w:val="single" w:sz="4" w:space="0" w:color="auto"/>
              <w:right w:val="single" w:sz="4" w:space="0" w:color="auto"/>
            </w:tcBorders>
            <w:shd w:val="clear" w:color="000000" w:fill="FFFFFF"/>
            <w:noWrap/>
            <w:vAlign w:val="bottom"/>
            <w:hideMark/>
          </w:tcPr>
          <w:p w14:paraId="5353309D"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0.29</w:t>
            </w:r>
          </w:p>
        </w:tc>
        <w:tc>
          <w:tcPr>
            <w:tcW w:w="960" w:type="dxa"/>
            <w:tcBorders>
              <w:top w:val="nil"/>
              <w:left w:val="nil"/>
              <w:bottom w:val="single" w:sz="4" w:space="0" w:color="auto"/>
              <w:right w:val="single" w:sz="4" w:space="0" w:color="auto"/>
            </w:tcBorders>
            <w:shd w:val="clear" w:color="000000" w:fill="FFFFFF"/>
            <w:noWrap/>
            <w:vAlign w:val="bottom"/>
            <w:hideMark/>
          </w:tcPr>
          <w:p w14:paraId="397CE34F"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0.24</w:t>
            </w:r>
          </w:p>
        </w:tc>
        <w:tc>
          <w:tcPr>
            <w:tcW w:w="960" w:type="dxa"/>
            <w:tcBorders>
              <w:top w:val="nil"/>
              <w:left w:val="nil"/>
              <w:bottom w:val="single" w:sz="4" w:space="0" w:color="auto"/>
              <w:right w:val="single" w:sz="4" w:space="0" w:color="auto"/>
            </w:tcBorders>
            <w:shd w:val="clear" w:color="000000" w:fill="FFFFFF"/>
            <w:noWrap/>
            <w:vAlign w:val="bottom"/>
            <w:hideMark/>
          </w:tcPr>
          <w:p w14:paraId="0729133D"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0.46</w:t>
            </w:r>
          </w:p>
        </w:tc>
      </w:tr>
      <w:tr w:rsidR="00CF68E5" w:rsidRPr="00CF68E5" w14:paraId="0CEBF3B8"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4CC161DB"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R</w:t>
            </w:r>
          </w:p>
        </w:tc>
        <w:tc>
          <w:tcPr>
            <w:tcW w:w="960" w:type="dxa"/>
            <w:tcBorders>
              <w:top w:val="nil"/>
              <w:left w:val="nil"/>
              <w:bottom w:val="single" w:sz="4" w:space="0" w:color="auto"/>
              <w:right w:val="single" w:sz="4" w:space="0" w:color="auto"/>
            </w:tcBorders>
            <w:shd w:val="clear" w:color="000000" w:fill="FFFFFF"/>
            <w:noWrap/>
            <w:vAlign w:val="bottom"/>
            <w:hideMark/>
          </w:tcPr>
          <w:p w14:paraId="31D3EA59"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17.81</w:t>
            </w:r>
          </w:p>
        </w:tc>
        <w:tc>
          <w:tcPr>
            <w:tcW w:w="960" w:type="dxa"/>
            <w:tcBorders>
              <w:top w:val="nil"/>
              <w:left w:val="nil"/>
              <w:bottom w:val="single" w:sz="4" w:space="0" w:color="auto"/>
              <w:right w:val="single" w:sz="4" w:space="0" w:color="auto"/>
            </w:tcBorders>
            <w:shd w:val="clear" w:color="000000" w:fill="FFFFFF"/>
            <w:noWrap/>
            <w:vAlign w:val="bottom"/>
            <w:hideMark/>
          </w:tcPr>
          <w:p w14:paraId="29D21F5E"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0.61</w:t>
            </w:r>
          </w:p>
        </w:tc>
        <w:tc>
          <w:tcPr>
            <w:tcW w:w="960" w:type="dxa"/>
            <w:tcBorders>
              <w:top w:val="nil"/>
              <w:left w:val="nil"/>
              <w:bottom w:val="single" w:sz="4" w:space="0" w:color="auto"/>
              <w:right w:val="single" w:sz="4" w:space="0" w:color="auto"/>
            </w:tcBorders>
            <w:shd w:val="clear" w:color="000000" w:fill="FFFFFF"/>
            <w:noWrap/>
            <w:vAlign w:val="bottom"/>
            <w:hideMark/>
          </w:tcPr>
          <w:p w14:paraId="7D0A141D"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0.31</w:t>
            </w:r>
          </w:p>
        </w:tc>
        <w:tc>
          <w:tcPr>
            <w:tcW w:w="960" w:type="dxa"/>
            <w:tcBorders>
              <w:top w:val="nil"/>
              <w:left w:val="nil"/>
              <w:bottom w:val="single" w:sz="4" w:space="0" w:color="auto"/>
              <w:right w:val="single" w:sz="4" w:space="0" w:color="auto"/>
            </w:tcBorders>
            <w:shd w:val="clear" w:color="000000" w:fill="FFFFFF"/>
            <w:noWrap/>
            <w:vAlign w:val="bottom"/>
            <w:hideMark/>
          </w:tcPr>
          <w:p w14:paraId="06B29ADE"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0.07</w:t>
            </w:r>
          </w:p>
        </w:tc>
      </w:tr>
      <w:tr w:rsidR="00CF68E5" w:rsidRPr="00CF68E5" w14:paraId="4A16F924" w14:textId="77777777" w:rsidTr="00CF68E5">
        <w:trPr>
          <w:trHeight w:val="2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52F18EBE" w14:textId="77777777" w:rsidR="00CF68E5" w:rsidRPr="00CF68E5" w:rsidRDefault="00CF68E5" w:rsidP="00CF68E5">
            <w:pPr>
              <w:spacing w:after="0" w:line="240" w:lineRule="auto"/>
              <w:rPr>
                <w:rFonts w:eastAsia="Times New Roman"/>
                <w:color w:val="000000"/>
              </w:rPr>
            </w:pPr>
            <w:r w:rsidRPr="00CF68E5">
              <w:rPr>
                <w:rFonts w:eastAsia="Times New Roman"/>
                <w:color w:val="000000"/>
              </w:rPr>
              <w:t>S</w:t>
            </w:r>
          </w:p>
        </w:tc>
        <w:tc>
          <w:tcPr>
            <w:tcW w:w="960" w:type="dxa"/>
            <w:tcBorders>
              <w:top w:val="nil"/>
              <w:left w:val="nil"/>
              <w:bottom w:val="single" w:sz="4" w:space="0" w:color="auto"/>
              <w:right w:val="single" w:sz="4" w:space="0" w:color="auto"/>
            </w:tcBorders>
            <w:shd w:val="clear" w:color="000000" w:fill="FFFFFF"/>
            <w:noWrap/>
            <w:vAlign w:val="bottom"/>
            <w:hideMark/>
          </w:tcPr>
          <w:p w14:paraId="17FDF202"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62.86</w:t>
            </w:r>
          </w:p>
        </w:tc>
        <w:tc>
          <w:tcPr>
            <w:tcW w:w="960" w:type="dxa"/>
            <w:tcBorders>
              <w:top w:val="nil"/>
              <w:left w:val="nil"/>
              <w:bottom w:val="single" w:sz="4" w:space="0" w:color="auto"/>
              <w:right w:val="single" w:sz="4" w:space="0" w:color="auto"/>
            </w:tcBorders>
            <w:shd w:val="clear" w:color="000000" w:fill="FFFFFF"/>
            <w:noWrap/>
            <w:vAlign w:val="bottom"/>
            <w:hideMark/>
          </w:tcPr>
          <w:p w14:paraId="0439E82F"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0.41</w:t>
            </w:r>
          </w:p>
        </w:tc>
        <w:tc>
          <w:tcPr>
            <w:tcW w:w="960" w:type="dxa"/>
            <w:tcBorders>
              <w:top w:val="nil"/>
              <w:left w:val="nil"/>
              <w:bottom w:val="single" w:sz="4" w:space="0" w:color="auto"/>
              <w:right w:val="single" w:sz="4" w:space="0" w:color="auto"/>
            </w:tcBorders>
            <w:shd w:val="clear" w:color="000000" w:fill="FFFFFF"/>
            <w:noWrap/>
            <w:vAlign w:val="bottom"/>
            <w:hideMark/>
          </w:tcPr>
          <w:p w14:paraId="3C8D020E"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0.48</w:t>
            </w:r>
          </w:p>
        </w:tc>
        <w:tc>
          <w:tcPr>
            <w:tcW w:w="960" w:type="dxa"/>
            <w:tcBorders>
              <w:top w:val="nil"/>
              <w:left w:val="nil"/>
              <w:bottom w:val="single" w:sz="4" w:space="0" w:color="auto"/>
              <w:right w:val="single" w:sz="4" w:space="0" w:color="auto"/>
            </w:tcBorders>
            <w:shd w:val="clear" w:color="000000" w:fill="FFFFFF"/>
            <w:noWrap/>
            <w:vAlign w:val="bottom"/>
            <w:hideMark/>
          </w:tcPr>
          <w:p w14:paraId="0894A8A8" w14:textId="77777777" w:rsidR="00CF68E5" w:rsidRPr="00CF68E5" w:rsidRDefault="00CF68E5" w:rsidP="00CF68E5">
            <w:pPr>
              <w:spacing w:after="0" w:line="240" w:lineRule="auto"/>
              <w:jc w:val="right"/>
              <w:rPr>
                <w:rFonts w:eastAsia="Times New Roman"/>
                <w:color w:val="000000"/>
              </w:rPr>
            </w:pPr>
            <w:r w:rsidRPr="00CF68E5">
              <w:rPr>
                <w:rFonts w:eastAsia="Times New Roman"/>
                <w:color w:val="000000"/>
              </w:rPr>
              <w:t>0.12</w:t>
            </w:r>
          </w:p>
        </w:tc>
      </w:tr>
    </w:tbl>
    <w:p w14:paraId="09938575" w14:textId="299888F9" w:rsidR="00CF68E5" w:rsidRDefault="00CF68E5" w:rsidP="00CF68E5">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Linear Regression and Search Algorithm Results</w:t>
      </w:r>
    </w:p>
    <w:p w14:paraId="030906DC" w14:textId="5EA93837" w:rsidR="00816732" w:rsidRDefault="00CF68E5" w:rsidP="00816732">
      <w:pPr>
        <w:rPr>
          <w:rFonts w:eastAsiaTheme="minorEastAsia"/>
        </w:rPr>
      </w:pPr>
      <w:proofErr w:type="gramStart"/>
      <w:r>
        <w:t>This coefficients</w:t>
      </w:r>
      <w:proofErr w:type="gramEnd"/>
      <w:r>
        <w:t xml:space="preserve"> could be used in any future CGEM modelling without the bias of having a single benchmark year.</w:t>
      </w:r>
    </w:p>
    <w:p w14:paraId="4197382E" w14:textId="334F16F3" w:rsidR="008D0741" w:rsidRDefault="008D0741" w:rsidP="006408BA">
      <w:pPr>
        <w:pStyle w:val="HeadingNumbered"/>
        <w:rPr>
          <w:rFonts w:eastAsiaTheme="minorEastAsia"/>
        </w:rPr>
      </w:pPr>
      <w:bookmarkStart w:id="14" w:name="_Ref141459102"/>
      <w:r>
        <w:rPr>
          <w:rFonts w:eastAsiaTheme="minorEastAsia"/>
        </w:rPr>
        <w:t xml:space="preserve">Price Elasticity </w:t>
      </w:r>
      <w:r w:rsidR="00707759">
        <w:rPr>
          <w:rFonts w:eastAsiaTheme="minorEastAsia"/>
        </w:rPr>
        <w:t>Modelling</w:t>
      </w:r>
      <w:bookmarkEnd w:id="14"/>
    </w:p>
    <w:p w14:paraId="63EC8B21" w14:textId="75D92E71" w:rsidR="00816732" w:rsidRDefault="00622464" w:rsidP="00816732">
      <w:r>
        <w:t>[</w:t>
      </w:r>
      <w:r w:rsidRPr="00622464">
        <w:rPr>
          <w:b/>
          <w:bCs/>
        </w:rPr>
        <w:t>to be complete</w:t>
      </w:r>
      <w:r>
        <w:t>]</w:t>
      </w:r>
    </w:p>
    <w:p w14:paraId="38C381DE" w14:textId="31581680" w:rsidR="008D0741" w:rsidRDefault="008D0741" w:rsidP="008D0741">
      <w:pPr>
        <w:autoSpaceDE w:val="0"/>
        <w:autoSpaceDN w:val="0"/>
        <w:adjustRightInd w:val="0"/>
        <w:spacing w:after="0" w:line="240" w:lineRule="auto"/>
        <w:rPr>
          <w:rFonts w:ascii="Book Antiqua" w:hAnsi="Book Antiqua" w:cs="Book Antiqua"/>
        </w:rPr>
      </w:pPr>
      <w:r>
        <w:rPr>
          <w:rFonts w:ascii="Book Antiqua" w:hAnsi="Book Antiqua" w:cs="Book Antiqua"/>
        </w:rPr>
        <w:t xml:space="preserve">It can be shown that </w:t>
      </w:r>
      <w:r>
        <w:rPr>
          <w:rFonts w:ascii="Cambria Math" w:hAnsi="Cambria Math" w:cs="Cambria Math"/>
        </w:rPr>
        <w:t>[𝜎</w:t>
      </w:r>
      <w:r>
        <w:rPr>
          <w:rFonts w:ascii="Cambria Math" w:hAnsi="Cambria Math" w:cs="Cambria Math"/>
          <w:sz w:val="16"/>
          <w:szCs w:val="16"/>
        </w:rPr>
        <w:t>𝑖𝑗</w:t>
      </w:r>
      <w:r>
        <w:rPr>
          <w:rFonts w:ascii="Cambria Math" w:hAnsi="Cambria Math" w:cs="Cambria Math"/>
        </w:rPr>
        <w:t>]</w:t>
      </w:r>
      <w:r>
        <w:rPr>
          <w:rFonts w:ascii="Cambria Math" w:hAnsi="Cambria Math" w:cs="Cambria Math"/>
          <w:sz w:val="16"/>
          <w:szCs w:val="16"/>
        </w:rPr>
        <w:t xml:space="preserve">𝑁×𝑁 </w:t>
      </w:r>
      <w:r>
        <w:rPr>
          <w:rFonts w:ascii="Book Antiqua" w:hAnsi="Book Antiqua" w:cs="Book Antiqua"/>
        </w:rPr>
        <w:t>is also symmetric, and the matrix is NSD if and</w:t>
      </w:r>
    </w:p>
    <w:p w14:paraId="3F59FD70" w14:textId="77777777" w:rsidR="008D0741" w:rsidRDefault="008D0741" w:rsidP="008D0741">
      <w:pPr>
        <w:autoSpaceDE w:val="0"/>
        <w:autoSpaceDN w:val="0"/>
        <w:adjustRightInd w:val="0"/>
        <w:spacing w:after="0" w:line="240" w:lineRule="auto"/>
        <w:rPr>
          <w:rFonts w:ascii="Book Antiqua" w:hAnsi="Book Antiqua" w:cs="Book Antiqua"/>
        </w:rPr>
      </w:pPr>
      <w:r>
        <w:rPr>
          <w:rFonts w:ascii="Book Antiqua" w:hAnsi="Book Antiqua" w:cs="Book Antiqua"/>
        </w:rPr>
        <w:t xml:space="preserve">only if </w:t>
      </w:r>
      <w:r>
        <w:rPr>
          <w:rFonts w:ascii="Cambria Math" w:hAnsi="Cambria Math" w:cs="Cambria Math"/>
        </w:rPr>
        <w:t>[𝜕𝑞/𝜕</w:t>
      </w:r>
      <w:proofErr w:type="gramStart"/>
      <w:r>
        <w:rPr>
          <w:rFonts w:ascii="Cambria Math" w:hAnsi="Cambria Math" w:cs="Cambria Math"/>
        </w:rPr>
        <w:t>𝑝]</w:t>
      </w:r>
      <w:r>
        <w:rPr>
          <w:rFonts w:ascii="Cambria Math" w:hAnsi="Cambria Math" w:cs="Cambria Math"/>
          <w:sz w:val="16"/>
          <w:szCs w:val="16"/>
        </w:rPr>
        <w:t>𝑁</w:t>
      </w:r>
      <w:proofErr w:type="gramEnd"/>
      <w:r>
        <w:rPr>
          <w:rFonts w:ascii="Cambria Math" w:hAnsi="Cambria Math" w:cs="Cambria Math"/>
          <w:sz w:val="16"/>
          <w:szCs w:val="16"/>
        </w:rPr>
        <w:t xml:space="preserve">×𝑁 </w:t>
      </w:r>
      <w:r>
        <w:rPr>
          <w:rFonts w:ascii="Book Antiqua" w:hAnsi="Book Antiqua" w:cs="Book Antiqua"/>
        </w:rPr>
        <w:t>is NSD. Therefore, a demand system is regular means 1) the</w:t>
      </w:r>
    </w:p>
    <w:p w14:paraId="592FF263" w14:textId="5D5EA778" w:rsidR="008D0741" w:rsidRDefault="008D0741" w:rsidP="008D0741">
      <w:pPr>
        <w:autoSpaceDE w:val="0"/>
        <w:autoSpaceDN w:val="0"/>
        <w:adjustRightInd w:val="0"/>
        <w:spacing w:after="0" w:line="240" w:lineRule="auto"/>
        <w:rPr>
          <w:rFonts w:ascii="Book Antiqua" w:hAnsi="Book Antiqua" w:cs="Book Antiqua"/>
        </w:rPr>
      </w:pPr>
      <w:r>
        <w:rPr>
          <w:rFonts w:ascii="Book Antiqua" w:hAnsi="Book Antiqua" w:cs="Book Antiqua"/>
        </w:rPr>
        <w:t xml:space="preserve">Slutsky/AUES matrix </w:t>
      </w:r>
      <w:r>
        <w:rPr>
          <w:rFonts w:ascii="Cambria Math" w:hAnsi="Cambria Math" w:cs="Cambria Math"/>
        </w:rPr>
        <w:t>[𝜎</w:t>
      </w:r>
      <w:r>
        <w:rPr>
          <w:rFonts w:ascii="Cambria Math" w:hAnsi="Cambria Math" w:cs="Cambria Math"/>
          <w:sz w:val="16"/>
          <w:szCs w:val="16"/>
        </w:rPr>
        <w:t>𝑖𝑗</w:t>
      </w:r>
      <w:r>
        <w:rPr>
          <w:rFonts w:ascii="Cambria Math" w:hAnsi="Cambria Math" w:cs="Cambria Math"/>
        </w:rPr>
        <w:t>]</w:t>
      </w:r>
      <w:r>
        <w:rPr>
          <w:rFonts w:ascii="Cambria Math" w:hAnsi="Cambria Math" w:cs="Cambria Math"/>
          <w:sz w:val="16"/>
          <w:szCs w:val="16"/>
        </w:rPr>
        <w:t xml:space="preserve">𝑁×𝑁 </w:t>
      </w:r>
      <w:r>
        <w:rPr>
          <w:rFonts w:ascii="Book Antiqua" w:hAnsi="Book Antiqua" w:cs="Book Antiqua"/>
        </w:rPr>
        <w:t xml:space="preserve">is NSD; and 2) the </w:t>
      </w:r>
      <w:proofErr w:type="spellStart"/>
      <w:r>
        <w:rPr>
          <w:rFonts w:ascii="Book Antiqua" w:hAnsi="Book Antiqua" w:cs="Book Antiqua"/>
        </w:rPr>
        <w:t>Hicksian</w:t>
      </w:r>
      <w:proofErr w:type="spellEnd"/>
      <w:r>
        <w:rPr>
          <w:rFonts w:ascii="Book Antiqua" w:hAnsi="Book Antiqua" w:cs="Book Antiqua"/>
        </w:rPr>
        <w:t xml:space="preserve"> demand </w:t>
      </w:r>
      <w:r>
        <w:rPr>
          <w:rFonts w:ascii="Cambria Math" w:hAnsi="Cambria Math" w:cs="Cambria Math"/>
        </w:rPr>
        <w:t xml:space="preserve">𝑞 </w:t>
      </w:r>
      <w:r>
        <w:rPr>
          <w:rFonts w:ascii="Book Antiqua" w:hAnsi="Book Antiqua" w:cs="Book Antiqua"/>
        </w:rPr>
        <w:t>is nonnegative.</w:t>
      </w:r>
    </w:p>
    <w:p w14:paraId="0CF8C930" w14:textId="56174B21" w:rsidR="008D0741" w:rsidRDefault="008D0741" w:rsidP="008D0741">
      <w:pPr>
        <w:autoSpaceDE w:val="0"/>
        <w:autoSpaceDN w:val="0"/>
        <w:adjustRightInd w:val="0"/>
        <w:spacing w:after="0" w:line="240" w:lineRule="auto"/>
        <w:rPr>
          <w:rFonts w:ascii="Book Antiqua" w:hAnsi="Book Antiqua" w:cs="Book Antiqua"/>
        </w:rPr>
      </w:pPr>
      <w:r>
        <w:rPr>
          <w:rFonts w:ascii="Book Antiqua" w:hAnsi="Book Antiqua" w:cs="Book Antiqua"/>
        </w:rPr>
        <w:t xml:space="preserve">For CGE </w:t>
      </w:r>
      <w:proofErr w:type="spellStart"/>
      <w:r>
        <w:rPr>
          <w:rFonts w:ascii="Book Antiqua" w:hAnsi="Book Antiqua" w:cs="Book Antiqua"/>
        </w:rPr>
        <w:t>modeling</w:t>
      </w:r>
      <w:proofErr w:type="spellEnd"/>
      <w:r>
        <w:rPr>
          <w:rFonts w:ascii="Book Antiqua" w:hAnsi="Book Antiqua" w:cs="Book Antiqua"/>
        </w:rPr>
        <w:t>, it is necessary to ensure that the demand system is globally regular (i.e., it should remain regular everywhere in the domain of price).</w:t>
      </w:r>
    </w:p>
    <w:p w14:paraId="54AD75D7" w14:textId="77777777" w:rsidR="008D0741" w:rsidRDefault="008D0741" w:rsidP="008D0741">
      <w:pPr>
        <w:autoSpaceDE w:val="0"/>
        <w:autoSpaceDN w:val="0"/>
        <w:adjustRightInd w:val="0"/>
        <w:spacing w:after="0" w:line="240" w:lineRule="auto"/>
        <w:rPr>
          <w:rFonts w:ascii="Book Antiqua" w:hAnsi="Book Antiqua" w:cs="Book Antiqua"/>
        </w:rPr>
      </w:pPr>
    </w:p>
    <w:p w14:paraId="3F4AFBAC" w14:textId="77777777" w:rsidR="008D0741" w:rsidRDefault="008D0741" w:rsidP="008D0741">
      <w:pPr>
        <w:autoSpaceDE w:val="0"/>
        <w:autoSpaceDN w:val="0"/>
        <w:adjustRightInd w:val="0"/>
        <w:spacing w:after="0" w:line="240" w:lineRule="auto"/>
        <w:rPr>
          <w:rFonts w:ascii="Book Antiqua" w:hAnsi="Book Antiqua" w:cs="Book Antiqua"/>
        </w:rPr>
      </w:pPr>
      <w:r>
        <w:rPr>
          <w:rFonts w:ascii="Book Antiqua" w:hAnsi="Book Antiqua" w:cs="Book Antiqua"/>
        </w:rPr>
        <w:t>This is because the algorithm of the solver for finding equilibria may begin from</w:t>
      </w:r>
    </w:p>
    <w:p w14:paraId="5A631F1D" w14:textId="4093701C" w:rsidR="008D0741" w:rsidRDefault="008D0741" w:rsidP="008D0741">
      <w:pPr>
        <w:autoSpaceDE w:val="0"/>
        <w:autoSpaceDN w:val="0"/>
        <w:adjustRightInd w:val="0"/>
        <w:spacing w:after="0" w:line="240" w:lineRule="auto"/>
        <w:rPr>
          <w:rFonts w:ascii="Book Antiqua" w:hAnsi="Book Antiqua" w:cs="Book Antiqua"/>
        </w:rPr>
      </w:pPr>
      <w:r>
        <w:rPr>
          <w:rFonts w:ascii="Book Antiqua" w:hAnsi="Book Antiqua" w:cs="Book Antiqua"/>
        </w:rPr>
        <w:t>an initial point of price and quantity combination that is far from the equilibrium levels, and in the process of solving the model, the algorithm might fail if the demand system is not globally regular, even the system is locally regular at the equilibrium points (Perroni and Rutherford, 1998).</w:t>
      </w:r>
    </w:p>
    <w:p w14:paraId="66CDE1B9" w14:textId="77777777" w:rsidR="00B01C9A" w:rsidRDefault="00B01C9A" w:rsidP="008D0741">
      <w:pPr>
        <w:autoSpaceDE w:val="0"/>
        <w:autoSpaceDN w:val="0"/>
        <w:adjustRightInd w:val="0"/>
        <w:spacing w:after="0" w:line="240" w:lineRule="auto"/>
        <w:rPr>
          <w:rFonts w:ascii="Book Antiqua" w:hAnsi="Book Antiqua" w:cs="Book Antiqua"/>
        </w:rPr>
      </w:pPr>
    </w:p>
    <w:p w14:paraId="152FA4B9" w14:textId="5CD1DD48" w:rsidR="00B01C9A" w:rsidRDefault="00000000" w:rsidP="008D0741">
      <w:pPr>
        <w:autoSpaceDE w:val="0"/>
        <w:autoSpaceDN w:val="0"/>
        <w:adjustRightInd w:val="0"/>
        <w:spacing w:after="0" w:line="240" w:lineRule="auto"/>
      </w:pPr>
      <w:hyperlink r:id="rId13" w:history="1">
        <w:r w:rsidR="007153CD" w:rsidRPr="004B1699">
          <w:rPr>
            <w:rStyle w:val="Hyperlink"/>
          </w:rPr>
          <w:t>https://www.statology.org/lasso-regression-in-r/</w:t>
        </w:r>
      </w:hyperlink>
    </w:p>
    <w:p w14:paraId="781BE3C4" w14:textId="77777777" w:rsidR="007153CD" w:rsidRDefault="007153CD" w:rsidP="008D0741">
      <w:pPr>
        <w:autoSpaceDE w:val="0"/>
        <w:autoSpaceDN w:val="0"/>
        <w:adjustRightInd w:val="0"/>
        <w:spacing w:after="0" w:line="240" w:lineRule="auto"/>
      </w:pPr>
    </w:p>
    <w:p w14:paraId="1198383C" w14:textId="77777777" w:rsidR="001657AB" w:rsidRDefault="001657AB" w:rsidP="001657AB"/>
    <w:p w14:paraId="78920E83" w14:textId="1D409A1D" w:rsidR="00B836FC" w:rsidRDefault="00B836FC" w:rsidP="00B836FC">
      <w:pPr>
        <w:pStyle w:val="Heading2"/>
      </w:pPr>
      <w:r>
        <w:t>Annex B: Code Blocks</w:t>
      </w:r>
    </w:p>
    <w:p w14:paraId="09BED041" w14:textId="7E838001" w:rsidR="00B836FC" w:rsidRDefault="00AA238D" w:rsidP="00B836FC">
      <w:r>
        <w:t>Full R code used for this project can be found at:</w:t>
      </w:r>
    </w:p>
    <w:p w14:paraId="4A365DE9" w14:textId="2CE45687" w:rsidR="00AA238D" w:rsidRDefault="00000000" w:rsidP="00B836FC">
      <w:hyperlink r:id="rId14" w:history="1">
        <w:r w:rsidR="00AA238D" w:rsidRPr="004D4E47">
          <w:rPr>
            <w:rStyle w:val="Hyperlink"/>
          </w:rPr>
          <w:t>https://github.com/James-Lambertcoding/Dissertation</w:t>
        </w:r>
      </w:hyperlink>
    </w:p>
    <w:p w14:paraId="0566C5FA" w14:textId="77777777" w:rsidR="00AA238D" w:rsidRPr="00B836FC" w:rsidRDefault="00AA238D" w:rsidP="00B836FC"/>
    <w:p w14:paraId="679C771A" w14:textId="157C4737" w:rsidR="00B836FC" w:rsidRDefault="00AA238D" w:rsidP="001657AB">
      <w:r>
        <w:rPr>
          <w:noProof/>
        </w:rPr>
        <w:lastRenderedPageBreak/>
        <w:drawing>
          <wp:inline distT="0" distB="0" distL="0" distR="0" wp14:anchorId="3C80A7EB" wp14:editId="1B948943">
            <wp:extent cx="1190625" cy="1190625"/>
            <wp:effectExtent l="0" t="0" r="9525" b="9525"/>
            <wp:docPr id="509200114"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00114" name="Picture 1" descr="A qr code on a white background&#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sdt>
      <w:sdtPr>
        <w:id w:val="-54312571"/>
        <w:docPartObj>
          <w:docPartGallery w:val="Bibliographies"/>
          <w:docPartUnique/>
        </w:docPartObj>
      </w:sdtPr>
      <w:sdtEndPr>
        <w:rPr>
          <w:rFonts w:eastAsia="Arial" w:cs="Arial"/>
          <w:b w:val="0"/>
          <w:color w:val="auto"/>
          <w:sz w:val="22"/>
          <w:szCs w:val="22"/>
        </w:rPr>
      </w:sdtEndPr>
      <w:sdtContent>
        <w:p w14:paraId="07BDE4AC" w14:textId="4B32FEB6" w:rsidR="00406282" w:rsidRDefault="00406282">
          <w:pPr>
            <w:pStyle w:val="Heading1"/>
          </w:pPr>
          <w:r>
            <w:t>Bibliography</w:t>
          </w:r>
        </w:p>
        <w:sdt>
          <w:sdtPr>
            <w:id w:val="111145805"/>
            <w:bibliography/>
          </w:sdtPr>
          <w:sdtContent>
            <w:p w14:paraId="0C32D383" w14:textId="77777777" w:rsidR="00406282" w:rsidRDefault="00406282" w:rsidP="00406282">
              <w:pPr>
                <w:pStyle w:val="Bibliography"/>
                <w:rPr>
                  <w:noProof/>
                  <w:sz w:val="24"/>
                  <w:szCs w:val="24"/>
                </w:rPr>
              </w:pPr>
              <w:r>
                <w:fldChar w:fldCharType="begin"/>
              </w:r>
              <w:r>
                <w:instrText xml:space="preserve"> BIBLIOGRAPHY </w:instrText>
              </w:r>
              <w:r>
                <w:fldChar w:fldCharType="separate"/>
              </w:r>
              <w:r>
                <w:rPr>
                  <w:noProof/>
                </w:rPr>
                <w:t xml:space="preserve">Altelbany, S. I., 2021. Evaluation of Ridge, Elastic Net and Lasso Regression Methods in Precedence of Multicollinearity Problem: A Simulation Study. </w:t>
              </w:r>
              <w:r>
                <w:rPr>
                  <w:i/>
                  <w:iCs/>
                  <w:noProof/>
                </w:rPr>
                <w:t xml:space="preserve">Journal of Applied Economics and Business Studies, </w:t>
              </w:r>
              <w:r>
                <w:rPr>
                  <w:noProof/>
                </w:rPr>
                <w:t>5(1), pp. 131-142.</w:t>
              </w:r>
            </w:p>
            <w:p w14:paraId="14E90A28" w14:textId="77777777" w:rsidR="00406282" w:rsidRDefault="00406282" w:rsidP="00406282">
              <w:pPr>
                <w:pStyle w:val="Bibliography"/>
                <w:rPr>
                  <w:noProof/>
                </w:rPr>
              </w:pPr>
              <w:r>
                <w:rPr>
                  <w:noProof/>
                </w:rPr>
                <w:t xml:space="preserve">BBC News, 2023. </w:t>
              </w:r>
              <w:r>
                <w:rPr>
                  <w:i/>
                  <w:iCs/>
                  <w:noProof/>
                </w:rPr>
                <w:t xml:space="preserve">BBC. </w:t>
              </w:r>
              <w:r>
                <w:rPr>
                  <w:noProof/>
                </w:rPr>
                <w:t xml:space="preserve">[Online] </w:t>
              </w:r>
              <w:r>
                <w:rPr>
                  <w:noProof/>
                </w:rPr>
                <w:br/>
                <w:t xml:space="preserve">Available at: </w:t>
              </w:r>
              <w:r>
                <w:rPr>
                  <w:noProof/>
                  <w:u w:val="single"/>
                </w:rPr>
                <w:t>https://www.bbc.co.uk/news/business-66237935</w:t>
              </w:r>
              <w:r>
                <w:rPr>
                  <w:noProof/>
                </w:rPr>
                <w:br/>
                <w:t>[Accessed 11 08 2023].</w:t>
              </w:r>
            </w:p>
            <w:p w14:paraId="4B375189" w14:textId="77777777" w:rsidR="00406282" w:rsidRDefault="00406282" w:rsidP="00406282">
              <w:pPr>
                <w:pStyle w:val="Bibliography"/>
                <w:rPr>
                  <w:noProof/>
                </w:rPr>
              </w:pPr>
              <w:r>
                <w:rPr>
                  <w:noProof/>
                </w:rPr>
                <w:t xml:space="preserve">Böhringer, C., Rutherford, T. F. &amp; Wiegard, W., 2003. </w:t>
              </w:r>
              <w:r>
                <w:rPr>
                  <w:i/>
                  <w:iCs/>
                  <w:noProof/>
                </w:rPr>
                <w:t xml:space="preserve">Computable General Equilibrium Analysis: Opening a Black Box, </w:t>
              </w:r>
              <w:r>
                <w:rPr>
                  <w:noProof/>
                </w:rPr>
                <w:t>s.l.: Centre for European Economic Research.</w:t>
              </w:r>
            </w:p>
            <w:p w14:paraId="243FC6AB" w14:textId="77777777" w:rsidR="00406282" w:rsidRDefault="00406282" w:rsidP="00406282">
              <w:pPr>
                <w:pStyle w:val="Bibliography"/>
                <w:rPr>
                  <w:noProof/>
                </w:rPr>
              </w:pPr>
              <w:r>
                <w:rPr>
                  <w:noProof/>
                </w:rPr>
                <w:t xml:space="preserve">Broadberry, S. &amp; Leunig, T., 2013. </w:t>
              </w:r>
              <w:r>
                <w:rPr>
                  <w:i/>
                  <w:iCs/>
                  <w:noProof/>
                </w:rPr>
                <w:t xml:space="preserve">The impact of Government policies on UK manufacturing since 1945, </w:t>
              </w:r>
              <w:r>
                <w:rPr>
                  <w:noProof/>
                </w:rPr>
                <w:t>London: Government Office for Science.</w:t>
              </w:r>
            </w:p>
            <w:p w14:paraId="3DB5560D" w14:textId="77777777" w:rsidR="00406282" w:rsidRDefault="00406282" w:rsidP="00406282">
              <w:pPr>
                <w:pStyle w:val="Bibliography"/>
                <w:rPr>
                  <w:noProof/>
                </w:rPr>
              </w:pPr>
              <w:r>
                <w:rPr>
                  <w:noProof/>
                </w:rPr>
                <w:t xml:space="preserve">Burfisher, M. E., 2011. </w:t>
              </w:r>
              <w:r>
                <w:rPr>
                  <w:i/>
                  <w:iCs/>
                  <w:noProof/>
                </w:rPr>
                <w:t xml:space="preserve">Introduction to Computable General Equilibrium Models. </w:t>
              </w:r>
              <w:r>
                <w:rPr>
                  <w:noProof/>
                </w:rPr>
                <w:t>3rd ed. Cambridge: Cambridge University Press.</w:t>
              </w:r>
            </w:p>
            <w:p w14:paraId="70B318F2" w14:textId="77777777" w:rsidR="00406282" w:rsidRDefault="00406282" w:rsidP="00406282">
              <w:pPr>
                <w:pStyle w:val="Bibliography"/>
                <w:rPr>
                  <w:noProof/>
                </w:rPr>
              </w:pPr>
              <w:r>
                <w:rPr>
                  <w:noProof/>
                </w:rPr>
                <w:t xml:space="preserve">Cordato, R. E., 1980. The Austrian Theory of Efficiency and the Role of Government. </w:t>
              </w:r>
              <w:r>
                <w:rPr>
                  <w:i/>
                  <w:iCs/>
                  <w:noProof/>
                </w:rPr>
                <w:t xml:space="preserve">The Journal of Libertarian Studies, </w:t>
              </w:r>
              <w:r>
                <w:rPr>
                  <w:noProof/>
                </w:rPr>
                <w:t>IV(4), p. 393.</w:t>
              </w:r>
            </w:p>
            <w:p w14:paraId="21D0EF28" w14:textId="77777777" w:rsidR="00406282" w:rsidRDefault="00406282" w:rsidP="00406282">
              <w:pPr>
                <w:pStyle w:val="Bibliography"/>
                <w:rPr>
                  <w:noProof/>
                </w:rPr>
              </w:pPr>
              <w:r>
                <w:rPr>
                  <w:noProof/>
                </w:rPr>
                <w:t xml:space="preserve">Dixon, P. B. &amp; Jorgenson, D. W., 2013. </w:t>
              </w:r>
              <w:r>
                <w:rPr>
                  <w:i/>
                  <w:iCs/>
                  <w:noProof/>
                </w:rPr>
                <w:t xml:space="preserve">Handbook of Computable General Equilibrium Modelling. </w:t>
              </w:r>
              <w:r>
                <w:rPr>
                  <w:noProof/>
                </w:rPr>
                <w:t>1st ed. Oxford: Elsevier.</w:t>
              </w:r>
            </w:p>
            <w:p w14:paraId="67739317" w14:textId="77777777" w:rsidR="00406282" w:rsidRDefault="00406282" w:rsidP="00406282">
              <w:pPr>
                <w:pStyle w:val="Bibliography"/>
                <w:rPr>
                  <w:noProof/>
                </w:rPr>
              </w:pPr>
              <w:r>
                <w:rPr>
                  <w:noProof/>
                </w:rPr>
                <w:t xml:space="preserve">FCAB, 2021. </w:t>
              </w:r>
              <w:r>
                <w:rPr>
                  <w:i/>
                  <w:iCs/>
                  <w:noProof/>
                </w:rPr>
                <w:t xml:space="preserve">National Blueprint for Lithium batteries, </w:t>
              </w:r>
              <w:r>
                <w:rPr>
                  <w:noProof/>
                </w:rPr>
                <w:t>Washington: Federal Consortium for Advanced Batteries.</w:t>
              </w:r>
            </w:p>
            <w:p w14:paraId="57DED716" w14:textId="77777777" w:rsidR="00406282" w:rsidRDefault="00406282" w:rsidP="00406282">
              <w:pPr>
                <w:pStyle w:val="Bibliography"/>
                <w:rPr>
                  <w:noProof/>
                </w:rPr>
              </w:pPr>
              <w:r>
                <w:rPr>
                  <w:noProof/>
                </w:rPr>
                <w:t xml:space="preserve">Grand, J. L., 2009. The therory of Government Failure. </w:t>
              </w:r>
              <w:r>
                <w:rPr>
                  <w:i/>
                  <w:iCs/>
                  <w:noProof/>
                </w:rPr>
                <w:t xml:space="preserve">British Journal of Political Science, </w:t>
              </w:r>
              <w:r>
                <w:rPr>
                  <w:noProof/>
                </w:rPr>
                <w:t>21(4), pp. 423-442.</w:t>
              </w:r>
            </w:p>
            <w:p w14:paraId="1AEE38E4" w14:textId="77777777" w:rsidR="00406282" w:rsidRDefault="00406282" w:rsidP="00406282">
              <w:pPr>
                <w:pStyle w:val="Bibliography"/>
                <w:rPr>
                  <w:noProof/>
                </w:rPr>
              </w:pPr>
              <w:r>
                <w:rPr>
                  <w:noProof/>
                </w:rPr>
                <w:t xml:space="preserve">Hertel, T. &amp; van der Mensbrugghe, D., 2016. </w:t>
              </w:r>
              <w:r>
                <w:rPr>
                  <w:i/>
                  <w:iCs/>
                  <w:noProof/>
                </w:rPr>
                <w:t xml:space="preserve">GTAP Resources; Chapter 14: Behavioral Parameters, </w:t>
              </w:r>
              <w:r>
                <w:rPr>
                  <w:noProof/>
                </w:rPr>
                <w:t>s.l.: GTAP: Global Trade Analysis Project.</w:t>
              </w:r>
            </w:p>
            <w:p w14:paraId="40094AC2" w14:textId="77777777" w:rsidR="00406282" w:rsidRDefault="00406282" w:rsidP="00406282">
              <w:pPr>
                <w:pStyle w:val="Bibliography"/>
                <w:rPr>
                  <w:noProof/>
                </w:rPr>
              </w:pPr>
              <w:r>
                <w:rPr>
                  <w:noProof/>
                </w:rPr>
                <w:t xml:space="preserve">Hertel, T. W., McDougall, R. A., Narayanan, B. G. &amp; Aguiar, A. H., n.d. </w:t>
              </w:r>
              <w:r>
                <w:rPr>
                  <w:i/>
                  <w:iCs/>
                  <w:noProof/>
                </w:rPr>
                <w:t xml:space="preserve">Global Trade Analysis Project - Chapter 14, </w:t>
              </w:r>
              <w:r>
                <w:rPr>
                  <w:noProof/>
                </w:rPr>
                <w:t>s.l.: s.n.</w:t>
              </w:r>
            </w:p>
            <w:p w14:paraId="3F85DCB4" w14:textId="77777777" w:rsidR="00406282" w:rsidRDefault="00406282" w:rsidP="00406282">
              <w:pPr>
                <w:pStyle w:val="Bibliography"/>
                <w:rPr>
                  <w:noProof/>
                </w:rPr>
              </w:pPr>
              <w:r>
                <w:rPr>
                  <w:noProof/>
                </w:rPr>
                <w:t xml:space="preserve">HMG, 2020. </w:t>
              </w:r>
              <w:r>
                <w:rPr>
                  <w:i/>
                  <w:iCs/>
                  <w:noProof/>
                </w:rPr>
                <w:t xml:space="preserve">gov.UK. </w:t>
              </w:r>
              <w:r>
                <w:rPr>
                  <w:noProof/>
                </w:rPr>
                <w:t xml:space="preserve">[Online] </w:t>
              </w:r>
              <w:r>
                <w:rPr>
                  <w:noProof/>
                </w:rPr>
                <w:br/>
                <w:t xml:space="preserve">Available at: </w:t>
              </w:r>
              <w:r>
                <w:rPr>
                  <w:noProof/>
                  <w:u w:val="single"/>
                </w:rPr>
                <w:t>https://www.gov.uk/government/news/government-takes-historic-step-towards-net-zero-with-end-of-sale-of-new-petrol-and-diesel-cars-by-2030</w:t>
              </w:r>
              <w:r>
                <w:rPr>
                  <w:noProof/>
                </w:rPr>
                <w:br/>
                <w:t>[Accessed 11 08 2023].</w:t>
              </w:r>
            </w:p>
            <w:p w14:paraId="0D70B245" w14:textId="77777777" w:rsidR="00406282" w:rsidRDefault="00406282" w:rsidP="00406282">
              <w:pPr>
                <w:pStyle w:val="Bibliography"/>
                <w:rPr>
                  <w:noProof/>
                </w:rPr>
              </w:pPr>
              <w:r>
                <w:rPr>
                  <w:noProof/>
                </w:rPr>
                <w:t xml:space="preserve">HMG, 2022. </w:t>
              </w:r>
              <w:r>
                <w:rPr>
                  <w:i/>
                  <w:iCs/>
                  <w:noProof/>
                </w:rPr>
                <w:t xml:space="preserve">gov.uk. </w:t>
              </w:r>
              <w:r>
                <w:rPr>
                  <w:noProof/>
                </w:rPr>
                <w:t xml:space="preserve">[Online] </w:t>
              </w:r>
              <w:r>
                <w:rPr>
                  <w:noProof/>
                </w:rPr>
                <w:br/>
                <w:t xml:space="preserve">Available at: </w:t>
              </w:r>
              <w:r>
                <w:rPr>
                  <w:noProof/>
                  <w:u w:val="single"/>
                </w:rPr>
                <w:t>https://apply-for-innovation-funding.service.gov.uk/competition/1388/overview/41e96a20-f3e8-4eca-addd-fed21854dec7</w:t>
              </w:r>
              <w:r>
                <w:rPr>
                  <w:noProof/>
                </w:rPr>
                <w:br/>
                <w:t>[Accessed 11 08 2023].</w:t>
              </w:r>
            </w:p>
            <w:p w14:paraId="3773C27B" w14:textId="77777777" w:rsidR="00406282" w:rsidRDefault="00406282" w:rsidP="00406282">
              <w:pPr>
                <w:pStyle w:val="Bibliography"/>
                <w:rPr>
                  <w:noProof/>
                </w:rPr>
              </w:pPr>
              <w:r>
                <w:rPr>
                  <w:noProof/>
                </w:rPr>
                <w:t xml:space="preserve">Kehoe, T. J., 1991. Computation and multiplicity of equilibria. </w:t>
              </w:r>
              <w:r>
                <w:rPr>
                  <w:i/>
                  <w:iCs/>
                  <w:noProof/>
                </w:rPr>
                <w:t xml:space="preserve">Handbook of Mathematical Economics, </w:t>
              </w:r>
              <w:r>
                <w:rPr>
                  <w:noProof/>
                </w:rPr>
                <w:t>4(1), pp. 2049-2144.</w:t>
              </w:r>
            </w:p>
            <w:p w14:paraId="6EF8B21C" w14:textId="77777777" w:rsidR="00406282" w:rsidRDefault="00406282" w:rsidP="00406282">
              <w:pPr>
                <w:pStyle w:val="Bibliography"/>
                <w:rPr>
                  <w:noProof/>
                </w:rPr>
              </w:pPr>
              <w:r>
                <w:rPr>
                  <w:noProof/>
                </w:rPr>
                <w:lastRenderedPageBreak/>
                <w:t xml:space="preserve">Munby, S., 2023. </w:t>
              </w:r>
              <w:r>
                <w:rPr>
                  <w:i/>
                  <w:iCs/>
                  <w:noProof/>
                </w:rPr>
                <w:t xml:space="preserve">gov.uk. </w:t>
              </w:r>
              <w:r>
                <w:rPr>
                  <w:noProof/>
                </w:rPr>
                <w:t xml:space="preserve">[Online] </w:t>
              </w:r>
              <w:r>
                <w:rPr>
                  <w:noProof/>
                </w:rPr>
                <w:br/>
                <w:t xml:space="preserve">Available at: </w:t>
              </w:r>
              <w:r>
                <w:rPr>
                  <w:noProof/>
                  <w:u w:val="single"/>
                </w:rPr>
                <w:t>https://www.gov.uk/government/publications/beis-government-major-projects-portfolio-accounting-officer-assessments/automotive-transformation-fund-programme-accounting-officer-assessment-2020-html</w:t>
              </w:r>
              <w:r>
                <w:rPr>
                  <w:noProof/>
                </w:rPr>
                <w:br/>
                <w:t>[Accessed 11 08 2023].</w:t>
              </w:r>
            </w:p>
            <w:p w14:paraId="55D5DCAC" w14:textId="77777777" w:rsidR="00406282" w:rsidRDefault="00406282" w:rsidP="00406282">
              <w:pPr>
                <w:pStyle w:val="Bibliography"/>
                <w:rPr>
                  <w:noProof/>
                </w:rPr>
              </w:pPr>
              <w:r>
                <w:rPr>
                  <w:noProof/>
                </w:rPr>
                <w:t xml:space="preserve">ONS, 2009. </w:t>
              </w:r>
              <w:r>
                <w:rPr>
                  <w:i/>
                  <w:iCs/>
                  <w:noProof/>
                </w:rPr>
                <w:t xml:space="preserve">UK Standard Industrial Classification of Economic Activies 2007, </w:t>
              </w:r>
              <w:r>
                <w:rPr>
                  <w:noProof/>
                </w:rPr>
                <w:t>Newport: A National Statistics.</w:t>
              </w:r>
            </w:p>
            <w:p w14:paraId="087FA01C" w14:textId="77777777" w:rsidR="00406282" w:rsidRDefault="00406282" w:rsidP="00406282">
              <w:pPr>
                <w:pStyle w:val="Bibliography"/>
                <w:rPr>
                  <w:noProof/>
                </w:rPr>
              </w:pPr>
              <w:r>
                <w:rPr>
                  <w:noProof/>
                </w:rPr>
                <w:t xml:space="preserve">ONS, 2023. </w:t>
              </w:r>
              <w:r>
                <w:rPr>
                  <w:i/>
                  <w:iCs/>
                  <w:noProof/>
                </w:rPr>
                <w:t xml:space="preserve">Office for National Statistics - Economy. </w:t>
              </w:r>
              <w:r>
                <w:rPr>
                  <w:noProof/>
                </w:rPr>
                <w:t xml:space="preserve">[Online] </w:t>
              </w:r>
              <w:r>
                <w:rPr>
                  <w:noProof/>
                </w:rPr>
                <w:br/>
                <w:t xml:space="preserve">Available at: </w:t>
              </w:r>
              <w:r>
                <w:rPr>
                  <w:noProof/>
                  <w:u w:val="single"/>
                </w:rPr>
                <w:t>https://www.ons.gov.uk/economy/nationalaccounts/supplyandusetables/datasets/ukinputoutputanalyticaltablesdetailed</w:t>
              </w:r>
              <w:r>
                <w:rPr>
                  <w:noProof/>
                </w:rPr>
                <w:br/>
                <w:t>[Accessed 16 07 2023].</w:t>
              </w:r>
            </w:p>
            <w:p w14:paraId="232DFBAF" w14:textId="77777777" w:rsidR="00406282" w:rsidRDefault="00406282" w:rsidP="00406282">
              <w:pPr>
                <w:pStyle w:val="Bibliography"/>
                <w:rPr>
                  <w:noProof/>
                </w:rPr>
              </w:pPr>
              <w:r>
                <w:rPr>
                  <w:noProof/>
                </w:rPr>
                <w:t xml:space="preserve">Pindyck, R. S. &amp; Rubinfeld, D. L., 2009. </w:t>
              </w:r>
              <w:r>
                <w:rPr>
                  <w:i/>
                  <w:iCs/>
                  <w:noProof/>
                </w:rPr>
                <w:t xml:space="preserve">Microeconomics. </w:t>
              </w:r>
              <w:r>
                <w:rPr>
                  <w:noProof/>
                </w:rPr>
                <w:t>7th ed. Upper Saddle River: Pearson international.</w:t>
              </w:r>
            </w:p>
            <w:p w14:paraId="361D342E" w14:textId="77777777" w:rsidR="00406282" w:rsidRDefault="00406282" w:rsidP="00406282">
              <w:pPr>
                <w:pStyle w:val="Bibliography"/>
                <w:rPr>
                  <w:noProof/>
                </w:rPr>
              </w:pPr>
              <w:r>
                <w:rPr>
                  <w:noProof/>
                </w:rPr>
                <w:t xml:space="preserve">Reid, C., 2023. </w:t>
              </w:r>
              <w:r>
                <w:rPr>
                  <w:i/>
                  <w:iCs/>
                  <w:noProof/>
                </w:rPr>
                <w:t xml:space="preserve">Forbes. </w:t>
              </w:r>
              <w:r>
                <w:rPr>
                  <w:noProof/>
                </w:rPr>
                <w:t xml:space="preserve">[Online] </w:t>
              </w:r>
              <w:r>
                <w:rPr>
                  <w:noProof/>
                </w:rPr>
                <w:br/>
                <w:t xml:space="preserve">Available at: </w:t>
              </w:r>
              <w:r>
                <w:rPr>
                  <w:noProof/>
                  <w:u w:val="single"/>
                </w:rPr>
                <w:t>https://www.forbes.com/sites/carltonreid/2023/03/03/eus-plan-to-end-sales-of-combustion-engine-cars-runs-into-trouble/?sh=516ca9dd448d</w:t>
              </w:r>
              <w:r>
                <w:rPr>
                  <w:noProof/>
                </w:rPr>
                <w:br/>
                <w:t>[Accessed 11 08 2023].</w:t>
              </w:r>
            </w:p>
            <w:p w14:paraId="196786C1" w14:textId="77777777" w:rsidR="00406282" w:rsidRDefault="00406282" w:rsidP="00406282">
              <w:pPr>
                <w:pStyle w:val="Bibliography"/>
                <w:rPr>
                  <w:noProof/>
                </w:rPr>
              </w:pPr>
              <w:r>
                <w:rPr>
                  <w:noProof/>
                </w:rPr>
                <w:t xml:space="preserve">USEPA, 2023. </w:t>
              </w:r>
              <w:r>
                <w:rPr>
                  <w:i/>
                  <w:iCs/>
                  <w:noProof/>
                </w:rPr>
                <w:t xml:space="preserve">EPA.gov. </w:t>
              </w:r>
              <w:r>
                <w:rPr>
                  <w:noProof/>
                </w:rPr>
                <w:t xml:space="preserve">[Online] </w:t>
              </w:r>
              <w:r>
                <w:rPr>
                  <w:noProof/>
                </w:rPr>
                <w:br/>
                <w:t xml:space="preserve">Available at: </w:t>
              </w:r>
              <w:r>
                <w:rPr>
                  <w:noProof/>
                  <w:u w:val="single"/>
                </w:rPr>
                <w:t>https://www.epa.gov/greenvehicles/electric-vehicle-myths</w:t>
              </w:r>
              <w:r>
                <w:rPr>
                  <w:noProof/>
                </w:rPr>
                <w:br/>
                <w:t>[Accessed 11 08 2023].</w:t>
              </w:r>
            </w:p>
            <w:p w14:paraId="33A95CE0" w14:textId="77777777" w:rsidR="00406282" w:rsidRDefault="00406282" w:rsidP="00406282">
              <w:pPr>
                <w:pStyle w:val="Bibliography"/>
                <w:rPr>
                  <w:noProof/>
                </w:rPr>
              </w:pPr>
              <w:r>
                <w:rPr>
                  <w:noProof/>
                </w:rPr>
                <w:t xml:space="preserve">Venables, T., 2022. </w:t>
              </w:r>
              <w:r>
                <w:rPr>
                  <w:i/>
                  <w:iCs/>
                  <w:noProof/>
                </w:rPr>
                <w:t xml:space="preserve">Trade modelling review expert panel: report, </w:t>
              </w:r>
              <w:r>
                <w:rPr>
                  <w:noProof/>
                </w:rPr>
                <w:t>London: HMG.</w:t>
              </w:r>
            </w:p>
            <w:p w14:paraId="035CD126" w14:textId="77777777" w:rsidR="00406282" w:rsidRDefault="00406282" w:rsidP="00406282">
              <w:pPr>
                <w:pStyle w:val="Bibliography"/>
                <w:rPr>
                  <w:noProof/>
                </w:rPr>
              </w:pPr>
              <w:r>
                <w:rPr>
                  <w:noProof/>
                </w:rPr>
                <w:t xml:space="preserve">Wing, I. S., 2004. </w:t>
              </w:r>
              <w:r>
                <w:rPr>
                  <w:i/>
                  <w:iCs/>
                  <w:noProof/>
                </w:rPr>
                <w:t xml:space="preserve">Computable General Equilibrium Models and Their Use in Economcy-Wide Policy Analysis, </w:t>
              </w:r>
              <w:r>
                <w:rPr>
                  <w:noProof/>
                </w:rPr>
                <w:t>Cambridge MA: MIT Joint Program on the Science and Policy of Global Change.</w:t>
              </w:r>
            </w:p>
            <w:p w14:paraId="1AFA5634" w14:textId="5A500740" w:rsidR="00406282" w:rsidRDefault="00406282" w:rsidP="00406282">
              <w:r>
                <w:rPr>
                  <w:b/>
                  <w:bCs/>
                  <w:noProof/>
                </w:rPr>
                <w:fldChar w:fldCharType="end"/>
              </w:r>
            </w:p>
          </w:sdtContent>
        </w:sdt>
      </w:sdtContent>
    </w:sdt>
    <w:p w14:paraId="59A71C02" w14:textId="77777777" w:rsidR="006E41EE" w:rsidRPr="00816732" w:rsidRDefault="006E41EE" w:rsidP="001657AB"/>
    <w:sectPr w:rsidR="006E41EE" w:rsidRPr="00816732">
      <w:headerReference w:type="default" r:id="rId16"/>
      <w:footerReference w:type="defaul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93368" w14:textId="77777777" w:rsidR="008E4F88" w:rsidRDefault="008E4F88">
      <w:pPr>
        <w:spacing w:after="0" w:line="240" w:lineRule="auto"/>
      </w:pPr>
      <w:r>
        <w:separator/>
      </w:r>
    </w:p>
  </w:endnote>
  <w:endnote w:type="continuationSeparator" w:id="0">
    <w:p w14:paraId="2B869BC0" w14:textId="77777777" w:rsidR="008E4F88" w:rsidRDefault="008E4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4592" w14:textId="5D1D7638" w:rsidR="00AA238D" w:rsidRDefault="00AA238D">
    <w:pPr>
      <w:pStyle w:val="Footer"/>
    </w:pPr>
    <w:r>
      <w:rPr>
        <w:noProof/>
      </w:rPr>
      <w:drawing>
        <wp:anchor distT="0" distB="0" distL="114300" distR="114300" simplePos="0" relativeHeight="251659264" behindDoc="0" locked="0" layoutInCell="1" allowOverlap="1" wp14:anchorId="4FB5A87C" wp14:editId="35F374CC">
          <wp:simplePos x="0" y="0"/>
          <wp:positionH relativeFrom="column">
            <wp:posOffset>5781675</wp:posOffset>
          </wp:positionH>
          <wp:positionV relativeFrom="paragraph">
            <wp:posOffset>-166370</wp:posOffset>
          </wp:positionV>
          <wp:extent cx="542925" cy="542925"/>
          <wp:effectExtent l="0" t="0" r="9525" b="9525"/>
          <wp:wrapTopAndBottom/>
          <wp:docPr id="437427252" name="Picture 2"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27252" name="Picture 2" descr="A qr code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A86AB" w14:textId="77777777" w:rsidR="008E4F88" w:rsidRDefault="008E4F88">
      <w:pPr>
        <w:spacing w:after="0" w:line="240" w:lineRule="auto"/>
      </w:pPr>
      <w:r>
        <w:separator/>
      </w:r>
    </w:p>
  </w:footnote>
  <w:footnote w:type="continuationSeparator" w:id="0">
    <w:p w14:paraId="4232DA0A" w14:textId="77777777" w:rsidR="008E4F88" w:rsidRDefault="008E4F88">
      <w:pPr>
        <w:spacing w:after="0" w:line="240" w:lineRule="auto"/>
      </w:pPr>
      <w:r>
        <w:continuationSeparator/>
      </w:r>
    </w:p>
  </w:footnote>
  <w:footnote w:id="1">
    <w:p w14:paraId="167E103D" w14:textId="7159235C" w:rsidR="00712120" w:rsidRDefault="00712120">
      <w:pPr>
        <w:pStyle w:val="FootnoteText"/>
      </w:pPr>
      <w:r>
        <w:rPr>
          <w:rStyle w:val="FootnoteReference"/>
        </w:rPr>
        <w:footnoteRef/>
      </w:r>
      <w:r>
        <w:t xml:space="preserve"> </w:t>
      </w:r>
      <w:hyperlink r:id="rId1" w:history="1">
        <w:r w:rsidRPr="00AD5ED7">
          <w:rPr>
            <w:rStyle w:val="Hyperlink"/>
          </w:rPr>
          <w:t>https://assets.publishing.service.gov.uk/government/uploads/system/uploads/attachment_data/file/</w:t>
        </w:r>
        <w:r w:rsidRPr="00AD5ED7">
          <w:rPr>
            <w:rStyle w:val="Hyperlink"/>
          </w:rPr>
          <w:br/>
          <w:t>1063330/Green_Book_2022.pdf</w:t>
        </w:r>
      </w:hyperlink>
      <w:r>
        <w:t xml:space="preserve"> </w:t>
      </w:r>
    </w:p>
  </w:footnote>
  <w:footnote w:id="2">
    <w:p w14:paraId="29B8E640" w14:textId="2444A91E" w:rsidR="003D0454" w:rsidRDefault="003D0454">
      <w:pPr>
        <w:pStyle w:val="FootnoteText"/>
      </w:pPr>
      <w:r>
        <w:rPr>
          <w:rStyle w:val="FootnoteReference"/>
        </w:rPr>
        <w:footnoteRef/>
      </w:r>
      <w:r>
        <w:t xml:space="preserve"> Gigafactory is the term for a site making cells to go into the batteries of EVs</w:t>
      </w:r>
      <w:r w:rsidR="003F7799">
        <w:t>.</w:t>
      </w:r>
    </w:p>
  </w:footnote>
  <w:footnote w:id="3">
    <w:p w14:paraId="4EBC6BC3" w14:textId="5C0ED4AC" w:rsidR="003F7799" w:rsidRDefault="003F7799">
      <w:pPr>
        <w:pStyle w:val="FootnoteText"/>
      </w:pPr>
      <w:r>
        <w:rPr>
          <w:rStyle w:val="FootnoteReference"/>
        </w:rPr>
        <w:footnoteRef/>
      </w:r>
      <w:r>
        <w:t xml:space="preserve"> Redacted internal HMG source. </w:t>
      </w:r>
    </w:p>
  </w:footnote>
  <w:footnote w:id="4">
    <w:p w14:paraId="5D2E2D00" w14:textId="77777777" w:rsidR="003F7799" w:rsidRDefault="003F7799" w:rsidP="003F7799">
      <w:pPr>
        <w:pStyle w:val="FootnoteText"/>
      </w:pPr>
      <w:r>
        <w:rPr>
          <w:rStyle w:val="FootnoteReference"/>
        </w:rPr>
        <w:footnoteRef/>
      </w:r>
      <w:r>
        <w:t xml:space="preserve"> Redacted internal HMG source.</w:t>
      </w:r>
    </w:p>
  </w:footnote>
  <w:footnote w:id="5">
    <w:p w14:paraId="637E5CA6" w14:textId="3C054B59" w:rsidR="00290BED" w:rsidRDefault="00290BED">
      <w:pPr>
        <w:pStyle w:val="FootnoteText"/>
      </w:pPr>
      <w:r>
        <w:rPr>
          <w:rStyle w:val="FootnoteReference"/>
        </w:rPr>
        <w:footnoteRef/>
      </w:r>
      <w:r>
        <w:t xml:space="preserve"> This code </w:t>
      </w:r>
      <w:proofErr w:type="gramStart"/>
      <w:r>
        <w:t>runs :</w:t>
      </w:r>
      <w:proofErr w:type="gramEnd"/>
      <w:r>
        <w:t xml:space="preserve"> </w:t>
      </w:r>
      <w:r w:rsidRPr="00290BED">
        <w:t>01_Packages.R &amp; 02_read_data_v2.R &amp; 02a_Start_point_data.R &amp; 03_Calibration_v3.R &amp; 04_CGE_Functions_v_2.R.</w:t>
      </w:r>
    </w:p>
  </w:footnote>
  <w:footnote w:id="6">
    <w:p w14:paraId="26BEE035" w14:textId="1CE8AFFB" w:rsidR="00816732" w:rsidRDefault="00816732" w:rsidP="00816732">
      <w:pPr>
        <w:pStyle w:val="FootnoteText"/>
      </w:pPr>
      <w:r>
        <w:rPr>
          <w:rStyle w:val="FootnoteReference"/>
        </w:rPr>
        <w:footnoteRef/>
      </w:r>
      <w:r>
        <w:t xml:space="preserve"> This is the range of </w:t>
      </w:r>
      <m:oMath>
        <m:r>
          <w:rPr>
            <w:rFonts w:ascii="Cambria Math" w:hAnsi="Cambria Math"/>
          </w:rPr>
          <m:t>A</m:t>
        </m:r>
      </m:oMath>
      <w:r>
        <w:rPr>
          <w:rFonts w:eastAsiaTheme="minorEastAsia"/>
        </w:rPr>
        <w:t xml:space="preserve"> that were found in the other linear regressions.</w:t>
      </w:r>
    </w:p>
  </w:footnote>
  <w:footnote w:id="7">
    <w:p w14:paraId="215A297D" w14:textId="77777777" w:rsidR="006F4FFE" w:rsidRDefault="006F4FFE" w:rsidP="006F4FFE">
      <w:pPr>
        <w:pStyle w:val="FootnoteText"/>
      </w:pPr>
      <w:r>
        <w:rPr>
          <w:rStyle w:val="FootnoteReference"/>
        </w:rPr>
        <w:footnoteRef/>
      </w:r>
      <w:r>
        <w:t xml:space="preserve"> This based on the mean </w:t>
      </w:r>
      <m:oMath>
        <m:r>
          <w:rPr>
            <w:rFonts w:ascii="Cambria Math" w:hAnsi="Cambria Math"/>
          </w:rPr>
          <m:t>A</m:t>
        </m:r>
      </m:oMath>
      <w:r>
        <w:rPr>
          <w:rFonts w:eastAsiaTheme="minorEastAsia"/>
        </w:rPr>
        <w:t xml:space="preserve"> result from Linear Regression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568E5" w14:textId="77777777" w:rsidR="00872BCE" w:rsidRDefault="00000000">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58240" behindDoc="0" locked="0" layoutInCell="1" hidden="0" allowOverlap="1" wp14:anchorId="64A9AC88" wp14:editId="5C4CCC99">
          <wp:simplePos x="0" y="0"/>
          <wp:positionH relativeFrom="column">
            <wp:posOffset>5257165</wp:posOffset>
          </wp:positionH>
          <wp:positionV relativeFrom="paragraph">
            <wp:posOffset>-259079</wp:posOffset>
          </wp:positionV>
          <wp:extent cx="1199752" cy="561975"/>
          <wp:effectExtent l="0" t="0" r="0" b="0"/>
          <wp:wrapNone/>
          <wp:docPr id="1355595818" name="image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Text&#10;&#10;Description automatically generated"/>
                  <pic:cNvPicPr preferRelativeResize="0"/>
                </pic:nvPicPr>
                <pic:blipFill>
                  <a:blip r:embed="rId1"/>
                  <a:srcRect l="12464" t="20673" r="11255" b="20065"/>
                  <a:stretch>
                    <a:fillRect/>
                  </a:stretch>
                </pic:blipFill>
                <pic:spPr>
                  <a:xfrm>
                    <a:off x="0" y="0"/>
                    <a:ext cx="1199752" cy="5619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0304D"/>
    <w:multiLevelType w:val="multilevel"/>
    <w:tmpl w:val="55749382"/>
    <w:lvl w:ilvl="0">
      <w:start w:val="1"/>
      <w:numFmt w:val="decimal"/>
      <w:pStyle w:val="NumberNor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DB515E"/>
    <w:multiLevelType w:val="multilevel"/>
    <w:tmpl w:val="B8B0F20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D97E8D"/>
    <w:multiLevelType w:val="hybridMultilevel"/>
    <w:tmpl w:val="58BEE128"/>
    <w:lvl w:ilvl="0" w:tplc="79DA057A">
      <w:start w:val="1"/>
      <w:numFmt w:val="decimal"/>
      <w:pStyle w:val="Heading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0D15FD"/>
    <w:multiLevelType w:val="hybridMultilevel"/>
    <w:tmpl w:val="97EE2B6A"/>
    <w:lvl w:ilvl="0" w:tplc="9A4AA5F0">
      <w:start w:val="1"/>
      <w:numFmt w:val="decimal"/>
      <w:pStyle w:val="HeadingNumb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E1579C"/>
    <w:multiLevelType w:val="multilevel"/>
    <w:tmpl w:val="B8B0F20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DA93D7D"/>
    <w:multiLevelType w:val="hybridMultilevel"/>
    <w:tmpl w:val="415EF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F05D07"/>
    <w:multiLevelType w:val="multilevel"/>
    <w:tmpl w:val="31DE572C"/>
    <w:lvl w:ilvl="0">
      <w:start w:val="1"/>
      <w:numFmt w:val="bullet"/>
      <w:pStyle w:val="BulletPoin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91479704">
    <w:abstractNumId w:val="0"/>
  </w:num>
  <w:num w:numId="2" w16cid:durableId="570585263">
    <w:abstractNumId w:val="6"/>
  </w:num>
  <w:num w:numId="3" w16cid:durableId="1118600504">
    <w:abstractNumId w:val="3"/>
  </w:num>
  <w:num w:numId="4" w16cid:durableId="1286160565">
    <w:abstractNumId w:val="2"/>
  </w:num>
  <w:num w:numId="5" w16cid:durableId="1104761930">
    <w:abstractNumId w:val="1"/>
  </w:num>
  <w:num w:numId="6" w16cid:durableId="684794099">
    <w:abstractNumId w:val="4"/>
  </w:num>
  <w:num w:numId="7" w16cid:durableId="224875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3480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BCE"/>
    <w:rsid w:val="00003277"/>
    <w:rsid w:val="000059EB"/>
    <w:rsid w:val="000417C4"/>
    <w:rsid w:val="000441D5"/>
    <w:rsid w:val="00051805"/>
    <w:rsid w:val="00053501"/>
    <w:rsid w:val="00065273"/>
    <w:rsid w:val="00087D18"/>
    <w:rsid w:val="0011083B"/>
    <w:rsid w:val="00131B5A"/>
    <w:rsid w:val="00162920"/>
    <w:rsid w:val="001657AB"/>
    <w:rsid w:val="001B469F"/>
    <w:rsid w:val="001C02B5"/>
    <w:rsid w:val="001E573D"/>
    <w:rsid w:val="00213890"/>
    <w:rsid w:val="00290BED"/>
    <w:rsid w:val="00296F4D"/>
    <w:rsid w:val="002E51E2"/>
    <w:rsid w:val="002F2373"/>
    <w:rsid w:val="00354112"/>
    <w:rsid w:val="00380307"/>
    <w:rsid w:val="003A59D8"/>
    <w:rsid w:val="003D0454"/>
    <w:rsid w:val="003F7799"/>
    <w:rsid w:val="0040017A"/>
    <w:rsid w:val="0040048F"/>
    <w:rsid w:val="00406282"/>
    <w:rsid w:val="00410809"/>
    <w:rsid w:val="004F1F27"/>
    <w:rsid w:val="00506AB9"/>
    <w:rsid w:val="00543640"/>
    <w:rsid w:val="005B1FC1"/>
    <w:rsid w:val="005B57E7"/>
    <w:rsid w:val="00601044"/>
    <w:rsid w:val="00622464"/>
    <w:rsid w:val="006408BA"/>
    <w:rsid w:val="00692396"/>
    <w:rsid w:val="006E41EE"/>
    <w:rsid w:val="006F4FFE"/>
    <w:rsid w:val="00707759"/>
    <w:rsid w:val="00712120"/>
    <w:rsid w:val="007153CD"/>
    <w:rsid w:val="007423C3"/>
    <w:rsid w:val="00773C92"/>
    <w:rsid w:val="007E22B4"/>
    <w:rsid w:val="00801E37"/>
    <w:rsid w:val="008055FA"/>
    <w:rsid w:val="0081226A"/>
    <w:rsid w:val="00816732"/>
    <w:rsid w:val="0086323A"/>
    <w:rsid w:val="00872BCE"/>
    <w:rsid w:val="008846ED"/>
    <w:rsid w:val="0088707D"/>
    <w:rsid w:val="008D0741"/>
    <w:rsid w:val="008E4F88"/>
    <w:rsid w:val="0096015B"/>
    <w:rsid w:val="009607AB"/>
    <w:rsid w:val="009624D1"/>
    <w:rsid w:val="00984A2A"/>
    <w:rsid w:val="009C356F"/>
    <w:rsid w:val="00A039ED"/>
    <w:rsid w:val="00A04519"/>
    <w:rsid w:val="00A35524"/>
    <w:rsid w:val="00A3698C"/>
    <w:rsid w:val="00A60664"/>
    <w:rsid w:val="00A6553A"/>
    <w:rsid w:val="00AA238D"/>
    <w:rsid w:val="00AC298D"/>
    <w:rsid w:val="00B01C9A"/>
    <w:rsid w:val="00B2616C"/>
    <w:rsid w:val="00B73B34"/>
    <w:rsid w:val="00B836FC"/>
    <w:rsid w:val="00B86726"/>
    <w:rsid w:val="00BA3ECB"/>
    <w:rsid w:val="00C00979"/>
    <w:rsid w:val="00C07C80"/>
    <w:rsid w:val="00C4712F"/>
    <w:rsid w:val="00C47A23"/>
    <w:rsid w:val="00CB1DDF"/>
    <w:rsid w:val="00CF68E5"/>
    <w:rsid w:val="00D86DF1"/>
    <w:rsid w:val="00DA7C60"/>
    <w:rsid w:val="00DE5F67"/>
    <w:rsid w:val="00E106E8"/>
    <w:rsid w:val="00E1331A"/>
    <w:rsid w:val="00E40374"/>
    <w:rsid w:val="00E42F81"/>
    <w:rsid w:val="00E930CD"/>
    <w:rsid w:val="00EC5054"/>
    <w:rsid w:val="00F632FB"/>
    <w:rsid w:val="00F6362A"/>
    <w:rsid w:val="00F73ACE"/>
    <w:rsid w:val="00F77C41"/>
    <w:rsid w:val="00FB5C34"/>
    <w:rsid w:val="00FC1132"/>
    <w:rsid w:val="00FE468E"/>
    <w:rsid w:val="00FE4D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0064C"/>
  <w15:docId w15:val="{EF3412AF-C419-4A8E-83B6-CB5D0DB1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545"/>
  </w:style>
  <w:style w:type="paragraph" w:styleId="Heading1">
    <w:name w:val="heading 1"/>
    <w:basedOn w:val="Normal"/>
    <w:next w:val="Normal"/>
    <w:link w:val="Heading1Char"/>
    <w:uiPriority w:val="9"/>
    <w:qFormat/>
    <w:rsid w:val="00D36545"/>
    <w:pPr>
      <w:keepNext/>
      <w:keepLines/>
      <w:spacing w:before="360" w:after="0"/>
      <w:outlineLvl w:val="0"/>
    </w:pPr>
    <w:rPr>
      <w:rFonts w:eastAsiaTheme="majorEastAsia" w:cstheme="majorBidi"/>
      <w:b/>
      <w:color w:val="002A4B" w:themeColor="accent1" w:themeShade="80"/>
      <w:sz w:val="36"/>
      <w:szCs w:val="32"/>
    </w:rPr>
  </w:style>
  <w:style w:type="paragraph" w:styleId="Heading2">
    <w:name w:val="heading 2"/>
    <w:basedOn w:val="Normal"/>
    <w:next w:val="Normal"/>
    <w:link w:val="Heading2Char"/>
    <w:uiPriority w:val="9"/>
    <w:unhideWhenUsed/>
    <w:qFormat/>
    <w:rsid w:val="008F79FD"/>
    <w:pPr>
      <w:keepNext/>
      <w:keepLines/>
      <w:spacing w:before="120" w:after="0"/>
      <w:outlineLvl w:val="1"/>
    </w:pPr>
    <w:rPr>
      <w:rFonts w:eastAsiaTheme="majorEastAsia" w:cstheme="majorBidi"/>
      <w:b/>
      <w:color w:val="002060"/>
      <w:sz w:val="28"/>
      <w:szCs w:val="26"/>
    </w:rPr>
  </w:style>
  <w:style w:type="paragraph" w:styleId="Heading3">
    <w:name w:val="heading 3"/>
    <w:basedOn w:val="Normal"/>
    <w:next w:val="Normal"/>
    <w:link w:val="Heading3Char"/>
    <w:uiPriority w:val="9"/>
    <w:unhideWhenUsed/>
    <w:qFormat/>
    <w:rsid w:val="008F79FD"/>
    <w:pPr>
      <w:keepNext/>
      <w:keepLines/>
      <w:spacing w:before="120" w:after="0"/>
      <w:outlineLvl w:val="2"/>
    </w:pPr>
    <w:rPr>
      <w:rFonts w:eastAsiaTheme="majorEastAsia" w:cstheme="majorBidi"/>
      <w:b/>
      <w:color w:val="004070" w:themeColor="accent1" w:themeShade="BF"/>
      <w:sz w:val="24"/>
      <w:szCs w:val="24"/>
    </w:rPr>
  </w:style>
  <w:style w:type="paragraph" w:styleId="Heading4">
    <w:name w:val="heading 4"/>
    <w:basedOn w:val="Normal"/>
    <w:next w:val="Normal"/>
    <w:link w:val="Heading4Char"/>
    <w:uiPriority w:val="9"/>
    <w:unhideWhenUsed/>
    <w:qFormat/>
    <w:rsid w:val="00712120"/>
    <w:pPr>
      <w:keepNext/>
      <w:keepLines/>
      <w:spacing w:before="120" w:after="40"/>
      <w:outlineLvl w:val="3"/>
    </w:pPr>
    <w:rPr>
      <w:i/>
      <w:color w:val="002060" w:themeColor="text2"/>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9FD"/>
    <w:pPr>
      <w:spacing w:before="480" w:after="0" w:line="240" w:lineRule="auto"/>
      <w:contextualSpacing/>
    </w:pPr>
    <w:rPr>
      <w:rFonts w:eastAsiaTheme="majorEastAsia" w:cstheme="majorBidi"/>
      <w:b/>
      <w:color w:val="002060"/>
      <w:spacing w:val="-10"/>
      <w:kern w:val="28"/>
      <w:sz w:val="56"/>
      <w:szCs w:val="56"/>
    </w:rPr>
  </w:style>
  <w:style w:type="character" w:customStyle="1" w:styleId="TitleChar">
    <w:name w:val="Title Char"/>
    <w:basedOn w:val="DefaultParagraphFont"/>
    <w:link w:val="Title"/>
    <w:uiPriority w:val="10"/>
    <w:rsid w:val="008F79FD"/>
    <w:rPr>
      <w:rFonts w:ascii="Arial" w:eastAsiaTheme="majorEastAsia" w:hAnsi="Arial" w:cstheme="majorBidi"/>
      <w:b/>
      <w:color w:val="002060"/>
      <w:spacing w:val="-10"/>
      <w:kern w:val="28"/>
      <w:sz w:val="56"/>
      <w:szCs w:val="56"/>
    </w:rPr>
  </w:style>
  <w:style w:type="character" w:customStyle="1" w:styleId="Heading1Char">
    <w:name w:val="Heading 1 Char"/>
    <w:basedOn w:val="DefaultParagraphFont"/>
    <w:link w:val="Heading1"/>
    <w:uiPriority w:val="9"/>
    <w:rsid w:val="00D36545"/>
    <w:rPr>
      <w:rFonts w:ascii="Arial" w:eastAsiaTheme="majorEastAsia" w:hAnsi="Arial" w:cstheme="majorBidi"/>
      <w:b/>
      <w:color w:val="002A4B" w:themeColor="accent1" w:themeShade="80"/>
      <w:sz w:val="36"/>
      <w:szCs w:val="32"/>
    </w:rPr>
  </w:style>
  <w:style w:type="character" w:customStyle="1" w:styleId="Heading2Char">
    <w:name w:val="Heading 2 Char"/>
    <w:basedOn w:val="DefaultParagraphFont"/>
    <w:link w:val="Heading2"/>
    <w:uiPriority w:val="9"/>
    <w:rsid w:val="008F79FD"/>
    <w:rPr>
      <w:rFonts w:ascii="Arial" w:eastAsiaTheme="majorEastAsia" w:hAnsi="Arial" w:cstheme="majorBidi"/>
      <w:b/>
      <w:color w:val="002060"/>
      <w:sz w:val="28"/>
      <w:szCs w:val="26"/>
    </w:rPr>
  </w:style>
  <w:style w:type="character" w:customStyle="1" w:styleId="Heading3Char">
    <w:name w:val="Heading 3 Char"/>
    <w:basedOn w:val="DefaultParagraphFont"/>
    <w:link w:val="Heading3"/>
    <w:uiPriority w:val="9"/>
    <w:rsid w:val="008F79FD"/>
    <w:rPr>
      <w:rFonts w:ascii="Arial" w:eastAsiaTheme="majorEastAsia" w:hAnsi="Arial" w:cstheme="majorBidi"/>
      <w:b/>
      <w:color w:val="004070" w:themeColor="accent1" w:themeShade="BF"/>
      <w:sz w:val="24"/>
      <w:szCs w:val="24"/>
    </w:rPr>
  </w:style>
  <w:style w:type="character" w:styleId="Emphasis">
    <w:name w:val="Emphasis"/>
    <w:basedOn w:val="DefaultParagraphFont"/>
    <w:uiPriority w:val="20"/>
    <w:qFormat/>
    <w:rsid w:val="00D36545"/>
    <w:rPr>
      <w:i/>
      <w:iCs/>
    </w:rPr>
  </w:style>
  <w:style w:type="paragraph" w:customStyle="1" w:styleId="NumberNormal">
    <w:name w:val="Number Normal"/>
    <w:basedOn w:val="Normal"/>
    <w:link w:val="NumberNormalChar"/>
    <w:qFormat/>
    <w:rsid w:val="006408BA"/>
    <w:pPr>
      <w:numPr>
        <w:numId w:val="1"/>
      </w:numPr>
      <w:ind w:left="714" w:hanging="357"/>
      <w:contextualSpacing/>
    </w:pPr>
  </w:style>
  <w:style w:type="paragraph" w:customStyle="1" w:styleId="BulletPoint">
    <w:name w:val="Bullet Point"/>
    <w:basedOn w:val="NumberNormal"/>
    <w:link w:val="BulletPointChar"/>
    <w:qFormat/>
    <w:rsid w:val="008055FA"/>
    <w:pPr>
      <w:numPr>
        <w:numId w:val="2"/>
      </w:numPr>
      <w:ind w:left="714" w:hanging="357"/>
    </w:pPr>
  </w:style>
  <w:style w:type="character" w:customStyle="1" w:styleId="NumberNormalChar">
    <w:name w:val="Number Normal Char"/>
    <w:basedOn w:val="DefaultParagraphFont"/>
    <w:link w:val="NumberNormal"/>
    <w:rsid w:val="006408BA"/>
  </w:style>
  <w:style w:type="character" w:customStyle="1" w:styleId="BulletPointChar">
    <w:name w:val="Bullet Point Char"/>
    <w:basedOn w:val="NumberNormalChar"/>
    <w:link w:val="BulletPoint"/>
    <w:rsid w:val="008055FA"/>
    <w:rPr>
      <w:rFonts w:ascii="Arial" w:hAnsi="Arial"/>
    </w:rPr>
  </w:style>
  <w:style w:type="paragraph" w:styleId="Header">
    <w:name w:val="header"/>
    <w:basedOn w:val="Normal"/>
    <w:link w:val="HeaderChar"/>
    <w:uiPriority w:val="99"/>
    <w:unhideWhenUsed/>
    <w:rsid w:val="00696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48F"/>
    <w:rPr>
      <w:rFonts w:ascii="Arial" w:hAnsi="Arial"/>
    </w:rPr>
  </w:style>
  <w:style w:type="paragraph" w:styleId="Footer">
    <w:name w:val="footer"/>
    <w:basedOn w:val="Normal"/>
    <w:link w:val="FooterChar"/>
    <w:uiPriority w:val="99"/>
    <w:unhideWhenUsed/>
    <w:rsid w:val="00696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48F"/>
    <w:rPr>
      <w:rFonts w:ascii="Arial" w:hAnsi="Arial"/>
    </w:rPr>
  </w:style>
  <w:style w:type="paragraph" w:styleId="ListParagraph">
    <w:name w:val="List Paragraph"/>
    <w:basedOn w:val="Normal"/>
    <w:uiPriority w:val="34"/>
    <w:qFormat/>
    <w:rsid w:val="00C5508A"/>
    <w:pPr>
      <w:ind w:left="720"/>
      <w:contextualSpacing/>
    </w:pPr>
  </w:style>
  <w:style w:type="character" w:styleId="Hyperlink">
    <w:name w:val="Hyperlink"/>
    <w:basedOn w:val="DefaultParagraphFont"/>
    <w:uiPriority w:val="99"/>
    <w:unhideWhenUsed/>
    <w:rsid w:val="00EF42B9"/>
    <w:rPr>
      <w:color w:val="3EBBF0" w:themeColor="hyperlink"/>
      <w:u w:val="single"/>
    </w:rPr>
  </w:style>
  <w:style w:type="character" w:styleId="UnresolvedMention">
    <w:name w:val="Unresolved Mention"/>
    <w:basedOn w:val="DefaultParagraphFont"/>
    <w:uiPriority w:val="99"/>
    <w:semiHidden/>
    <w:unhideWhenUsed/>
    <w:rsid w:val="00EF42B9"/>
    <w:rPr>
      <w:color w:val="605E5C"/>
      <w:shd w:val="clear" w:color="auto" w:fill="E1DFDD"/>
    </w:rPr>
  </w:style>
  <w:style w:type="character" w:styleId="PlaceholderText">
    <w:name w:val="Placeholder Text"/>
    <w:basedOn w:val="DefaultParagraphFont"/>
    <w:uiPriority w:val="99"/>
    <w:semiHidden/>
    <w:rsid w:val="008A186D"/>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E13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055FA"/>
    <w:rPr>
      <w:sz w:val="16"/>
      <w:szCs w:val="16"/>
    </w:rPr>
  </w:style>
  <w:style w:type="paragraph" w:styleId="CommentText">
    <w:name w:val="annotation text"/>
    <w:basedOn w:val="Normal"/>
    <w:link w:val="CommentTextChar"/>
    <w:uiPriority w:val="99"/>
    <w:unhideWhenUsed/>
    <w:rsid w:val="008055FA"/>
    <w:pPr>
      <w:spacing w:line="240" w:lineRule="auto"/>
    </w:pPr>
    <w:rPr>
      <w:sz w:val="20"/>
      <w:szCs w:val="20"/>
    </w:rPr>
  </w:style>
  <w:style w:type="character" w:customStyle="1" w:styleId="CommentTextChar">
    <w:name w:val="Comment Text Char"/>
    <w:basedOn w:val="DefaultParagraphFont"/>
    <w:link w:val="CommentText"/>
    <w:uiPriority w:val="99"/>
    <w:rsid w:val="008055FA"/>
    <w:rPr>
      <w:sz w:val="20"/>
      <w:szCs w:val="20"/>
    </w:rPr>
  </w:style>
  <w:style w:type="paragraph" w:styleId="CommentSubject">
    <w:name w:val="annotation subject"/>
    <w:basedOn w:val="CommentText"/>
    <w:next w:val="CommentText"/>
    <w:link w:val="CommentSubjectChar"/>
    <w:uiPriority w:val="99"/>
    <w:semiHidden/>
    <w:unhideWhenUsed/>
    <w:rsid w:val="008055FA"/>
    <w:rPr>
      <w:b/>
      <w:bCs/>
    </w:rPr>
  </w:style>
  <w:style w:type="character" w:customStyle="1" w:styleId="CommentSubjectChar">
    <w:name w:val="Comment Subject Char"/>
    <w:basedOn w:val="CommentTextChar"/>
    <w:link w:val="CommentSubject"/>
    <w:uiPriority w:val="99"/>
    <w:semiHidden/>
    <w:rsid w:val="008055FA"/>
    <w:rPr>
      <w:b/>
      <w:bCs/>
      <w:sz w:val="20"/>
      <w:szCs w:val="20"/>
    </w:rPr>
  </w:style>
  <w:style w:type="paragraph" w:styleId="Caption">
    <w:name w:val="caption"/>
    <w:basedOn w:val="Normal"/>
    <w:next w:val="Normal"/>
    <w:uiPriority w:val="35"/>
    <w:unhideWhenUsed/>
    <w:qFormat/>
    <w:rsid w:val="008055FA"/>
    <w:pPr>
      <w:spacing w:after="200" w:line="240" w:lineRule="auto"/>
    </w:pPr>
    <w:rPr>
      <w:i/>
      <w:iCs/>
      <w:color w:val="002060" w:themeColor="text2"/>
      <w:sz w:val="18"/>
      <w:szCs w:val="18"/>
    </w:rPr>
  </w:style>
  <w:style w:type="paragraph" w:styleId="FootnoteText">
    <w:name w:val="footnote text"/>
    <w:basedOn w:val="Normal"/>
    <w:link w:val="FootnoteTextChar"/>
    <w:uiPriority w:val="99"/>
    <w:semiHidden/>
    <w:unhideWhenUsed/>
    <w:rsid w:val="00816732"/>
    <w:pPr>
      <w:spacing w:after="0" w:line="240" w:lineRule="auto"/>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816732"/>
    <w:rPr>
      <w:rFonts w:eastAsiaTheme="minorHAnsi" w:cstheme="minorBidi"/>
      <w:sz w:val="20"/>
      <w:szCs w:val="20"/>
      <w:lang w:eastAsia="en-US"/>
    </w:rPr>
  </w:style>
  <w:style w:type="character" w:styleId="FootnoteReference">
    <w:name w:val="footnote reference"/>
    <w:basedOn w:val="DefaultParagraphFont"/>
    <w:uiPriority w:val="99"/>
    <w:semiHidden/>
    <w:unhideWhenUsed/>
    <w:rsid w:val="00816732"/>
    <w:rPr>
      <w:vertAlign w:val="superscript"/>
    </w:rPr>
  </w:style>
  <w:style w:type="paragraph" w:customStyle="1" w:styleId="HeadingNumber">
    <w:name w:val="Heading Number"/>
    <w:basedOn w:val="Heading4"/>
    <w:link w:val="HeadingNumberChar"/>
    <w:rsid w:val="007153CD"/>
    <w:pPr>
      <w:numPr>
        <w:numId w:val="3"/>
      </w:numPr>
      <w:autoSpaceDE w:val="0"/>
      <w:autoSpaceDN w:val="0"/>
      <w:adjustRightInd w:val="0"/>
      <w:spacing w:before="0" w:after="0" w:line="240" w:lineRule="auto"/>
      <w:ind w:left="714" w:hanging="357"/>
    </w:pPr>
    <w:rPr>
      <w:b/>
      <w:i w:val="0"/>
    </w:rPr>
  </w:style>
  <w:style w:type="paragraph" w:customStyle="1" w:styleId="HeadingNumbered">
    <w:name w:val="Heading Numbered"/>
    <w:basedOn w:val="Heading3"/>
    <w:next w:val="Normal"/>
    <w:qFormat/>
    <w:rsid w:val="006408BA"/>
    <w:pPr>
      <w:numPr>
        <w:numId w:val="4"/>
      </w:numPr>
    </w:pPr>
  </w:style>
  <w:style w:type="character" w:customStyle="1" w:styleId="Heading4Char">
    <w:name w:val="Heading 4 Char"/>
    <w:basedOn w:val="DefaultParagraphFont"/>
    <w:link w:val="Heading4"/>
    <w:uiPriority w:val="9"/>
    <w:rsid w:val="00712120"/>
    <w:rPr>
      <w:i/>
      <w:color w:val="002060" w:themeColor="text2"/>
      <w:sz w:val="24"/>
      <w:szCs w:val="24"/>
    </w:rPr>
  </w:style>
  <w:style w:type="character" w:customStyle="1" w:styleId="HeadingNumberChar">
    <w:name w:val="Heading Number Char"/>
    <w:basedOn w:val="Heading4Char"/>
    <w:link w:val="HeadingNumber"/>
    <w:rsid w:val="007153CD"/>
    <w:rPr>
      <w:b/>
      <w:i w:val="0"/>
      <w:color w:val="002060" w:themeColor="text2"/>
      <w:sz w:val="24"/>
      <w:szCs w:val="24"/>
    </w:rPr>
  </w:style>
  <w:style w:type="paragraph" w:styleId="Bibliography">
    <w:name w:val="Bibliography"/>
    <w:basedOn w:val="Normal"/>
    <w:next w:val="Normal"/>
    <w:uiPriority w:val="37"/>
    <w:unhideWhenUsed/>
    <w:rsid w:val="00406282"/>
  </w:style>
  <w:style w:type="paragraph" w:styleId="TOCHeading">
    <w:name w:val="TOC Heading"/>
    <w:basedOn w:val="Heading1"/>
    <w:next w:val="Normal"/>
    <w:uiPriority w:val="39"/>
    <w:unhideWhenUsed/>
    <w:qFormat/>
    <w:rsid w:val="00406282"/>
    <w:pPr>
      <w:spacing w:before="240"/>
      <w:outlineLvl w:val="9"/>
    </w:pPr>
    <w:rPr>
      <w:rFonts w:asciiTheme="majorHAnsi" w:hAnsiTheme="majorHAnsi"/>
      <w:b w:val="0"/>
      <w:color w:val="004070" w:themeColor="accent1" w:themeShade="BF"/>
      <w:sz w:val="32"/>
      <w:lang w:val="en-US" w:eastAsia="en-US"/>
    </w:rPr>
  </w:style>
  <w:style w:type="paragraph" w:styleId="TOC1">
    <w:name w:val="toc 1"/>
    <w:basedOn w:val="Normal"/>
    <w:next w:val="Normal"/>
    <w:autoRedefine/>
    <w:uiPriority w:val="39"/>
    <w:unhideWhenUsed/>
    <w:rsid w:val="00406282"/>
    <w:pPr>
      <w:spacing w:after="100"/>
    </w:pPr>
  </w:style>
  <w:style w:type="paragraph" w:styleId="TOC2">
    <w:name w:val="toc 2"/>
    <w:basedOn w:val="Normal"/>
    <w:next w:val="Normal"/>
    <w:autoRedefine/>
    <w:uiPriority w:val="39"/>
    <w:unhideWhenUsed/>
    <w:rsid w:val="00406282"/>
    <w:pPr>
      <w:spacing w:after="100"/>
      <w:ind w:left="220"/>
    </w:pPr>
  </w:style>
  <w:style w:type="paragraph" w:styleId="TOC3">
    <w:name w:val="toc 3"/>
    <w:basedOn w:val="Normal"/>
    <w:next w:val="Normal"/>
    <w:autoRedefine/>
    <w:uiPriority w:val="39"/>
    <w:unhideWhenUsed/>
    <w:rsid w:val="004062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528">
      <w:bodyDiv w:val="1"/>
      <w:marLeft w:val="0"/>
      <w:marRight w:val="0"/>
      <w:marTop w:val="0"/>
      <w:marBottom w:val="0"/>
      <w:divBdr>
        <w:top w:val="none" w:sz="0" w:space="0" w:color="auto"/>
        <w:left w:val="none" w:sz="0" w:space="0" w:color="auto"/>
        <w:bottom w:val="none" w:sz="0" w:space="0" w:color="auto"/>
        <w:right w:val="none" w:sz="0" w:space="0" w:color="auto"/>
      </w:divBdr>
    </w:div>
    <w:div w:id="10955267">
      <w:bodyDiv w:val="1"/>
      <w:marLeft w:val="0"/>
      <w:marRight w:val="0"/>
      <w:marTop w:val="0"/>
      <w:marBottom w:val="0"/>
      <w:divBdr>
        <w:top w:val="none" w:sz="0" w:space="0" w:color="auto"/>
        <w:left w:val="none" w:sz="0" w:space="0" w:color="auto"/>
        <w:bottom w:val="none" w:sz="0" w:space="0" w:color="auto"/>
        <w:right w:val="none" w:sz="0" w:space="0" w:color="auto"/>
      </w:divBdr>
    </w:div>
    <w:div w:id="33117337">
      <w:bodyDiv w:val="1"/>
      <w:marLeft w:val="0"/>
      <w:marRight w:val="0"/>
      <w:marTop w:val="0"/>
      <w:marBottom w:val="0"/>
      <w:divBdr>
        <w:top w:val="none" w:sz="0" w:space="0" w:color="auto"/>
        <w:left w:val="none" w:sz="0" w:space="0" w:color="auto"/>
        <w:bottom w:val="none" w:sz="0" w:space="0" w:color="auto"/>
        <w:right w:val="none" w:sz="0" w:space="0" w:color="auto"/>
      </w:divBdr>
    </w:div>
    <w:div w:id="83041918">
      <w:bodyDiv w:val="1"/>
      <w:marLeft w:val="0"/>
      <w:marRight w:val="0"/>
      <w:marTop w:val="0"/>
      <w:marBottom w:val="0"/>
      <w:divBdr>
        <w:top w:val="none" w:sz="0" w:space="0" w:color="auto"/>
        <w:left w:val="none" w:sz="0" w:space="0" w:color="auto"/>
        <w:bottom w:val="none" w:sz="0" w:space="0" w:color="auto"/>
        <w:right w:val="none" w:sz="0" w:space="0" w:color="auto"/>
      </w:divBdr>
    </w:div>
    <w:div w:id="128207112">
      <w:bodyDiv w:val="1"/>
      <w:marLeft w:val="0"/>
      <w:marRight w:val="0"/>
      <w:marTop w:val="0"/>
      <w:marBottom w:val="0"/>
      <w:divBdr>
        <w:top w:val="none" w:sz="0" w:space="0" w:color="auto"/>
        <w:left w:val="none" w:sz="0" w:space="0" w:color="auto"/>
        <w:bottom w:val="none" w:sz="0" w:space="0" w:color="auto"/>
        <w:right w:val="none" w:sz="0" w:space="0" w:color="auto"/>
      </w:divBdr>
    </w:div>
    <w:div w:id="152373948">
      <w:bodyDiv w:val="1"/>
      <w:marLeft w:val="0"/>
      <w:marRight w:val="0"/>
      <w:marTop w:val="0"/>
      <w:marBottom w:val="0"/>
      <w:divBdr>
        <w:top w:val="none" w:sz="0" w:space="0" w:color="auto"/>
        <w:left w:val="none" w:sz="0" w:space="0" w:color="auto"/>
        <w:bottom w:val="none" w:sz="0" w:space="0" w:color="auto"/>
        <w:right w:val="none" w:sz="0" w:space="0" w:color="auto"/>
      </w:divBdr>
    </w:div>
    <w:div w:id="202331544">
      <w:bodyDiv w:val="1"/>
      <w:marLeft w:val="0"/>
      <w:marRight w:val="0"/>
      <w:marTop w:val="0"/>
      <w:marBottom w:val="0"/>
      <w:divBdr>
        <w:top w:val="none" w:sz="0" w:space="0" w:color="auto"/>
        <w:left w:val="none" w:sz="0" w:space="0" w:color="auto"/>
        <w:bottom w:val="none" w:sz="0" w:space="0" w:color="auto"/>
        <w:right w:val="none" w:sz="0" w:space="0" w:color="auto"/>
      </w:divBdr>
    </w:div>
    <w:div w:id="209996531">
      <w:bodyDiv w:val="1"/>
      <w:marLeft w:val="0"/>
      <w:marRight w:val="0"/>
      <w:marTop w:val="0"/>
      <w:marBottom w:val="0"/>
      <w:divBdr>
        <w:top w:val="none" w:sz="0" w:space="0" w:color="auto"/>
        <w:left w:val="none" w:sz="0" w:space="0" w:color="auto"/>
        <w:bottom w:val="none" w:sz="0" w:space="0" w:color="auto"/>
        <w:right w:val="none" w:sz="0" w:space="0" w:color="auto"/>
      </w:divBdr>
    </w:div>
    <w:div w:id="226260185">
      <w:bodyDiv w:val="1"/>
      <w:marLeft w:val="0"/>
      <w:marRight w:val="0"/>
      <w:marTop w:val="0"/>
      <w:marBottom w:val="0"/>
      <w:divBdr>
        <w:top w:val="none" w:sz="0" w:space="0" w:color="auto"/>
        <w:left w:val="none" w:sz="0" w:space="0" w:color="auto"/>
        <w:bottom w:val="none" w:sz="0" w:space="0" w:color="auto"/>
        <w:right w:val="none" w:sz="0" w:space="0" w:color="auto"/>
      </w:divBdr>
    </w:div>
    <w:div w:id="265429901">
      <w:bodyDiv w:val="1"/>
      <w:marLeft w:val="0"/>
      <w:marRight w:val="0"/>
      <w:marTop w:val="0"/>
      <w:marBottom w:val="0"/>
      <w:divBdr>
        <w:top w:val="none" w:sz="0" w:space="0" w:color="auto"/>
        <w:left w:val="none" w:sz="0" w:space="0" w:color="auto"/>
        <w:bottom w:val="none" w:sz="0" w:space="0" w:color="auto"/>
        <w:right w:val="none" w:sz="0" w:space="0" w:color="auto"/>
      </w:divBdr>
    </w:div>
    <w:div w:id="331614498">
      <w:bodyDiv w:val="1"/>
      <w:marLeft w:val="0"/>
      <w:marRight w:val="0"/>
      <w:marTop w:val="0"/>
      <w:marBottom w:val="0"/>
      <w:divBdr>
        <w:top w:val="none" w:sz="0" w:space="0" w:color="auto"/>
        <w:left w:val="none" w:sz="0" w:space="0" w:color="auto"/>
        <w:bottom w:val="none" w:sz="0" w:space="0" w:color="auto"/>
        <w:right w:val="none" w:sz="0" w:space="0" w:color="auto"/>
      </w:divBdr>
    </w:div>
    <w:div w:id="343360274">
      <w:bodyDiv w:val="1"/>
      <w:marLeft w:val="0"/>
      <w:marRight w:val="0"/>
      <w:marTop w:val="0"/>
      <w:marBottom w:val="0"/>
      <w:divBdr>
        <w:top w:val="none" w:sz="0" w:space="0" w:color="auto"/>
        <w:left w:val="none" w:sz="0" w:space="0" w:color="auto"/>
        <w:bottom w:val="none" w:sz="0" w:space="0" w:color="auto"/>
        <w:right w:val="none" w:sz="0" w:space="0" w:color="auto"/>
      </w:divBdr>
    </w:div>
    <w:div w:id="349648573">
      <w:bodyDiv w:val="1"/>
      <w:marLeft w:val="0"/>
      <w:marRight w:val="0"/>
      <w:marTop w:val="0"/>
      <w:marBottom w:val="0"/>
      <w:divBdr>
        <w:top w:val="none" w:sz="0" w:space="0" w:color="auto"/>
        <w:left w:val="none" w:sz="0" w:space="0" w:color="auto"/>
        <w:bottom w:val="none" w:sz="0" w:space="0" w:color="auto"/>
        <w:right w:val="none" w:sz="0" w:space="0" w:color="auto"/>
      </w:divBdr>
    </w:div>
    <w:div w:id="358699259">
      <w:bodyDiv w:val="1"/>
      <w:marLeft w:val="0"/>
      <w:marRight w:val="0"/>
      <w:marTop w:val="0"/>
      <w:marBottom w:val="0"/>
      <w:divBdr>
        <w:top w:val="none" w:sz="0" w:space="0" w:color="auto"/>
        <w:left w:val="none" w:sz="0" w:space="0" w:color="auto"/>
        <w:bottom w:val="none" w:sz="0" w:space="0" w:color="auto"/>
        <w:right w:val="none" w:sz="0" w:space="0" w:color="auto"/>
      </w:divBdr>
    </w:div>
    <w:div w:id="361981934">
      <w:bodyDiv w:val="1"/>
      <w:marLeft w:val="0"/>
      <w:marRight w:val="0"/>
      <w:marTop w:val="0"/>
      <w:marBottom w:val="0"/>
      <w:divBdr>
        <w:top w:val="none" w:sz="0" w:space="0" w:color="auto"/>
        <w:left w:val="none" w:sz="0" w:space="0" w:color="auto"/>
        <w:bottom w:val="none" w:sz="0" w:space="0" w:color="auto"/>
        <w:right w:val="none" w:sz="0" w:space="0" w:color="auto"/>
      </w:divBdr>
    </w:div>
    <w:div w:id="468786894">
      <w:bodyDiv w:val="1"/>
      <w:marLeft w:val="0"/>
      <w:marRight w:val="0"/>
      <w:marTop w:val="0"/>
      <w:marBottom w:val="0"/>
      <w:divBdr>
        <w:top w:val="none" w:sz="0" w:space="0" w:color="auto"/>
        <w:left w:val="none" w:sz="0" w:space="0" w:color="auto"/>
        <w:bottom w:val="none" w:sz="0" w:space="0" w:color="auto"/>
        <w:right w:val="none" w:sz="0" w:space="0" w:color="auto"/>
      </w:divBdr>
    </w:div>
    <w:div w:id="521481220">
      <w:bodyDiv w:val="1"/>
      <w:marLeft w:val="0"/>
      <w:marRight w:val="0"/>
      <w:marTop w:val="0"/>
      <w:marBottom w:val="0"/>
      <w:divBdr>
        <w:top w:val="none" w:sz="0" w:space="0" w:color="auto"/>
        <w:left w:val="none" w:sz="0" w:space="0" w:color="auto"/>
        <w:bottom w:val="none" w:sz="0" w:space="0" w:color="auto"/>
        <w:right w:val="none" w:sz="0" w:space="0" w:color="auto"/>
      </w:divBdr>
    </w:div>
    <w:div w:id="523792417">
      <w:bodyDiv w:val="1"/>
      <w:marLeft w:val="0"/>
      <w:marRight w:val="0"/>
      <w:marTop w:val="0"/>
      <w:marBottom w:val="0"/>
      <w:divBdr>
        <w:top w:val="none" w:sz="0" w:space="0" w:color="auto"/>
        <w:left w:val="none" w:sz="0" w:space="0" w:color="auto"/>
        <w:bottom w:val="none" w:sz="0" w:space="0" w:color="auto"/>
        <w:right w:val="none" w:sz="0" w:space="0" w:color="auto"/>
      </w:divBdr>
    </w:div>
    <w:div w:id="527913122">
      <w:bodyDiv w:val="1"/>
      <w:marLeft w:val="0"/>
      <w:marRight w:val="0"/>
      <w:marTop w:val="0"/>
      <w:marBottom w:val="0"/>
      <w:divBdr>
        <w:top w:val="none" w:sz="0" w:space="0" w:color="auto"/>
        <w:left w:val="none" w:sz="0" w:space="0" w:color="auto"/>
        <w:bottom w:val="none" w:sz="0" w:space="0" w:color="auto"/>
        <w:right w:val="none" w:sz="0" w:space="0" w:color="auto"/>
      </w:divBdr>
    </w:div>
    <w:div w:id="619148564">
      <w:bodyDiv w:val="1"/>
      <w:marLeft w:val="0"/>
      <w:marRight w:val="0"/>
      <w:marTop w:val="0"/>
      <w:marBottom w:val="0"/>
      <w:divBdr>
        <w:top w:val="none" w:sz="0" w:space="0" w:color="auto"/>
        <w:left w:val="none" w:sz="0" w:space="0" w:color="auto"/>
        <w:bottom w:val="none" w:sz="0" w:space="0" w:color="auto"/>
        <w:right w:val="none" w:sz="0" w:space="0" w:color="auto"/>
      </w:divBdr>
    </w:div>
    <w:div w:id="638344428">
      <w:bodyDiv w:val="1"/>
      <w:marLeft w:val="0"/>
      <w:marRight w:val="0"/>
      <w:marTop w:val="0"/>
      <w:marBottom w:val="0"/>
      <w:divBdr>
        <w:top w:val="none" w:sz="0" w:space="0" w:color="auto"/>
        <w:left w:val="none" w:sz="0" w:space="0" w:color="auto"/>
        <w:bottom w:val="none" w:sz="0" w:space="0" w:color="auto"/>
        <w:right w:val="none" w:sz="0" w:space="0" w:color="auto"/>
      </w:divBdr>
    </w:div>
    <w:div w:id="638656349">
      <w:bodyDiv w:val="1"/>
      <w:marLeft w:val="0"/>
      <w:marRight w:val="0"/>
      <w:marTop w:val="0"/>
      <w:marBottom w:val="0"/>
      <w:divBdr>
        <w:top w:val="none" w:sz="0" w:space="0" w:color="auto"/>
        <w:left w:val="none" w:sz="0" w:space="0" w:color="auto"/>
        <w:bottom w:val="none" w:sz="0" w:space="0" w:color="auto"/>
        <w:right w:val="none" w:sz="0" w:space="0" w:color="auto"/>
      </w:divBdr>
    </w:div>
    <w:div w:id="638921386">
      <w:bodyDiv w:val="1"/>
      <w:marLeft w:val="0"/>
      <w:marRight w:val="0"/>
      <w:marTop w:val="0"/>
      <w:marBottom w:val="0"/>
      <w:divBdr>
        <w:top w:val="none" w:sz="0" w:space="0" w:color="auto"/>
        <w:left w:val="none" w:sz="0" w:space="0" w:color="auto"/>
        <w:bottom w:val="none" w:sz="0" w:space="0" w:color="auto"/>
        <w:right w:val="none" w:sz="0" w:space="0" w:color="auto"/>
      </w:divBdr>
    </w:div>
    <w:div w:id="643854295">
      <w:bodyDiv w:val="1"/>
      <w:marLeft w:val="0"/>
      <w:marRight w:val="0"/>
      <w:marTop w:val="0"/>
      <w:marBottom w:val="0"/>
      <w:divBdr>
        <w:top w:val="none" w:sz="0" w:space="0" w:color="auto"/>
        <w:left w:val="none" w:sz="0" w:space="0" w:color="auto"/>
        <w:bottom w:val="none" w:sz="0" w:space="0" w:color="auto"/>
        <w:right w:val="none" w:sz="0" w:space="0" w:color="auto"/>
      </w:divBdr>
    </w:div>
    <w:div w:id="673531716">
      <w:bodyDiv w:val="1"/>
      <w:marLeft w:val="0"/>
      <w:marRight w:val="0"/>
      <w:marTop w:val="0"/>
      <w:marBottom w:val="0"/>
      <w:divBdr>
        <w:top w:val="none" w:sz="0" w:space="0" w:color="auto"/>
        <w:left w:val="none" w:sz="0" w:space="0" w:color="auto"/>
        <w:bottom w:val="none" w:sz="0" w:space="0" w:color="auto"/>
        <w:right w:val="none" w:sz="0" w:space="0" w:color="auto"/>
      </w:divBdr>
    </w:div>
    <w:div w:id="678429956">
      <w:bodyDiv w:val="1"/>
      <w:marLeft w:val="0"/>
      <w:marRight w:val="0"/>
      <w:marTop w:val="0"/>
      <w:marBottom w:val="0"/>
      <w:divBdr>
        <w:top w:val="none" w:sz="0" w:space="0" w:color="auto"/>
        <w:left w:val="none" w:sz="0" w:space="0" w:color="auto"/>
        <w:bottom w:val="none" w:sz="0" w:space="0" w:color="auto"/>
        <w:right w:val="none" w:sz="0" w:space="0" w:color="auto"/>
      </w:divBdr>
    </w:div>
    <w:div w:id="721297453">
      <w:bodyDiv w:val="1"/>
      <w:marLeft w:val="0"/>
      <w:marRight w:val="0"/>
      <w:marTop w:val="0"/>
      <w:marBottom w:val="0"/>
      <w:divBdr>
        <w:top w:val="none" w:sz="0" w:space="0" w:color="auto"/>
        <w:left w:val="none" w:sz="0" w:space="0" w:color="auto"/>
        <w:bottom w:val="none" w:sz="0" w:space="0" w:color="auto"/>
        <w:right w:val="none" w:sz="0" w:space="0" w:color="auto"/>
      </w:divBdr>
    </w:div>
    <w:div w:id="738789348">
      <w:bodyDiv w:val="1"/>
      <w:marLeft w:val="0"/>
      <w:marRight w:val="0"/>
      <w:marTop w:val="0"/>
      <w:marBottom w:val="0"/>
      <w:divBdr>
        <w:top w:val="none" w:sz="0" w:space="0" w:color="auto"/>
        <w:left w:val="none" w:sz="0" w:space="0" w:color="auto"/>
        <w:bottom w:val="none" w:sz="0" w:space="0" w:color="auto"/>
        <w:right w:val="none" w:sz="0" w:space="0" w:color="auto"/>
      </w:divBdr>
    </w:div>
    <w:div w:id="775322504">
      <w:bodyDiv w:val="1"/>
      <w:marLeft w:val="0"/>
      <w:marRight w:val="0"/>
      <w:marTop w:val="0"/>
      <w:marBottom w:val="0"/>
      <w:divBdr>
        <w:top w:val="none" w:sz="0" w:space="0" w:color="auto"/>
        <w:left w:val="none" w:sz="0" w:space="0" w:color="auto"/>
        <w:bottom w:val="none" w:sz="0" w:space="0" w:color="auto"/>
        <w:right w:val="none" w:sz="0" w:space="0" w:color="auto"/>
      </w:divBdr>
    </w:div>
    <w:div w:id="795492040">
      <w:bodyDiv w:val="1"/>
      <w:marLeft w:val="0"/>
      <w:marRight w:val="0"/>
      <w:marTop w:val="0"/>
      <w:marBottom w:val="0"/>
      <w:divBdr>
        <w:top w:val="none" w:sz="0" w:space="0" w:color="auto"/>
        <w:left w:val="none" w:sz="0" w:space="0" w:color="auto"/>
        <w:bottom w:val="none" w:sz="0" w:space="0" w:color="auto"/>
        <w:right w:val="none" w:sz="0" w:space="0" w:color="auto"/>
      </w:divBdr>
    </w:div>
    <w:div w:id="808084907">
      <w:bodyDiv w:val="1"/>
      <w:marLeft w:val="0"/>
      <w:marRight w:val="0"/>
      <w:marTop w:val="0"/>
      <w:marBottom w:val="0"/>
      <w:divBdr>
        <w:top w:val="none" w:sz="0" w:space="0" w:color="auto"/>
        <w:left w:val="none" w:sz="0" w:space="0" w:color="auto"/>
        <w:bottom w:val="none" w:sz="0" w:space="0" w:color="auto"/>
        <w:right w:val="none" w:sz="0" w:space="0" w:color="auto"/>
      </w:divBdr>
    </w:div>
    <w:div w:id="847209471">
      <w:bodyDiv w:val="1"/>
      <w:marLeft w:val="0"/>
      <w:marRight w:val="0"/>
      <w:marTop w:val="0"/>
      <w:marBottom w:val="0"/>
      <w:divBdr>
        <w:top w:val="none" w:sz="0" w:space="0" w:color="auto"/>
        <w:left w:val="none" w:sz="0" w:space="0" w:color="auto"/>
        <w:bottom w:val="none" w:sz="0" w:space="0" w:color="auto"/>
        <w:right w:val="none" w:sz="0" w:space="0" w:color="auto"/>
      </w:divBdr>
    </w:div>
    <w:div w:id="851146624">
      <w:bodyDiv w:val="1"/>
      <w:marLeft w:val="0"/>
      <w:marRight w:val="0"/>
      <w:marTop w:val="0"/>
      <w:marBottom w:val="0"/>
      <w:divBdr>
        <w:top w:val="none" w:sz="0" w:space="0" w:color="auto"/>
        <w:left w:val="none" w:sz="0" w:space="0" w:color="auto"/>
        <w:bottom w:val="none" w:sz="0" w:space="0" w:color="auto"/>
        <w:right w:val="none" w:sz="0" w:space="0" w:color="auto"/>
      </w:divBdr>
    </w:div>
    <w:div w:id="851647702">
      <w:bodyDiv w:val="1"/>
      <w:marLeft w:val="0"/>
      <w:marRight w:val="0"/>
      <w:marTop w:val="0"/>
      <w:marBottom w:val="0"/>
      <w:divBdr>
        <w:top w:val="none" w:sz="0" w:space="0" w:color="auto"/>
        <w:left w:val="none" w:sz="0" w:space="0" w:color="auto"/>
        <w:bottom w:val="none" w:sz="0" w:space="0" w:color="auto"/>
        <w:right w:val="none" w:sz="0" w:space="0" w:color="auto"/>
      </w:divBdr>
    </w:div>
    <w:div w:id="899634181">
      <w:bodyDiv w:val="1"/>
      <w:marLeft w:val="0"/>
      <w:marRight w:val="0"/>
      <w:marTop w:val="0"/>
      <w:marBottom w:val="0"/>
      <w:divBdr>
        <w:top w:val="none" w:sz="0" w:space="0" w:color="auto"/>
        <w:left w:val="none" w:sz="0" w:space="0" w:color="auto"/>
        <w:bottom w:val="none" w:sz="0" w:space="0" w:color="auto"/>
        <w:right w:val="none" w:sz="0" w:space="0" w:color="auto"/>
      </w:divBdr>
    </w:div>
    <w:div w:id="912861297">
      <w:bodyDiv w:val="1"/>
      <w:marLeft w:val="0"/>
      <w:marRight w:val="0"/>
      <w:marTop w:val="0"/>
      <w:marBottom w:val="0"/>
      <w:divBdr>
        <w:top w:val="none" w:sz="0" w:space="0" w:color="auto"/>
        <w:left w:val="none" w:sz="0" w:space="0" w:color="auto"/>
        <w:bottom w:val="none" w:sz="0" w:space="0" w:color="auto"/>
        <w:right w:val="none" w:sz="0" w:space="0" w:color="auto"/>
      </w:divBdr>
    </w:div>
    <w:div w:id="933976036">
      <w:bodyDiv w:val="1"/>
      <w:marLeft w:val="0"/>
      <w:marRight w:val="0"/>
      <w:marTop w:val="0"/>
      <w:marBottom w:val="0"/>
      <w:divBdr>
        <w:top w:val="none" w:sz="0" w:space="0" w:color="auto"/>
        <w:left w:val="none" w:sz="0" w:space="0" w:color="auto"/>
        <w:bottom w:val="none" w:sz="0" w:space="0" w:color="auto"/>
        <w:right w:val="none" w:sz="0" w:space="0" w:color="auto"/>
      </w:divBdr>
    </w:div>
    <w:div w:id="937718603">
      <w:bodyDiv w:val="1"/>
      <w:marLeft w:val="0"/>
      <w:marRight w:val="0"/>
      <w:marTop w:val="0"/>
      <w:marBottom w:val="0"/>
      <w:divBdr>
        <w:top w:val="none" w:sz="0" w:space="0" w:color="auto"/>
        <w:left w:val="none" w:sz="0" w:space="0" w:color="auto"/>
        <w:bottom w:val="none" w:sz="0" w:space="0" w:color="auto"/>
        <w:right w:val="none" w:sz="0" w:space="0" w:color="auto"/>
      </w:divBdr>
    </w:div>
    <w:div w:id="942491176">
      <w:bodyDiv w:val="1"/>
      <w:marLeft w:val="0"/>
      <w:marRight w:val="0"/>
      <w:marTop w:val="0"/>
      <w:marBottom w:val="0"/>
      <w:divBdr>
        <w:top w:val="none" w:sz="0" w:space="0" w:color="auto"/>
        <w:left w:val="none" w:sz="0" w:space="0" w:color="auto"/>
        <w:bottom w:val="none" w:sz="0" w:space="0" w:color="auto"/>
        <w:right w:val="none" w:sz="0" w:space="0" w:color="auto"/>
      </w:divBdr>
    </w:div>
    <w:div w:id="977027587">
      <w:bodyDiv w:val="1"/>
      <w:marLeft w:val="0"/>
      <w:marRight w:val="0"/>
      <w:marTop w:val="0"/>
      <w:marBottom w:val="0"/>
      <w:divBdr>
        <w:top w:val="none" w:sz="0" w:space="0" w:color="auto"/>
        <w:left w:val="none" w:sz="0" w:space="0" w:color="auto"/>
        <w:bottom w:val="none" w:sz="0" w:space="0" w:color="auto"/>
        <w:right w:val="none" w:sz="0" w:space="0" w:color="auto"/>
      </w:divBdr>
    </w:div>
    <w:div w:id="1023700961">
      <w:bodyDiv w:val="1"/>
      <w:marLeft w:val="0"/>
      <w:marRight w:val="0"/>
      <w:marTop w:val="0"/>
      <w:marBottom w:val="0"/>
      <w:divBdr>
        <w:top w:val="none" w:sz="0" w:space="0" w:color="auto"/>
        <w:left w:val="none" w:sz="0" w:space="0" w:color="auto"/>
        <w:bottom w:val="none" w:sz="0" w:space="0" w:color="auto"/>
        <w:right w:val="none" w:sz="0" w:space="0" w:color="auto"/>
      </w:divBdr>
    </w:div>
    <w:div w:id="1041705770">
      <w:bodyDiv w:val="1"/>
      <w:marLeft w:val="0"/>
      <w:marRight w:val="0"/>
      <w:marTop w:val="0"/>
      <w:marBottom w:val="0"/>
      <w:divBdr>
        <w:top w:val="none" w:sz="0" w:space="0" w:color="auto"/>
        <w:left w:val="none" w:sz="0" w:space="0" w:color="auto"/>
        <w:bottom w:val="none" w:sz="0" w:space="0" w:color="auto"/>
        <w:right w:val="none" w:sz="0" w:space="0" w:color="auto"/>
      </w:divBdr>
    </w:div>
    <w:div w:id="1084302691">
      <w:bodyDiv w:val="1"/>
      <w:marLeft w:val="0"/>
      <w:marRight w:val="0"/>
      <w:marTop w:val="0"/>
      <w:marBottom w:val="0"/>
      <w:divBdr>
        <w:top w:val="none" w:sz="0" w:space="0" w:color="auto"/>
        <w:left w:val="none" w:sz="0" w:space="0" w:color="auto"/>
        <w:bottom w:val="none" w:sz="0" w:space="0" w:color="auto"/>
        <w:right w:val="none" w:sz="0" w:space="0" w:color="auto"/>
      </w:divBdr>
    </w:div>
    <w:div w:id="1090389130">
      <w:bodyDiv w:val="1"/>
      <w:marLeft w:val="0"/>
      <w:marRight w:val="0"/>
      <w:marTop w:val="0"/>
      <w:marBottom w:val="0"/>
      <w:divBdr>
        <w:top w:val="none" w:sz="0" w:space="0" w:color="auto"/>
        <w:left w:val="none" w:sz="0" w:space="0" w:color="auto"/>
        <w:bottom w:val="none" w:sz="0" w:space="0" w:color="auto"/>
        <w:right w:val="none" w:sz="0" w:space="0" w:color="auto"/>
      </w:divBdr>
    </w:div>
    <w:div w:id="1092698950">
      <w:bodyDiv w:val="1"/>
      <w:marLeft w:val="0"/>
      <w:marRight w:val="0"/>
      <w:marTop w:val="0"/>
      <w:marBottom w:val="0"/>
      <w:divBdr>
        <w:top w:val="none" w:sz="0" w:space="0" w:color="auto"/>
        <w:left w:val="none" w:sz="0" w:space="0" w:color="auto"/>
        <w:bottom w:val="none" w:sz="0" w:space="0" w:color="auto"/>
        <w:right w:val="none" w:sz="0" w:space="0" w:color="auto"/>
      </w:divBdr>
    </w:div>
    <w:div w:id="1129326919">
      <w:bodyDiv w:val="1"/>
      <w:marLeft w:val="0"/>
      <w:marRight w:val="0"/>
      <w:marTop w:val="0"/>
      <w:marBottom w:val="0"/>
      <w:divBdr>
        <w:top w:val="none" w:sz="0" w:space="0" w:color="auto"/>
        <w:left w:val="none" w:sz="0" w:space="0" w:color="auto"/>
        <w:bottom w:val="none" w:sz="0" w:space="0" w:color="auto"/>
        <w:right w:val="none" w:sz="0" w:space="0" w:color="auto"/>
      </w:divBdr>
    </w:div>
    <w:div w:id="1136021023">
      <w:bodyDiv w:val="1"/>
      <w:marLeft w:val="0"/>
      <w:marRight w:val="0"/>
      <w:marTop w:val="0"/>
      <w:marBottom w:val="0"/>
      <w:divBdr>
        <w:top w:val="none" w:sz="0" w:space="0" w:color="auto"/>
        <w:left w:val="none" w:sz="0" w:space="0" w:color="auto"/>
        <w:bottom w:val="none" w:sz="0" w:space="0" w:color="auto"/>
        <w:right w:val="none" w:sz="0" w:space="0" w:color="auto"/>
      </w:divBdr>
    </w:div>
    <w:div w:id="1187057083">
      <w:bodyDiv w:val="1"/>
      <w:marLeft w:val="0"/>
      <w:marRight w:val="0"/>
      <w:marTop w:val="0"/>
      <w:marBottom w:val="0"/>
      <w:divBdr>
        <w:top w:val="none" w:sz="0" w:space="0" w:color="auto"/>
        <w:left w:val="none" w:sz="0" w:space="0" w:color="auto"/>
        <w:bottom w:val="none" w:sz="0" w:space="0" w:color="auto"/>
        <w:right w:val="none" w:sz="0" w:space="0" w:color="auto"/>
      </w:divBdr>
    </w:div>
    <w:div w:id="1195538949">
      <w:bodyDiv w:val="1"/>
      <w:marLeft w:val="0"/>
      <w:marRight w:val="0"/>
      <w:marTop w:val="0"/>
      <w:marBottom w:val="0"/>
      <w:divBdr>
        <w:top w:val="none" w:sz="0" w:space="0" w:color="auto"/>
        <w:left w:val="none" w:sz="0" w:space="0" w:color="auto"/>
        <w:bottom w:val="none" w:sz="0" w:space="0" w:color="auto"/>
        <w:right w:val="none" w:sz="0" w:space="0" w:color="auto"/>
      </w:divBdr>
    </w:div>
    <w:div w:id="1276132428">
      <w:bodyDiv w:val="1"/>
      <w:marLeft w:val="0"/>
      <w:marRight w:val="0"/>
      <w:marTop w:val="0"/>
      <w:marBottom w:val="0"/>
      <w:divBdr>
        <w:top w:val="none" w:sz="0" w:space="0" w:color="auto"/>
        <w:left w:val="none" w:sz="0" w:space="0" w:color="auto"/>
        <w:bottom w:val="none" w:sz="0" w:space="0" w:color="auto"/>
        <w:right w:val="none" w:sz="0" w:space="0" w:color="auto"/>
      </w:divBdr>
    </w:div>
    <w:div w:id="1388844018">
      <w:bodyDiv w:val="1"/>
      <w:marLeft w:val="0"/>
      <w:marRight w:val="0"/>
      <w:marTop w:val="0"/>
      <w:marBottom w:val="0"/>
      <w:divBdr>
        <w:top w:val="none" w:sz="0" w:space="0" w:color="auto"/>
        <w:left w:val="none" w:sz="0" w:space="0" w:color="auto"/>
        <w:bottom w:val="none" w:sz="0" w:space="0" w:color="auto"/>
        <w:right w:val="none" w:sz="0" w:space="0" w:color="auto"/>
      </w:divBdr>
    </w:div>
    <w:div w:id="1415323733">
      <w:bodyDiv w:val="1"/>
      <w:marLeft w:val="0"/>
      <w:marRight w:val="0"/>
      <w:marTop w:val="0"/>
      <w:marBottom w:val="0"/>
      <w:divBdr>
        <w:top w:val="none" w:sz="0" w:space="0" w:color="auto"/>
        <w:left w:val="none" w:sz="0" w:space="0" w:color="auto"/>
        <w:bottom w:val="none" w:sz="0" w:space="0" w:color="auto"/>
        <w:right w:val="none" w:sz="0" w:space="0" w:color="auto"/>
      </w:divBdr>
    </w:div>
    <w:div w:id="1431046803">
      <w:bodyDiv w:val="1"/>
      <w:marLeft w:val="0"/>
      <w:marRight w:val="0"/>
      <w:marTop w:val="0"/>
      <w:marBottom w:val="0"/>
      <w:divBdr>
        <w:top w:val="none" w:sz="0" w:space="0" w:color="auto"/>
        <w:left w:val="none" w:sz="0" w:space="0" w:color="auto"/>
        <w:bottom w:val="none" w:sz="0" w:space="0" w:color="auto"/>
        <w:right w:val="none" w:sz="0" w:space="0" w:color="auto"/>
      </w:divBdr>
    </w:div>
    <w:div w:id="1460033172">
      <w:bodyDiv w:val="1"/>
      <w:marLeft w:val="0"/>
      <w:marRight w:val="0"/>
      <w:marTop w:val="0"/>
      <w:marBottom w:val="0"/>
      <w:divBdr>
        <w:top w:val="none" w:sz="0" w:space="0" w:color="auto"/>
        <w:left w:val="none" w:sz="0" w:space="0" w:color="auto"/>
        <w:bottom w:val="none" w:sz="0" w:space="0" w:color="auto"/>
        <w:right w:val="none" w:sz="0" w:space="0" w:color="auto"/>
      </w:divBdr>
    </w:div>
    <w:div w:id="1487820840">
      <w:bodyDiv w:val="1"/>
      <w:marLeft w:val="0"/>
      <w:marRight w:val="0"/>
      <w:marTop w:val="0"/>
      <w:marBottom w:val="0"/>
      <w:divBdr>
        <w:top w:val="none" w:sz="0" w:space="0" w:color="auto"/>
        <w:left w:val="none" w:sz="0" w:space="0" w:color="auto"/>
        <w:bottom w:val="none" w:sz="0" w:space="0" w:color="auto"/>
        <w:right w:val="none" w:sz="0" w:space="0" w:color="auto"/>
      </w:divBdr>
    </w:div>
    <w:div w:id="1490900928">
      <w:bodyDiv w:val="1"/>
      <w:marLeft w:val="0"/>
      <w:marRight w:val="0"/>
      <w:marTop w:val="0"/>
      <w:marBottom w:val="0"/>
      <w:divBdr>
        <w:top w:val="none" w:sz="0" w:space="0" w:color="auto"/>
        <w:left w:val="none" w:sz="0" w:space="0" w:color="auto"/>
        <w:bottom w:val="none" w:sz="0" w:space="0" w:color="auto"/>
        <w:right w:val="none" w:sz="0" w:space="0" w:color="auto"/>
      </w:divBdr>
    </w:div>
    <w:div w:id="1519927237">
      <w:bodyDiv w:val="1"/>
      <w:marLeft w:val="0"/>
      <w:marRight w:val="0"/>
      <w:marTop w:val="0"/>
      <w:marBottom w:val="0"/>
      <w:divBdr>
        <w:top w:val="none" w:sz="0" w:space="0" w:color="auto"/>
        <w:left w:val="none" w:sz="0" w:space="0" w:color="auto"/>
        <w:bottom w:val="none" w:sz="0" w:space="0" w:color="auto"/>
        <w:right w:val="none" w:sz="0" w:space="0" w:color="auto"/>
      </w:divBdr>
    </w:div>
    <w:div w:id="1542130829">
      <w:bodyDiv w:val="1"/>
      <w:marLeft w:val="0"/>
      <w:marRight w:val="0"/>
      <w:marTop w:val="0"/>
      <w:marBottom w:val="0"/>
      <w:divBdr>
        <w:top w:val="none" w:sz="0" w:space="0" w:color="auto"/>
        <w:left w:val="none" w:sz="0" w:space="0" w:color="auto"/>
        <w:bottom w:val="none" w:sz="0" w:space="0" w:color="auto"/>
        <w:right w:val="none" w:sz="0" w:space="0" w:color="auto"/>
      </w:divBdr>
    </w:div>
    <w:div w:id="1579367787">
      <w:bodyDiv w:val="1"/>
      <w:marLeft w:val="0"/>
      <w:marRight w:val="0"/>
      <w:marTop w:val="0"/>
      <w:marBottom w:val="0"/>
      <w:divBdr>
        <w:top w:val="none" w:sz="0" w:space="0" w:color="auto"/>
        <w:left w:val="none" w:sz="0" w:space="0" w:color="auto"/>
        <w:bottom w:val="none" w:sz="0" w:space="0" w:color="auto"/>
        <w:right w:val="none" w:sz="0" w:space="0" w:color="auto"/>
      </w:divBdr>
    </w:div>
    <w:div w:id="1604613158">
      <w:bodyDiv w:val="1"/>
      <w:marLeft w:val="0"/>
      <w:marRight w:val="0"/>
      <w:marTop w:val="0"/>
      <w:marBottom w:val="0"/>
      <w:divBdr>
        <w:top w:val="none" w:sz="0" w:space="0" w:color="auto"/>
        <w:left w:val="none" w:sz="0" w:space="0" w:color="auto"/>
        <w:bottom w:val="none" w:sz="0" w:space="0" w:color="auto"/>
        <w:right w:val="none" w:sz="0" w:space="0" w:color="auto"/>
      </w:divBdr>
    </w:div>
    <w:div w:id="1604991084">
      <w:bodyDiv w:val="1"/>
      <w:marLeft w:val="0"/>
      <w:marRight w:val="0"/>
      <w:marTop w:val="0"/>
      <w:marBottom w:val="0"/>
      <w:divBdr>
        <w:top w:val="none" w:sz="0" w:space="0" w:color="auto"/>
        <w:left w:val="none" w:sz="0" w:space="0" w:color="auto"/>
        <w:bottom w:val="none" w:sz="0" w:space="0" w:color="auto"/>
        <w:right w:val="none" w:sz="0" w:space="0" w:color="auto"/>
      </w:divBdr>
    </w:div>
    <w:div w:id="1611038300">
      <w:bodyDiv w:val="1"/>
      <w:marLeft w:val="0"/>
      <w:marRight w:val="0"/>
      <w:marTop w:val="0"/>
      <w:marBottom w:val="0"/>
      <w:divBdr>
        <w:top w:val="none" w:sz="0" w:space="0" w:color="auto"/>
        <w:left w:val="none" w:sz="0" w:space="0" w:color="auto"/>
        <w:bottom w:val="none" w:sz="0" w:space="0" w:color="auto"/>
        <w:right w:val="none" w:sz="0" w:space="0" w:color="auto"/>
      </w:divBdr>
    </w:div>
    <w:div w:id="1611473069">
      <w:bodyDiv w:val="1"/>
      <w:marLeft w:val="0"/>
      <w:marRight w:val="0"/>
      <w:marTop w:val="0"/>
      <w:marBottom w:val="0"/>
      <w:divBdr>
        <w:top w:val="none" w:sz="0" w:space="0" w:color="auto"/>
        <w:left w:val="none" w:sz="0" w:space="0" w:color="auto"/>
        <w:bottom w:val="none" w:sz="0" w:space="0" w:color="auto"/>
        <w:right w:val="none" w:sz="0" w:space="0" w:color="auto"/>
      </w:divBdr>
    </w:div>
    <w:div w:id="1637449372">
      <w:bodyDiv w:val="1"/>
      <w:marLeft w:val="0"/>
      <w:marRight w:val="0"/>
      <w:marTop w:val="0"/>
      <w:marBottom w:val="0"/>
      <w:divBdr>
        <w:top w:val="none" w:sz="0" w:space="0" w:color="auto"/>
        <w:left w:val="none" w:sz="0" w:space="0" w:color="auto"/>
        <w:bottom w:val="none" w:sz="0" w:space="0" w:color="auto"/>
        <w:right w:val="none" w:sz="0" w:space="0" w:color="auto"/>
      </w:divBdr>
    </w:div>
    <w:div w:id="1650479740">
      <w:bodyDiv w:val="1"/>
      <w:marLeft w:val="0"/>
      <w:marRight w:val="0"/>
      <w:marTop w:val="0"/>
      <w:marBottom w:val="0"/>
      <w:divBdr>
        <w:top w:val="none" w:sz="0" w:space="0" w:color="auto"/>
        <w:left w:val="none" w:sz="0" w:space="0" w:color="auto"/>
        <w:bottom w:val="none" w:sz="0" w:space="0" w:color="auto"/>
        <w:right w:val="none" w:sz="0" w:space="0" w:color="auto"/>
      </w:divBdr>
    </w:div>
    <w:div w:id="1688867725">
      <w:bodyDiv w:val="1"/>
      <w:marLeft w:val="0"/>
      <w:marRight w:val="0"/>
      <w:marTop w:val="0"/>
      <w:marBottom w:val="0"/>
      <w:divBdr>
        <w:top w:val="none" w:sz="0" w:space="0" w:color="auto"/>
        <w:left w:val="none" w:sz="0" w:space="0" w:color="auto"/>
        <w:bottom w:val="none" w:sz="0" w:space="0" w:color="auto"/>
        <w:right w:val="none" w:sz="0" w:space="0" w:color="auto"/>
      </w:divBdr>
    </w:div>
    <w:div w:id="1707871854">
      <w:bodyDiv w:val="1"/>
      <w:marLeft w:val="0"/>
      <w:marRight w:val="0"/>
      <w:marTop w:val="0"/>
      <w:marBottom w:val="0"/>
      <w:divBdr>
        <w:top w:val="none" w:sz="0" w:space="0" w:color="auto"/>
        <w:left w:val="none" w:sz="0" w:space="0" w:color="auto"/>
        <w:bottom w:val="none" w:sz="0" w:space="0" w:color="auto"/>
        <w:right w:val="none" w:sz="0" w:space="0" w:color="auto"/>
      </w:divBdr>
    </w:div>
    <w:div w:id="1710184695">
      <w:bodyDiv w:val="1"/>
      <w:marLeft w:val="0"/>
      <w:marRight w:val="0"/>
      <w:marTop w:val="0"/>
      <w:marBottom w:val="0"/>
      <w:divBdr>
        <w:top w:val="none" w:sz="0" w:space="0" w:color="auto"/>
        <w:left w:val="none" w:sz="0" w:space="0" w:color="auto"/>
        <w:bottom w:val="none" w:sz="0" w:space="0" w:color="auto"/>
        <w:right w:val="none" w:sz="0" w:space="0" w:color="auto"/>
      </w:divBdr>
    </w:div>
    <w:div w:id="1798377078">
      <w:bodyDiv w:val="1"/>
      <w:marLeft w:val="0"/>
      <w:marRight w:val="0"/>
      <w:marTop w:val="0"/>
      <w:marBottom w:val="0"/>
      <w:divBdr>
        <w:top w:val="none" w:sz="0" w:space="0" w:color="auto"/>
        <w:left w:val="none" w:sz="0" w:space="0" w:color="auto"/>
        <w:bottom w:val="none" w:sz="0" w:space="0" w:color="auto"/>
        <w:right w:val="none" w:sz="0" w:space="0" w:color="auto"/>
      </w:divBdr>
    </w:div>
    <w:div w:id="1823547779">
      <w:bodyDiv w:val="1"/>
      <w:marLeft w:val="0"/>
      <w:marRight w:val="0"/>
      <w:marTop w:val="0"/>
      <w:marBottom w:val="0"/>
      <w:divBdr>
        <w:top w:val="none" w:sz="0" w:space="0" w:color="auto"/>
        <w:left w:val="none" w:sz="0" w:space="0" w:color="auto"/>
        <w:bottom w:val="none" w:sz="0" w:space="0" w:color="auto"/>
        <w:right w:val="none" w:sz="0" w:space="0" w:color="auto"/>
      </w:divBdr>
    </w:div>
    <w:div w:id="1884978880">
      <w:bodyDiv w:val="1"/>
      <w:marLeft w:val="0"/>
      <w:marRight w:val="0"/>
      <w:marTop w:val="0"/>
      <w:marBottom w:val="0"/>
      <w:divBdr>
        <w:top w:val="none" w:sz="0" w:space="0" w:color="auto"/>
        <w:left w:val="none" w:sz="0" w:space="0" w:color="auto"/>
        <w:bottom w:val="none" w:sz="0" w:space="0" w:color="auto"/>
        <w:right w:val="none" w:sz="0" w:space="0" w:color="auto"/>
      </w:divBdr>
    </w:div>
    <w:div w:id="1940409811">
      <w:bodyDiv w:val="1"/>
      <w:marLeft w:val="0"/>
      <w:marRight w:val="0"/>
      <w:marTop w:val="0"/>
      <w:marBottom w:val="0"/>
      <w:divBdr>
        <w:top w:val="none" w:sz="0" w:space="0" w:color="auto"/>
        <w:left w:val="none" w:sz="0" w:space="0" w:color="auto"/>
        <w:bottom w:val="none" w:sz="0" w:space="0" w:color="auto"/>
        <w:right w:val="none" w:sz="0" w:space="0" w:color="auto"/>
      </w:divBdr>
    </w:div>
    <w:div w:id="1973360661">
      <w:bodyDiv w:val="1"/>
      <w:marLeft w:val="0"/>
      <w:marRight w:val="0"/>
      <w:marTop w:val="0"/>
      <w:marBottom w:val="0"/>
      <w:divBdr>
        <w:top w:val="none" w:sz="0" w:space="0" w:color="auto"/>
        <w:left w:val="none" w:sz="0" w:space="0" w:color="auto"/>
        <w:bottom w:val="none" w:sz="0" w:space="0" w:color="auto"/>
        <w:right w:val="none" w:sz="0" w:space="0" w:color="auto"/>
      </w:divBdr>
    </w:div>
    <w:div w:id="1978414186">
      <w:bodyDiv w:val="1"/>
      <w:marLeft w:val="0"/>
      <w:marRight w:val="0"/>
      <w:marTop w:val="0"/>
      <w:marBottom w:val="0"/>
      <w:divBdr>
        <w:top w:val="none" w:sz="0" w:space="0" w:color="auto"/>
        <w:left w:val="none" w:sz="0" w:space="0" w:color="auto"/>
        <w:bottom w:val="none" w:sz="0" w:space="0" w:color="auto"/>
        <w:right w:val="none" w:sz="0" w:space="0" w:color="auto"/>
      </w:divBdr>
    </w:div>
    <w:div w:id="2004773328">
      <w:bodyDiv w:val="1"/>
      <w:marLeft w:val="0"/>
      <w:marRight w:val="0"/>
      <w:marTop w:val="0"/>
      <w:marBottom w:val="0"/>
      <w:divBdr>
        <w:top w:val="none" w:sz="0" w:space="0" w:color="auto"/>
        <w:left w:val="none" w:sz="0" w:space="0" w:color="auto"/>
        <w:bottom w:val="none" w:sz="0" w:space="0" w:color="auto"/>
        <w:right w:val="none" w:sz="0" w:space="0" w:color="auto"/>
      </w:divBdr>
    </w:div>
    <w:div w:id="2085715196">
      <w:bodyDiv w:val="1"/>
      <w:marLeft w:val="0"/>
      <w:marRight w:val="0"/>
      <w:marTop w:val="0"/>
      <w:marBottom w:val="0"/>
      <w:divBdr>
        <w:top w:val="none" w:sz="0" w:space="0" w:color="auto"/>
        <w:left w:val="none" w:sz="0" w:space="0" w:color="auto"/>
        <w:bottom w:val="none" w:sz="0" w:space="0" w:color="auto"/>
        <w:right w:val="none" w:sz="0" w:space="0" w:color="auto"/>
      </w:divBdr>
    </w:div>
    <w:div w:id="2129473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ology.org/lasso-regression-in-r/"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James-Lambertcoding/Dissert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assets.publishing.service.gov.uk/government/uploads/system/uploads/attachment_data/file/1063330/Green_Book_202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James">
      <a:dk1>
        <a:sysClr val="windowText" lastClr="000000"/>
      </a:dk1>
      <a:lt1>
        <a:sysClr val="window" lastClr="FFFFFF"/>
      </a:lt1>
      <a:dk2>
        <a:srgbClr val="002060"/>
      </a:dk2>
      <a:lt2>
        <a:srgbClr val="D4E5F6"/>
      </a:lt2>
      <a:accent1>
        <a:srgbClr val="005696"/>
      </a:accent1>
      <a:accent2>
        <a:srgbClr val="0A658C"/>
      </a:accent2>
      <a:accent3>
        <a:srgbClr val="211B6F"/>
      </a:accent3>
      <a:accent4>
        <a:srgbClr val="0E4D64"/>
      </a:accent4>
      <a:accent5>
        <a:srgbClr val="5AA2AE"/>
      </a:accent5>
      <a:accent6>
        <a:srgbClr val="900C3F"/>
      </a:accent6>
      <a:hlink>
        <a:srgbClr val="3EBBF0"/>
      </a:hlink>
      <a:folHlink>
        <a:srgbClr val="FF573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TcgrxmUbW5g6D7hw/1EFB5iYaA==">CgMxLjA4AHIhMS05Q1VSOEc2NkNFbHJxNm4zTWpsZEg1N1RuQjE1YXZW</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ONS231</b:Tag>
    <b:SourceType>InternetSite</b:SourceType>
    <b:Guid>{F9E15DEB-9FF7-49AF-8AAA-0AFD811EAACA}</b:Guid>
    <b:Title>Office for National Statistics - Economy</b:Title>
    <b:Year>2023</b:Year>
    <b:Author>
      <b:Author>
        <b:Corporate>ONS</b:Corporate>
      </b:Author>
    </b:Author>
    <b:YearAccessed>2023</b:YearAccessed>
    <b:MonthAccessed>07</b:MonthAccessed>
    <b:DayAccessed>16</b:DayAccessed>
    <b:URL>https://www.ons.gov.uk/economy/nationalaccounts/supplyandusetables/datasets/ukinputoutputanalyticaltablesdetailed</b:URL>
    <b:RefOrder>20</b:RefOrder>
  </b:Source>
  <b:Source>
    <b:Tag>ONS09</b:Tag>
    <b:SourceType>Report</b:SourceType>
    <b:Guid>{932F9047-E28A-40EB-861B-7B0A24F00E1C}</b:Guid>
    <b:Title>UK Standard Industrial Classification of Economic Activies 2007</b:Title>
    <b:Year>2009</b:Year>
    <b:Author>
      <b:Author>
        <b:Corporate>ONS</b:Corporate>
      </b:Author>
    </b:Author>
    <b:Publisher>A National Statistics</b:Publisher>
    <b:City>Newport</b:City>
    <b:RefOrder>25</b:RefOrder>
  </b:Source>
  <b:Source>
    <b:Tag>Ian04</b:Tag>
    <b:SourceType>Report</b:SourceType>
    <b:Guid>{E34A3C2D-840F-42D2-973A-26F9F1BF5EE7}</b:Guid>
    <b:Author>
      <b:Author>
        <b:NameList>
          <b:Person>
            <b:Last>Wing</b:Last>
            <b:First>Ian</b:First>
            <b:Middle>Sue</b:Middle>
          </b:Person>
        </b:NameList>
      </b:Author>
    </b:Author>
    <b:Title>Computable General Equilibrium Models and Their Use in Economcy-Wide Policy Analysis</b:Title>
    <b:Year>2004</b:Year>
    <b:Publisher>MIT Joint Program on the Science and Policy of Global Change</b:Publisher>
    <b:City>Cambridge MA</b:City>
    <b:RefOrder>10</b:RefOrder>
  </b:Source>
  <b:Source>
    <b:Tag>Uni23</b:Tag>
    <b:SourceType>InternetSite</b:SourceType>
    <b:Guid>{370F868F-05FF-4EC3-B9AE-D75091D2F0BC}</b:Guid>
    <b:Title>EPA.gov</b:Title>
    <b:Year>2023</b:Year>
    <b:Author>
      <b:Author>
        <b:Corporate>USEPA</b:Corporate>
      </b:Author>
    </b:Author>
    <b:YearAccessed>2023</b:YearAccessed>
    <b:MonthAccessed>08</b:MonthAccessed>
    <b:DayAccessed>11</b:DayAccessed>
    <b:URL>https://www.epa.gov/greenvehicles/electric-vehicle-myths</b:URL>
    <b:RefOrder>11</b:RefOrder>
  </b:Source>
  <b:Source>
    <b:Tag>FCA21</b:Tag>
    <b:SourceType>Report</b:SourceType>
    <b:Guid>{2BED9F65-ED10-4011-B485-3090398C76DD}</b:Guid>
    <b:Title>National Blueprint for Lithium batteries</b:Title>
    <b:Year>2021</b:Year>
    <b:Author>
      <b:Author>
        <b:Corporate>FCAB</b:Corporate>
      </b:Author>
    </b:Author>
    <b:Publisher>Federal Consortium for Advanced Batteries</b:Publisher>
    <b:City>Washington</b:City>
    <b:RefOrder>12</b:RefOrder>
  </b:Source>
  <b:Source>
    <b:Tag>BBC23</b:Tag>
    <b:SourceType>InternetSite</b:SourceType>
    <b:Guid>{68D8994E-1E41-4E0B-9AD7-E9003F9C0878}</b:Guid>
    <b:Title>BBC</b:Title>
    <b:Year>2023</b:Year>
    <b:Author>
      <b:Author>
        <b:Corporate>BBC News</b:Corporate>
      </b:Author>
    </b:Author>
    <b:YearAccessed>2023</b:YearAccessed>
    <b:MonthAccessed>08</b:MonthAccessed>
    <b:DayAccessed>11</b:DayAccessed>
    <b:URL>https://www.bbc.co.uk/news/business-66237935</b:URL>
    <b:RefOrder>14</b:RefOrder>
  </b:Source>
  <b:Source>
    <b:Tag>HMG20</b:Tag>
    <b:SourceType>InternetSite</b:SourceType>
    <b:Guid>{30855275-F8F6-46C5-BFA3-EDC18BA035ED}</b:Guid>
    <b:Author>
      <b:Author>
        <b:Corporate>HMG</b:Corporate>
      </b:Author>
    </b:Author>
    <b:Title>gov.UK</b:Title>
    <b:Year>2020</b:Year>
    <b:YearAccessed>2023</b:YearAccessed>
    <b:MonthAccessed>08</b:MonthAccessed>
    <b:DayAccessed>11</b:DayAccessed>
    <b:URL>https://www.gov.uk/government/news/government-takes-historic-step-towards-net-zero-with-end-of-sale-of-new-petrol-and-diesel-cars-by-2030</b:URL>
    <b:RefOrder>15</b:RefOrder>
  </b:Source>
  <b:Source>
    <b:Tag>Car23</b:Tag>
    <b:SourceType>InternetSite</b:SourceType>
    <b:Guid>{AFBD7BFB-3642-429B-877E-F0E404553CC7}</b:Guid>
    <b:Author>
      <b:Author>
        <b:NameList>
          <b:Person>
            <b:Last>Reid</b:Last>
            <b:First>Carlton</b:First>
          </b:Person>
        </b:NameList>
      </b:Author>
    </b:Author>
    <b:Title>Forbes</b:Title>
    <b:Year>2023</b:Year>
    <b:YearAccessed>2023</b:YearAccessed>
    <b:MonthAccessed>08</b:MonthAccessed>
    <b:DayAccessed>11</b:DayAccessed>
    <b:URL>https://www.forbes.com/sites/carltonreid/2023/03/03/eus-plan-to-end-sales-of-combustion-engine-cars-runs-into-trouble/?sh=516ca9dd448d</b:URL>
    <b:RefOrder>16</b:RefOrder>
  </b:Source>
  <b:Source>
    <b:Tag>Sar23</b:Tag>
    <b:SourceType>InternetSite</b:SourceType>
    <b:Guid>{82B51762-1CF9-4B84-8813-9B9ACB38A522}</b:Guid>
    <b:Author>
      <b:Author>
        <b:NameList>
          <b:Person>
            <b:Last>Munby</b:Last>
            <b:First>Sarah</b:First>
          </b:Person>
        </b:NameList>
      </b:Author>
    </b:Author>
    <b:Title>gov.uk</b:Title>
    <b:Year>2023</b:Year>
    <b:YearAccessed>2023</b:YearAccessed>
    <b:MonthAccessed>08</b:MonthAccessed>
    <b:DayAccessed>11</b:DayAccessed>
    <b:URL>https://www.gov.uk/government/publications/beis-government-major-projects-portfolio-accounting-officer-assessments/automotive-transformation-fund-programme-accounting-officer-assessment-2020-html</b:URL>
    <b:RefOrder>7</b:RefOrder>
  </b:Source>
  <b:Source>
    <b:Tag>HMG22</b:Tag>
    <b:SourceType>InternetSite</b:SourceType>
    <b:Guid>{B47351F9-848D-4F66-931C-DB37E622CFE8}</b:Guid>
    <b:Author>
      <b:Author>
        <b:Corporate>HMG</b:Corporate>
      </b:Author>
    </b:Author>
    <b:Title>gov.uk</b:Title>
    <b:Year>2022</b:Year>
    <b:YearAccessed>2023</b:YearAccessed>
    <b:MonthAccessed>08</b:MonthAccessed>
    <b:DayAccessed>11</b:DayAccessed>
    <b:URL>https://apply-for-innovation-funding.service.gov.uk/competition/1388/overview/41e96a20-f3e8-4eca-addd-fed21854dec7</b:URL>
    <b:RefOrder>17</b:RefOrder>
  </b:Source>
  <b:Source>
    <b:Tag>Ton22</b:Tag>
    <b:SourceType>Report</b:SourceType>
    <b:Guid>{2930E8D2-C1B1-4D4B-A0EF-D07D52A01F81}</b:Guid>
    <b:Title>Trade modelling review expert panel: report</b:Title>
    <b:Year>2022</b:Year>
    <b:City>London</b:City>
    <b:Publisher>HMG</b:Publisher>
    <b:Author>
      <b:Author>
        <b:NameList>
          <b:Person>
            <b:Last>Venables</b:Last>
            <b:First>Tony</b:First>
          </b:Person>
        </b:NameList>
      </b:Author>
    </b:Author>
    <b:RefOrder>8</b:RefOrder>
  </b:Source>
  <b:Source>
    <b:Tag>Jul09</b:Tag>
    <b:SourceType>JournalArticle</b:SourceType>
    <b:Guid>{C4ECE2F6-5492-4BC6-AC4A-BAAA003C77E9}</b:Guid>
    <b:Author>
      <b:Author>
        <b:NameList>
          <b:Person>
            <b:Last>Grand</b:Last>
            <b:First>Julian</b:First>
            <b:Middle>Le</b:Middle>
          </b:Person>
        </b:NameList>
      </b:Author>
    </b:Author>
    <b:Title>The therory of Government Failure</b:Title>
    <b:JournalName>British Journal of Political Science</b:JournalName>
    <b:Year>2009</b:Year>
    <b:Pages>423-442</b:Pages>
    <b:Volume>21</b:Volume>
    <b:Issue>4</b:Issue>
    <b:RefOrder>5</b:RefOrder>
  </b:Source>
  <b:Source>
    <b:Tag>Keh91</b:Tag>
    <b:SourceType>JournalArticle</b:SourceType>
    <b:Guid>{88CA5D8B-3A18-44FC-B138-6CB330E28EEA}</b:Guid>
    <b:Title>Computation and multiplicity of equilibria</b:Title>
    <b:Year>1991</b:Year>
    <b:Author>
      <b:Author>
        <b:NameList>
          <b:Person>
            <b:Last>Kehoe</b:Last>
            <b:First>Timothy</b:First>
            <b:Middle>J</b:Middle>
          </b:Person>
        </b:NameList>
      </b:Author>
    </b:Author>
    <b:JournalName>Handbook of Mathematical Economics</b:JournalName>
    <b:Pages>2049-2144</b:Pages>
    <b:Volume>4</b:Volume>
    <b:Issue>1</b:Issue>
    <b:RefOrder>21</b:RefOrder>
  </b:Source>
  <b:Source>
    <b:Tag>Bur11</b:Tag>
    <b:SourceType>Book</b:SourceType>
    <b:Guid>{9C791D0B-CD79-44CB-AF5A-44D58BC32C74}</b:Guid>
    <b:Author>
      <b:Author>
        <b:NameList>
          <b:Person>
            <b:Last>Burfisher</b:Last>
            <b:First>Mary</b:First>
            <b:Middle>E</b:Middle>
          </b:Person>
        </b:NameList>
      </b:Author>
    </b:Author>
    <b:Title>Introduction to Computable General Equilibrium Models</b:Title>
    <b:Year>2011</b:Year>
    <b:City>Cambridge</b:City>
    <b:Publisher>Cambridge University Press</b:Publisher>
    <b:Edition>3rd</b:Edition>
    <b:Pages>1</b:Pages>
    <b:RefOrder>19</b:RefOrder>
  </b:Source>
  <b:Source>
    <b:Tag>Chr03</b:Tag>
    <b:SourceType>Report</b:SourceType>
    <b:Guid>{D3964DB5-8A22-4434-A53E-FF8C7C05B369}</b:Guid>
    <b:Title>Computable General Equilibrium Analysis: Opening a Black Box</b:Title>
    <b:Year>2003</b:Year>
    <b:Author>
      <b:Author>
        <b:NameList>
          <b:Person>
            <b:Last>Böhringer</b:Last>
            <b:First>Christoph</b:First>
          </b:Person>
          <b:Person>
            <b:Last>Rutherford</b:Last>
            <b:First>Thomas</b:First>
            <b:Middle>F</b:Middle>
          </b:Person>
          <b:Person>
            <b:Last>Wiegard</b:Last>
            <b:First>Wolfgang</b:First>
          </b:Person>
        </b:NameList>
      </b:Author>
    </b:Author>
    <b:Publisher>Centre for European Economic Research</b:Publisher>
    <b:URL>ftp://ftp.zew.de/pub/zew-docs/dp/dp0356.pdf</b:URL>
    <b:RefOrder>9</b:RefOrder>
  </b:Source>
  <b:Source>
    <b:Tag>Roy80</b:Tag>
    <b:SourceType>JournalArticle</b:SourceType>
    <b:Guid>{110B8295-BF0D-433E-B00B-14363B815CD5}</b:Guid>
    <b:Title>The Austrian Theory of Efficiency and the Role of Government</b:Title>
    <b:Year>1980</b:Year>
    <b:Author>
      <b:Author>
        <b:NameList>
          <b:Person>
            <b:Last>Cordato</b:Last>
            <b:First>Roy</b:First>
            <b:Middle>E</b:Middle>
          </b:Person>
        </b:NameList>
      </b:Author>
    </b:Author>
    <b:JournalName>The Journal of Libertarian Studies</b:JournalName>
    <b:Pages>393</b:Pages>
    <b:Volume>IV</b:Volume>
    <b:Issue>4</b:Issue>
    <b:RefOrder>4</b:RefOrder>
  </b:Source>
  <b:Source>
    <b:Tag>Pet13</b:Tag>
    <b:SourceType>Book</b:SourceType>
    <b:Guid>{F9D39413-BA93-4A7F-8A0D-2E99AFA92F47}</b:Guid>
    <b:Title>Handbook of Computable General Equilibrium Modelling</b:Title>
    <b:Year>2013</b:Year>
    <b:Author>
      <b:Author>
        <b:NameList>
          <b:Person>
            <b:Last>Dixon</b:Last>
            <b:First>Peter</b:First>
            <b:Middle>B</b:Middle>
          </b:Person>
          <b:Person>
            <b:Last>Jorgenson</b:Last>
            <b:First>Dale</b:First>
            <b:Middle>W</b:Middle>
          </b:Person>
        </b:NameList>
      </b:Author>
    </b:Author>
    <b:City>Oxford</b:City>
    <b:Publisher>Elsevier</b:Publisher>
    <b:Edition>1st</b:Edition>
    <b:RefOrder>18</b:RefOrder>
  </b:Source>
  <b:Source>
    <b:Tag>Rob09</b:Tag>
    <b:SourceType>Book</b:SourceType>
    <b:Guid>{ED5E8DB3-2FC6-4DB0-972F-40407850E1AA}</b:Guid>
    <b:Title>Microeconomics</b:Title>
    <b:Year>2009</b:Year>
    <b:Publisher>Pearson international</b:Publisher>
    <b:City>Upper Saddle River</b:City>
    <b:Author>
      <b:Author>
        <b:NameList>
          <b:Person>
            <b:Last>Pindyck</b:Last>
            <b:First>Robert</b:First>
            <b:Middle>S</b:Middle>
          </b:Person>
          <b:Person>
            <b:Last>Rubinfeld</b:Last>
            <b:First>Daniel</b:First>
            <b:Middle>L</b:Middle>
          </b:Person>
        </b:NameList>
      </b:Author>
    </b:Author>
    <b:Edition>7th</b:Edition>
    <b:RefOrder>13</b:RefOrder>
  </b:Source>
  <b:Source>
    <b:Tag>Ste13</b:Tag>
    <b:SourceType>Report</b:SourceType>
    <b:Guid>{A0C74D36-D89E-4199-A257-9C99CD4F5D10}</b:Guid>
    <b:Title>The impact of Government policies on UK manufacturing since 1945</b:Title>
    <b:Year>2013</b:Year>
    <b:Author>
      <b:Author>
        <b:NameList>
          <b:Person>
            <b:Last>Broadberry</b:Last>
            <b:First>Stephen</b:First>
          </b:Person>
          <b:Person>
            <b:Last>Leunig</b:Last>
            <b:First>Tim</b:First>
          </b:Person>
        </b:NameList>
      </b:Author>
    </b:Author>
    <b:Publisher>Government Office for Science</b:Publisher>
    <b:City>London</b:City>
    <b:RefOrder>1</b:RefOrder>
  </b:Source>
  <b:Source>
    <b:Tag>Tho</b:Tag>
    <b:SourceType>Report</b:SourceType>
    <b:Guid>{E3519CE6-60AD-483A-A173-8163F8A82EDF}</b:Guid>
    <b:Author>
      <b:Author>
        <b:NameList>
          <b:Person>
            <b:Last>Hertel</b:Last>
            <b:First>Thomas</b:First>
            <b:Middle>W</b:Middle>
          </b:Person>
          <b:Person>
            <b:Last>McDougall</b:Last>
            <b:First>Robert</b:First>
            <b:Middle>A</b:Middle>
          </b:Person>
          <b:Person>
            <b:Last>Narayanan</b:Last>
            <b:First>Badri</b:First>
            <b:Middle>G</b:Middle>
          </b:Person>
          <b:Person>
            <b:Last>Aguiar</b:Last>
            <b:First>Angel</b:First>
            <b:Middle>H</b:Middle>
          </b:Person>
        </b:NameList>
      </b:Author>
    </b:Author>
    <b:Title>Global Trade Analysis Project - Chapter 14</b:Title>
    <b:RefOrder>22</b:RefOrder>
  </b:Source>
  <b:Source>
    <b:Tag>Her16</b:Tag>
    <b:SourceType>Report</b:SourceType>
    <b:Guid>{C666F89B-36F5-4A11-A342-F0A8EA13002D}</b:Guid>
    <b:Title>GTAP Resources; Chapter 14: Behavioral Parameters</b:Title>
    <b:Year>2016</b:Year>
    <b:Publisher>GTAP: Global Trade Analysis Project</b:Publisher>
    <b:Author>
      <b:Author>
        <b:NameList>
          <b:Person>
            <b:Last>Hertel</b:Last>
            <b:First>Thomas</b:First>
          </b:Person>
          <b:Person>
            <b:Last>van der Mensbrugghe</b:Last>
            <b:First>Dominique</b:First>
          </b:Person>
        </b:NameList>
      </b:Author>
    </b:Author>
    <b:RefOrder>23</b:RefOrder>
  </b:Source>
  <b:Source>
    <b:Tag>Alt21</b:Tag>
    <b:SourceType>JournalArticle</b:SourceType>
    <b:Guid>{F4CA7BA8-517E-4718-A9CE-6B059FEB3BB2}</b:Guid>
    <b:Title>Evaluation of Ridge, Elastic Net and Lasso Regression Methods in Precedence of Multicollinearity Problem: A Simulation Study</b:Title>
    <b:Year>2021</b:Year>
    <b:Author>
      <b:Author>
        <b:NameList>
          <b:Person>
            <b:Last>Altelbany</b:Last>
            <b:First>Shady</b:First>
            <b:Middle>I</b:Middle>
          </b:Person>
        </b:NameList>
      </b:Author>
    </b:Author>
    <b:JournalName>Journal of Applied Economics and Business Studies</b:JournalName>
    <b:Pages>131-142</b:Pages>
    <b:Volume>5</b:Volume>
    <b:Issue>1</b:Issue>
    <b:RefOrder>24</b:RefOrder>
  </b:Source>
  <b:Source>
    <b:Tag>Whi22</b:Tag>
    <b:SourceType>Report</b:SourceType>
    <b:Guid>{D1008EFB-3E8A-4514-BC5A-8857458C2538}</b:Guid>
    <b:Title>Building A Clean Energy Economy: A Guidebook to the Inflation Reduction Act’s Investments in Clean Energy and Climate Action</b:Title>
    <b:Year>2022</b:Year>
    <b:Author>
      <b:Author>
        <b:Corporate>White House</b:Corporate>
      </b:Author>
    </b:Author>
    <b:Publisher>US Gov</b:Publisher>
    <b:City>Washington</b:City>
    <b:RefOrder>2</b:RefOrder>
  </b:Source>
  <b:Source>
    <b:Tag>Eur23</b:Tag>
    <b:SourceType>InternetSite</b:SourceType>
    <b:Guid>{5E0C9AEF-2C21-43B5-91CB-131D74B73011}</b:Guid>
    <b:Title>ec.europa.eu</b:Title>
    <b:Year>2023</b:Year>
    <b:Author>
      <b:Author>
        <b:Corporate>European Commission</b:Corporate>
      </b:Author>
    </b:Author>
    <b:YearAccessed>13</b:YearAccessed>
    <b:MonthAccessed>08</b:MonthAccessed>
    <b:DayAccessed>2023</b:DayAccessed>
    <b:URL>https://ec.europa.eu/commission/presscorner/detail/en/ip_23_510</b:URL>
    <b:RefOrder>3</b:RefOrder>
  </b:Source>
  <b:Source>
    <b:Tag>HMT18</b:Tag>
    <b:SourceType>Report</b:SourceType>
    <b:Guid>{56DD2FFB-AC87-487D-A5A9-49E9EF5E6B6B}</b:Guid>
    <b:Title>Guide to Developing the Project Business Case</b:Title>
    <b:Year>2018</b:Year>
    <b:Author>
      <b:Author>
        <b:Corporate>HM Tresury</b:Corporate>
      </b:Author>
    </b:Author>
    <b:Publisher>HM Tresury</b:Publisher>
    <b:City>London</b:City>
    <b:RefOrder>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F6E58CA-374E-46E7-8706-40B788AF8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19</Pages>
  <Words>5898</Words>
  <Characters>33625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LambertJa</dc:creator>
  <cp:lastModifiedBy>James Christopher Lambert</cp:lastModifiedBy>
  <cp:revision>11</cp:revision>
  <dcterms:created xsi:type="dcterms:W3CDTF">2023-07-28T16:42:00Z</dcterms:created>
  <dcterms:modified xsi:type="dcterms:W3CDTF">2023-08-13T14:30:00Z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2022-11-23T10:56:25Z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4a94997b-2937-4ff7-b300-d85015f4f1ec</vt:lpwstr>
  </property>
  <property fmtid="{D5CDD505-2E9C-101B-9397-08002B2CF9AE}" pid="8" name="MSIP_Label_ba62f585-b40f-4ab9-bafe-39150f03d124_ContentBits">
    <vt:lpwstr>0</vt:lpwstr>
  </property>
</Properties>
</file>