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4.12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“Make a fork from our Repository”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Congratulations! You’ve just been hired-on to your first imaginary developer role - your manager has asked you to fork an introductory company repository so that you can begin to get acclimated. Let’s check out the company’s github!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 to the introductory repo on Github, fork it, and then test it to see whether you can get it to work on your own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BitDegree’s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following link: https://github.com/m4rikas/javascript-playground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Fork </w:t>
            </w:r>
            <w:r w:rsidDel="00000000" w:rsidR="00000000" w:rsidRPr="00000000">
              <w:rPr>
                <w:rtl w:val="0"/>
              </w:rPr>
              <w:t xml:space="preserve">the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“Fork” link in the upper-right portion of the window, just below Github Profile menu, and next to the “watch” and “star”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your forked version (if you aren’t taken to it automatically)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you’ve closed the new tab by accident etc, go to your profile by left-clicking your profile icon in the top-right, clicking your user name, and then scrolling down the page until you find the “Contribution Activity” section. You should see “Created 1 repository” and your forked version of the javascript-playground repo. Click this to go to your new, forked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see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web browser’s address as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https://github.com/[YOUR</w:t>
              </w:r>
            </w:hyperlink>
            <w:r w:rsidDel="00000000" w:rsidR="00000000" w:rsidRPr="00000000">
              <w:rPr>
                <w:rtl w:val="0"/>
              </w:rPr>
              <w:t xml:space="preserve"> USER NAME]/javascript-playground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“YOUR USER NAME / javascript-playground” at the upper-left of the page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Several tabs below that, including “&lt;&gt; Code”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Clone this online repository in order to make it a local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green “code” button, select the “HTTPS” option under “Clone”, and copy the address / click the “copy” button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folder on your computer where you’d like to store this “repo” locally (either through your computer’s file explorer, or using console commands)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that folder using console commands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console, enter “git clone” + the link you copied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 instructions should read: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clone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https://github.com/[ YOUR-USER-NAME] /javascript-playground.git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your local folder (containing the javascript-playground’s contents)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 Console (while in the folder you’ve stored javascript-playground’s contents):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 . (mac)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. (windows)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Via File Explorer: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Navigate to the folder and open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see four files in the folder you generate: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.DS_Store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the index.html file in your web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Console: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index.html (windows)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index.html (mac)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File Explorer: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the folder, click-drag the index.html file to your web browser to open a new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see the following text in your web browser’s window: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 there! Press F12 on your keyboard to see if the console says anything to you. If not, let's search for a problem and debug the given code!”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developer console of your web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Hit F12 on your keyboard ;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you’re in the console by confirming you’re in the “console” tab (there are other useful tabs we’ll use later, such as “Elements”, “Sources”, “Network” etc)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if nothing happens, make sure that you currently have your web browser selected, and are on the tab entitled “Your first Javascript Project” (with the subscript “local or shared file”)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currently only see “&gt;” in the console window - you need to change our code in order to see the currently-hidden 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your app.js code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your app.js file in any text editor (Visual Studio, and look for a line that </w:t>
            </w:r>
            <w:r w:rsidDel="00000000" w:rsidR="00000000" w:rsidRPr="00000000">
              <w:rPr>
                <w:i w:val="1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  <w:t xml:space="preserve"> console.log something …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Uncomment this line, by deleting the forward slashes / using the “uncomment” keyboard shortcuts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window.onload = () =&gt;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    // console.log('This is your first program executing!');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become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window.onload = () =&gt;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    console.log('This is your first program executing!');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 your web browser page to see if you’ve fixed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“refresh” button for your given web browser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now see the following text in your console: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“This is your first program executing!”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Add, Comment, and Push your changes to your online Github repository;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your repository on Github to see that your changes were pushed successfully!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your console (still in the folder containing javascript-playground’s contents) type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add –all (to add all changes made)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commit -”</w:t>
            </w:r>
            <w:r w:rsidDel="00000000" w:rsidR="00000000" w:rsidRPr="00000000">
              <w:rPr>
                <w:i w:val="1"/>
                <w:rtl w:val="0"/>
              </w:rPr>
              <w:t xml:space="preserve"> something short describing the change you made 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Note: replace the above comment with something more clear, so that anyone who looks at it later will understand immediately what you’ve done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push origin main (or just git push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your github repo to see whether your work, including the commit message, was uploaded succesfully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git add –all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git commit -m”Uncommented Line 3”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  <w:shd w:fill="434343" w:val="clear"/>
              </w:rPr>
            </w:pPr>
            <w:r w:rsidDel="00000000" w:rsidR="00000000" w:rsidRPr="00000000">
              <w:rPr>
                <w:color w:val="ffffff"/>
                <w:shd w:fill="434343" w:val="clear"/>
                <w:rtl w:val="0"/>
              </w:rPr>
              <w:t xml:space="preserve">git push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github.com/m4rikas/javascript-playground&amp;sa=D&amp;source=docs&amp;ust=1639275350735000&amp;usg=AOvVaw11bGx_LD4adNVW6tVN_O3l" TargetMode="External"/><Relationship Id="rId7" Type="http://schemas.openxmlformats.org/officeDocument/2006/relationships/hyperlink" Target="https://github.com/%5BYOUR" TargetMode="External"/><Relationship Id="rId8" Type="http://schemas.openxmlformats.org/officeDocument/2006/relationships/hyperlink" Target="https://github.com/USER-NAME/javascript-playground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