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fed5d2331044a78cc7fcee0ca769a39c5a3625"/>
      <w:r>
        <w:t xml:space="preserve">Material Compliance Horizon Scanning and Impact Assessment Application</w:t>
      </w:r>
      <w:bookmarkEnd w:id="20"/>
    </w:p>
    <w:p>
      <w:pPr>
        <w:pStyle w:val="FirstParagraph"/>
      </w:pPr>
      <w:r>
        <w:rPr>
          <w:b/>
        </w:rPr>
        <w:t xml:space="preserve">Project Code:</w:t>
      </w:r>
      <w:r>
        <w:t xml:space="preserve"> </w:t>
      </w:r>
      <w:r>
        <w:t xml:space="preserve">PROJECT-MCH-IA</w:t>
      </w:r>
      <w:r>
        <w:t xml:space="preserve"> </w:t>
      </w:r>
      <w:r>
        <w:rPr>
          <w:b/>
        </w:rPr>
        <w:t xml:space="preserve">Reference MVP:</w:t>
      </w:r>
      <w:r>
        <w:t xml:space="preserve"> </w:t>
      </w:r>
      <w:hyperlink r:id="rId21">
        <w:r>
          <w:rPr>
            <w:rStyle w:val="Hyperlink"/>
          </w:rPr>
          <w:t xml:space="preserve">mvp-32-mc-scanner-and-risk-identification</w:t>
        </w:r>
      </w:hyperlink>
      <w:r>
        <w:t xml:space="preserve"> </w:t>
      </w:r>
      <w:r>
        <w:rPr>
          <w:b/>
        </w:rPr>
        <w:t xml:space="preserve">Duration:</w:t>
      </w:r>
      <w:r>
        <w:t xml:space="preserve"> </w:t>
      </w:r>
      <w:r>
        <w:t xml:space="preserve">6 months (2026-04-21 to 2026-10-20)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Scope baseline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ision"/>
      <w:r>
        <w:t xml:space="preserve">1. Vision</w:t>
      </w:r>
      <w:bookmarkEnd w:id="22"/>
    </w:p>
    <w:p>
      <w:pPr>
        <w:pStyle w:val="FirstParagraph"/>
      </w:pPr>
      <w:r>
        <w:t xml:space="preserve">A horizon-scanning and</w:t>
      </w:r>
      <w:r>
        <w:t xml:space="preserve"> </w:t>
      </w:r>
      <w:r>
        <w:rPr>
          <w:b/>
        </w:rPr>
        <w:t xml:space="preserve">impact assessment</w:t>
      </w:r>
      <w:r>
        <w:t xml:space="preserve"> </w:t>
      </w:r>
      <w:r>
        <w:t xml:space="preserve">platform that continuously monitors global material-compliance signals (regulatory bodies, NGO campaigns, scientific literature, social media) and quantifies their impact on a client’s product portfolio by reading directly from the client’s PLM (parts and products database). The application gives compliance, sustainability, and engineering teams an early-warning view of forthcoming restrictions and enables fact-based prioritisation of mitigation work.</w:t>
      </w:r>
    </w:p>
    <w:p>
      <w:pPr>
        <w:pStyle w:val="BlockText"/>
      </w:pPr>
      <w:r>
        <w:t xml:space="preserve">Terminology: the assessment performed by the application is referred to as</w:t>
      </w:r>
      <w:r>
        <w:t xml:space="preserve"> </w:t>
      </w:r>
      <w:r>
        <w:rPr>
          <w:b/>
        </w:rPr>
        <w:t xml:space="preserve">impact assessment</w:t>
      </w:r>
      <w:r>
        <w:t xml:space="preserve"> </w:t>
      </w:r>
      <w:r>
        <w:t xml:space="preserve">(the client’s preferred term), not</w:t>
      </w:r>
      <w:r>
        <w:t xml:space="preserve"> </w:t>
      </w:r>
      <w:r>
        <w:t xml:space="preserve">“</w:t>
      </w:r>
      <w:r>
        <w:t xml:space="preserve">risk assessment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features"/>
      <w:r>
        <w:t xml:space="preserve">2. Features</w:t>
      </w:r>
      <w:bookmarkEnd w:id="23"/>
    </w:p>
    <w:p>
      <w:pPr>
        <w:pStyle w:val="Heading3"/>
      </w:pPr>
      <w:bookmarkStart w:id="24" w:name="regulatory-change-ingestion"/>
      <w:r>
        <w:t xml:space="preserve">2.1 Regulatory Change Ingestion</w:t>
      </w:r>
      <w:bookmarkEnd w:id="24"/>
    </w:p>
    <w:p>
      <w:pPr>
        <w:pStyle w:val="FirstParagraph"/>
      </w:pPr>
      <w:r>
        <w:t xml:space="preserve">Continuous ingestion of new and amended regulations, restricted-substance lists, candidate lists, and consultation documents from UK REACH, EU REACH/ECHA, US EPA (TSCA), APAC regulators (China MEE, Japan METI, Korea ME), RoHS, PFAS-specific instruments, SCIP, EU Batteries Regulation, Packaging &amp; Waste Directive, and aerospace/defence-specific regimes.</w:t>
      </w:r>
    </w:p>
    <w:p>
      <w:pPr>
        <w:pStyle w:val="Heading3"/>
      </w:pPr>
      <w:bookmarkStart w:id="25" w:name="normalisation-classification"/>
      <w:r>
        <w:t xml:space="preserve">2.2 Normalisation &amp; Classification</w:t>
      </w:r>
      <w:bookmarkEnd w:id="25"/>
    </w:p>
    <w:p>
      <w:pPr>
        <w:pStyle w:val="FirstParagraph"/>
      </w:pPr>
      <w:r>
        <w:t xml:space="preserve">LLM-assisted normalisation of heterogeneous source documents into a common schema (substance, CAS, regulation, jurisdiction, status, effective date, scope, threshold). Classification of events by lifecycle stage (proposal, consultation, adopted, in-force, sunset).</w:t>
      </w:r>
    </w:p>
    <w:p>
      <w:pPr>
        <w:pStyle w:val="Heading3"/>
      </w:pPr>
      <w:bookmarkStart w:id="26" w:name="impact-scoring-impact-assessment-engine"/>
      <w:r>
        <w:t xml:space="preserve">2.3 Impact Scoring (Impact Assessment Engine)</w:t>
      </w:r>
      <w:bookmarkEnd w:id="26"/>
    </w:p>
    <w:p>
      <w:pPr>
        <w:pStyle w:val="FirstParagraph"/>
      </w:pPr>
      <w:r>
        <w:t xml:space="preserve">Scoring of each regulatory event against the client’s parts/products by joining ingested substance/scope data with the client’s PLM bill-of-materials. Produces per-part, per-product, and per-business-unit impact scores with traceable evidence chains.</w:t>
      </w:r>
    </w:p>
    <w:p>
      <w:pPr>
        <w:pStyle w:val="Heading3"/>
      </w:pPr>
      <w:bookmarkStart w:id="27" w:name="dashboard"/>
      <w:r>
        <w:t xml:space="preserve">2.4 Dashboard</w:t>
      </w:r>
      <w:bookmarkEnd w:id="27"/>
    </w:p>
    <w:p>
      <w:pPr>
        <w:pStyle w:val="FirstParagraph"/>
      </w:pPr>
      <w:r>
        <w:t xml:space="preserve">Interactive dashboard with:</w:t>
      </w:r>
      <w:r>
        <w:t xml:space="preserve"> </w:t>
      </w:r>
      <w:r>
        <w:t xml:space="preserve">- Live event feed (chronological, filterable)</w:t>
      </w:r>
      <w:r>
        <w:t xml:space="preserve"> </w:t>
      </w:r>
      <w:r>
        <w:t xml:space="preserve">- Regulatory heatmap (jurisdiction × substance class × time)</w:t>
      </w:r>
      <w:r>
        <w:t xml:space="preserve"> </w:t>
      </w:r>
      <w:r>
        <w:t xml:space="preserve">- Event detail drill-down (source document, normalised fields, affected parts)</w:t>
      </w:r>
      <w:r>
        <w:t xml:space="preserve"> </w:t>
      </w:r>
      <w:r>
        <w:t xml:space="preserve">- Filters (jurisdiction, substance, lifecycle stage, business unit, product family)</w:t>
      </w:r>
      <w:r>
        <w:t xml:space="preserve"> </w:t>
      </w:r>
      <w:r>
        <w:t xml:space="preserve">- Portfolio impact dashboard (top affected products, mitigation backlog)</w:t>
      </w:r>
      <w:r>
        <w:t xml:space="preserve"> </w:t>
      </w:r>
      <w:r>
        <w:t xml:space="preserve">- Module selector (toggle which regulatory modules are active per tenant)</w:t>
      </w:r>
    </w:p>
    <w:p>
      <w:pPr>
        <w:pStyle w:val="Heading3"/>
      </w:pPr>
      <w:bookmarkStart w:id="28" w:name="alerts"/>
      <w:r>
        <w:t xml:space="preserve">2.5 Alerts</w:t>
      </w:r>
      <w:bookmarkEnd w:id="28"/>
    </w:p>
    <w:p>
      <w:pPr>
        <w:pStyle w:val="FirstParagraph"/>
      </w:pPr>
      <w:r>
        <w:t xml:space="preserve">Configurable alerts (email, webhook, in-app) on new events, status changes, and threshold-crossing impact scores against the client’s portfolio.</w:t>
      </w:r>
    </w:p>
    <w:p>
      <w:pPr>
        <w:pStyle w:val="Heading3"/>
      </w:pPr>
      <w:bookmarkStart w:id="29" w:name="api"/>
      <w:r>
        <w:t xml:space="preserve">2.6 API</w:t>
      </w:r>
      <w:bookmarkEnd w:id="29"/>
    </w:p>
    <w:p>
      <w:pPr>
        <w:pStyle w:val="FirstParagraph"/>
      </w:pPr>
      <w:r>
        <w:t xml:space="preserve">REST/JSON API for:</w:t>
      </w:r>
      <w:r>
        <w:t xml:space="preserve"> </w:t>
      </w:r>
      <w:r>
        <w:t xml:space="preserve">- Querying normalised events</w:t>
      </w:r>
      <w:r>
        <w:t xml:space="preserve"> </w:t>
      </w:r>
      <w:r>
        <w:t xml:space="preserve">- Submitting/refreshing PLM data</w:t>
      </w:r>
      <w:r>
        <w:t xml:space="preserve"> </w:t>
      </w:r>
      <w:r>
        <w:t xml:space="preserve">- Retrieving impact assessments</w:t>
      </w:r>
      <w:r>
        <w:t xml:space="preserve"> </w:t>
      </w:r>
      <w:r>
        <w:t xml:space="preserve">- Webhook subscription management</w:t>
      </w:r>
    </w:p>
    <w:p>
      <w:pPr>
        <w:pStyle w:val="Heading3"/>
      </w:pPr>
      <w:bookmarkStart w:id="30" w:name="modular-expansion"/>
      <w:r>
        <w:t xml:space="preserve">2.7 Modular Expansion</w:t>
      </w:r>
      <w:bookmarkEnd w:id="30"/>
    </w:p>
    <w:p>
      <w:pPr>
        <w:pStyle w:val="FirstParagraph"/>
      </w:pPr>
      <w:r>
        <w:t xml:space="preserve">Pluggable module pattern enabling new regulatory regimes (e.g. additional jurisdictions, new substance instruments) to be added without core changes. Each module encapsulates its sources, parsers, and classification rules.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ui-ux"/>
      <w:r>
        <w:t xml:space="preserve">3. UI / UX</w:t>
      </w:r>
      <w:bookmarkEnd w:id="3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Event feed</w:t>
      </w:r>
      <w:r>
        <w:t xml:space="preserve"> </w:t>
      </w:r>
      <w:r>
        <w:t xml:space="preserve">— chronological stream with severity, jurisdiction, lifecycle stage badges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Heatmap</w:t>
      </w:r>
      <w:r>
        <w:t xml:space="preserve"> </w:t>
      </w:r>
      <w:r>
        <w:t xml:space="preserve">— substance × jurisdiction × time intensity view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Event detail</w:t>
      </w:r>
      <w:r>
        <w:t xml:space="preserve"> </w:t>
      </w:r>
      <w:r>
        <w:t xml:space="preserve">— source document viewer, normalised fields, affected parts list with PLM links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Filters</w:t>
      </w:r>
      <w:r>
        <w:t xml:space="preserve"> </w:t>
      </w:r>
      <w:r>
        <w:t xml:space="preserve">— persistent, shareable URL state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Portfolio impact dashboard</w:t>
      </w:r>
      <w:r>
        <w:t xml:space="preserve"> </w:t>
      </w:r>
      <w:r>
        <w:t xml:space="preserve">— KPIs, top-N affected products, trend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Module selector</w:t>
      </w:r>
      <w:r>
        <w:t xml:space="preserve"> </w:t>
      </w:r>
      <w:r>
        <w:t xml:space="preserve">— admin view to enable/disable regulatory modules per tenant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Dark mode</w:t>
      </w:r>
      <w:r>
        <w:t xml:space="preserve"> </w:t>
      </w:r>
      <w:r>
        <w:t xml:space="preserve">parity across all views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integrations"/>
      <w:r>
        <w:t xml:space="preserve">4. Integrations</w:t>
      </w:r>
      <w:bookmarkEnd w:id="32"/>
    </w:p>
    <w:p>
      <w:pPr>
        <w:pStyle w:val="Heading3"/>
      </w:pPr>
      <w:bookmarkStart w:id="33" w:name="inbound-sources"/>
      <w:r>
        <w:t xml:space="preserve">4.1 Inbound (Sources)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UK REACH / HSE</w:t>
      </w:r>
    </w:p>
    <w:p>
      <w:pPr>
        <w:numPr>
          <w:ilvl w:val="0"/>
          <w:numId w:val="1002"/>
        </w:numPr>
        <w:pStyle w:val="Compact"/>
      </w:pPr>
      <w:r>
        <w:t xml:space="preserve">EU REACH / ECHA (Candidate List, Authorisation List, Restriction List, SCIP)</w:t>
      </w:r>
    </w:p>
    <w:p>
      <w:pPr>
        <w:numPr>
          <w:ilvl w:val="0"/>
          <w:numId w:val="1002"/>
        </w:numPr>
        <w:pStyle w:val="Compact"/>
      </w:pPr>
      <w:r>
        <w:t xml:space="preserve">US EPA (TSCA Inventory, SNUR, Section 6 actions)</w:t>
      </w:r>
    </w:p>
    <w:p>
      <w:pPr>
        <w:numPr>
          <w:ilvl w:val="0"/>
          <w:numId w:val="1002"/>
        </w:numPr>
        <w:pStyle w:val="Compact"/>
      </w:pPr>
      <w:r>
        <w:t xml:space="preserve">APAC: China MEE, Japan METI/CSCL, Korea K-REACH</w:t>
      </w:r>
    </w:p>
    <w:p>
      <w:pPr>
        <w:numPr>
          <w:ilvl w:val="0"/>
          <w:numId w:val="1002"/>
        </w:numPr>
        <w:pStyle w:val="Compact"/>
      </w:pPr>
      <w:r>
        <w:t xml:space="preserve">RoHS amendments and exemption decisions</w:t>
      </w:r>
    </w:p>
    <w:p>
      <w:pPr>
        <w:numPr>
          <w:ilvl w:val="0"/>
          <w:numId w:val="1002"/>
        </w:numPr>
        <w:pStyle w:val="Compact"/>
      </w:pPr>
      <w:r>
        <w:t xml:space="preserve">PFAS-specific instruments (multi-jurisdiction)</w:t>
      </w:r>
    </w:p>
    <w:p>
      <w:pPr>
        <w:numPr>
          <w:ilvl w:val="0"/>
          <w:numId w:val="1002"/>
        </w:numPr>
        <w:pStyle w:val="Compact"/>
      </w:pPr>
      <w:r>
        <w:t xml:space="preserve">EU Batteries Regulation</w:t>
      </w:r>
    </w:p>
    <w:p>
      <w:pPr>
        <w:numPr>
          <w:ilvl w:val="0"/>
          <w:numId w:val="1002"/>
        </w:numPr>
        <w:pStyle w:val="Compact"/>
      </w:pPr>
      <w:r>
        <w:t xml:space="preserve">Packaging &amp; Packaging Waste Directive</w:t>
      </w:r>
    </w:p>
    <w:p>
      <w:pPr>
        <w:numPr>
          <w:ilvl w:val="0"/>
          <w:numId w:val="1002"/>
        </w:numPr>
        <w:pStyle w:val="Compact"/>
      </w:pPr>
      <w:r>
        <w:t xml:space="preserve">Aerospace/Defence-specific lists (e.g. REACH Annex XIV impact on Defence exemptions)</w:t>
      </w:r>
    </w:p>
    <w:p>
      <w:pPr>
        <w:numPr>
          <w:ilvl w:val="0"/>
          <w:numId w:val="1002"/>
        </w:numPr>
        <w:pStyle w:val="Compact"/>
      </w:pPr>
      <w:r>
        <w:t xml:space="preserve">NGO campaign feeds (ChemSec, EEB, etc.)</w:t>
      </w:r>
    </w:p>
    <w:p>
      <w:pPr>
        <w:numPr>
          <w:ilvl w:val="0"/>
          <w:numId w:val="1002"/>
        </w:numPr>
        <w:pStyle w:val="Compact"/>
      </w:pPr>
      <w:r>
        <w:t xml:space="preserve">Social-media signal (curated handle list, scientific Twitter/X, LinkedIn)</w:t>
      </w:r>
    </w:p>
    <w:p>
      <w:pPr>
        <w:pStyle w:val="Heading3"/>
      </w:pPr>
      <w:bookmarkStart w:id="34" w:name="outbound-bi-directional"/>
      <w:r>
        <w:t xml:space="preserve">4.2 Outbound / Bi-directional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PLM (Teamcenter reference adapter)</w:t>
      </w:r>
      <w:r>
        <w:t xml:space="preserve"> </w:t>
      </w:r>
      <w:r>
        <w:t xml:space="preserve">— read parts, BOMs, substance declarations from the client’s Teamcenter instance via Active Workspace REST / TC Open Services. The integration is delivered as a generic PLM adapter interface plus a reference Teamcenter adapter so further PLMs (Windchill, Aras, 3DEXPERIENCE) can be added later.</w:t>
      </w:r>
    </w:p>
    <w:p>
      <w:pPr>
        <w:numPr>
          <w:ilvl w:val="0"/>
          <w:numId w:val="1003"/>
        </w:numPr>
        <w:pStyle w:val="Compact"/>
      </w:pPr>
      <w:r>
        <w:t xml:space="preserve">Email / SMTP for alerts</w:t>
      </w:r>
    </w:p>
    <w:p>
      <w:pPr>
        <w:numPr>
          <w:ilvl w:val="0"/>
          <w:numId w:val="1003"/>
        </w:numPr>
        <w:pStyle w:val="Compact"/>
      </w:pPr>
      <w:r>
        <w:t xml:space="preserve">Webhooks for downstream systems (ERP, EHS, ticketing)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lm-integration-capability-specification"/>
      <w:r>
        <w:t xml:space="preserve">5. PLM Integration — Capability Specification</w:t>
      </w:r>
      <w:bookmarkEnd w:id="35"/>
    </w:p>
    <w:p>
      <w:pPr>
        <w:pStyle w:val="FirstParagraph"/>
      </w:pPr>
      <w:r>
        <w:t xml:space="preserve">The application must be</w:t>
      </w:r>
      <w:r>
        <w:t xml:space="preserve"> </w:t>
      </w:r>
      <w:r>
        <w:rPr>
          <w:b/>
        </w:rPr>
        <w:t xml:space="preserve">capable</w:t>
      </w:r>
      <w:r>
        <w:t xml:space="preserve"> </w:t>
      </w:r>
      <w:r>
        <w:t xml:space="preserve">of impact assessment by reading the client’s PLM. The 6-month scope delivers the capability and a reference adapter, not a full production rollout into a specific client tenant.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PLM Adapter Interface (language-level contract:</w:t>
      </w:r>
      <w:r>
        <w:t xml:space="preserve"> </w:t>
      </w:r>
      <w:r>
        <w:rPr>
          <w:rStyle w:val="VerbatimChar"/>
        </w:rPr>
        <w:t xml:space="preserve">list_parts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get_bom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get_substance_declarations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subscribe_changes</w:t>
      </w:r>
      <w:r>
        <w:t xml:space="preserve">)</w:t>
      </w:r>
      <w:r>
        <w:t xml:space="preserve"> </w:t>
      </w:r>
      <w:r>
        <w:t xml:space="preserve">- Reference adapter:</w:t>
      </w:r>
      <w:r>
        <w:t xml:space="preserve"> </w:t>
      </w:r>
      <w:r>
        <w:rPr>
          <w:b/>
        </w:rPr>
        <w:t xml:space="preserve">Teamcenter</w:t>
      </w:r>
      <w:r>
        <w:t xml:space="preserve"> </w:t>
      </w:r>
      <w:r>
        <w:t xml:space="preserve">via Active Workspace REST API</w:t>
      </w:r>
      <w:r>
        <w:t xml:space="preserve"> </w:t>
      </w:r>
      <w:r>
        <w:t xml:space="preserve">- Authentication patterns documented (SSO, service account, OAuth)</w:t>
      </w:r>
      <w:r>
        <w:t xml:space="preserve"> </w:t>
      </w:r>
      <w:r>
        <w:t xml:space="preserve">- Data sync model: full-load + delta, with configurable cadence</w:t>
      </w:r>
      <w:r>
        <w:t xml:space="preserve"> </w:t>
      </w:r>
      <w:r>
        <w:t xml:space="preserve">- Mapping layer: PLM substance fields → application’s normalised substance schema</w:t>
      </w:r>
      <w:r>
        <w:t xml:space="preserve"> </w:t>
      </w:r>
      <w:r>
        <w:t xml:space="preserve">- Sample/synthetic Teamcenter dataset for CI and demo</w:t>
      </w:r>
      <w:r>
        <w:t xml:space="preserve"> </w:t>
      </w:r>
      <w:r>
        <w:t xml:space="preserve">- Adapter SDK + documentation enabling addition of further PLMs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arget-users"/>
      <w:r>
        <w:t xml:space="preserve">6. Target Users</w:t>
      </w:r>
      <w:bookmarkEnd w:id="3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Compliance Managers</w:t>
      </w:r>
      <w:r>
        <w:t xml:space="preserve"> </w:t>
      </w:r>
      <w:r>
        <w:t xml:space="preserve">— own regulatory posture across the portfolio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Sustainability Leads</w:t>
      </w:r>
      <w:r>
        <w:t xml:space="preserve"> </w:t>
      </w:r>
      <w:r>
        <w:t xml:space="preserve">— track substances of concern and mitigation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Materials &amp; Design Engineers</w:t>
      </w:r>
      <w:r>
        <w:t xml:space="preserve"> </w:t>
      </w:r>
      <w:r>
        <w:t xml:space="preserve">— receive impact alerts on the parts they own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Programme / Product Managers</w:t>
      </w:r>
      <w:r>
        <w:t xml:space="preserve"> </w:t>
      </w:r>
      <w:r>
        <w:t xml:space="preserve">— see portfolio-level impact and prioritise mitigation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Executives</w:t>
      </w:r>
      <w:r>
        <w:t xml:space="preserve"> </w:t>
      </w:r>
      <w:r>
        <w:t xml:space="preserve">— KPI summary and trend reporting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egulatory-rollout-order-6-month-plan"/>
      <w:r>
        <w:t xml:space="preserve">7. Regulatory Rollout Order (6-month plan)</w:t>
      </w:r>
      <w:bookmarkEnd w:id="3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UK REACH</w:t>
      </w:r>
      <w:r>
        <w:t xml:space="preserve"> </w:t>
      </w:r>
      <w:r>
        <w:t xml:space="preserve">(Phase 1, MVP-aligned)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EU REACH</w:t>
      </w:r>
      <w:r>
        <w:t xml:space="preserve"> </w:t>
      </w:r>
      <w:r>
        <w:t xml:space="preserve">(Phase 3)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 TSCA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APAC</w:t>
      </w:r>
      <w:r>
        <w:t xml:space="preserve"> </w:t>
      </w:r>
      <w:r>
        <w:t xml:space="preserve">(Phase 4)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RoHS, PFAS, SCIP</w:t>
      </w:r>
      <w:r>
        <w:t xml:space="preserve"> </w:t>
      </w:r>
      <w:r>
        <w:t xml:space="preserve">(Phase 5)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Batteries, Packaging &amp; Waste, Aerospace/Defence</w:t>
      </w:r>
      <w:r>
        <w:t xml:space="preserve"> </w:t>
      </w:r>
      <w:r>
        <w:t xml:space="preserve">(Phase 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nstraints-principles"/>
      <w:r>
        <w:t xml:space="preserve">8. Constraints &amp; Principles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The plan extends the existing MVP (</w:t>
      </w:r>
      <w:r>
        <w:rPr>
          <w:rStyle w:val="VerbatimChar"/>
        </w:rPr>
        <w:t xml:space="preserve">mvp-32-mc-scanner-and-risk-identification</w:t>
      </w:r>
      <w:r>
        <w:t xml:space="preserve">) in place rather than rebuilding.</w:t>
      </w:r>
    </w:p>
    <w:p>
      <w:pPr>
        <w:numPr>
          <w:ilvl w:val="0"/>
          <w:numId w:val="1006"/>
        </w:numPr>
        <w:pStyle w:val="Compact"/>
      </w:pPr>
      <w:r>
        <w:t xml:space="preserve">Every phase delivers a vertical slice (ingest → normalise → score → display → alert) for at least one regulatory module.</w:t>
      </w:r>
    </w:p>
    <w:p>
      <w:pPr>
        <w:numPr>
          <w:ilvl w:val="0"/>
          <w:numId w:val="1006"/>
        </w:numPr>
        <w:pStyle w:val="Compact"/>
      </w:pPr>
      <w:r>
        <w:t xml:space="preserve">LLM use is constrained to normalisation/classification with deterministic post-checks; scoring is rule-based and auditable.</w:t>
      </w:r>
    </w:p>
    <w:p>
      <w:pPr>
        <w:numPr>
          <w:ilvl w:val="0"/>
          <w:numId w:val="1006"/>
        </w:numPr>
        <w:pStyle w:val="Compact"/>
      </w:pPr>
      <w:r>
        <w:t xml:space="preserve">All impact assessments are evidence-linked back to the source regulatory event and the PLM record.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James-M-Fleming-985/mvp-32-mc-scanner-and-risk-identificatio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James-M-Fleming-985/mvp-32-mc-scanner-and-risk-identific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2026-04-21T10:03:20Z</dcterms:created>
  <dcterms:modified xsi:type="dcterms:W3CDTF">2026-04-21T10:03:20Z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