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676FD" w14:textId="77777777" w:rsidR="001E39E6" w:rsidRDefault="00AB1EFB" w:rsidP="001E39E6">
      <w:pPr>
        <w:pStyle w:val="Heading1"/>
        <w:spacing w:before="120" w:after="120"/>
        <w:ind w:left="357" w:hanging="357"/>
      </w:pPr>
      <w:r>
        <w:t>The Irish Economy</w:t>
      </w:r>
      <w:r w:rsidR="001E39E6">
        <w:t xml:space="preserve"> </w:t>
      </w:r>
    </w:p>
    <w:p w14:paraId="6AEFC20A" w14:textId="77777777" w:rsidR="008B4227" w:rsidRDefault="001E39E6" w:rsidP="00D93BBA">
      <w:pPr>
        <w:jc w:val="both"/>
      </w:pPr>
      <w:r w:rsidRPr="001E39E6">
        <w:t>As a small open economy Ireland’s financial fortunes are dependent on international trade and influenced by global markets.</w:t>
      </w:r>
      <w:r>
        <w:t xml:space="preserve"> </w:t>
      </w:r>
      <w:r w:rsidRPr="001E39E6">
        <w:t>The EU’s Single Market environment, together with decisions to introduce low corporate taxes and develop an Industrial Development Agency (IDA Ireland) to promote Ireland abroad, eventually enabled the new Irish economy to flourish</w:t>
      </w:r>
      <w:r w:rsidR="00A21CD5">
        <w:t xml:space="preserve">. </w:t>
      </w:r>
    </w:p>
    <w:p w14:paraId="0AF3FCD6" w14:textId="77777777" w:rsidR="00BD1726" w:rsidRPr="00AC5756" w:rsidRDefault="00BD1726" w:rsidP="00D93BBA">
      <w:pPr>
        <w:jc w:val="both"/>
      </w:pPr>
    </w:p>
    <w:p w14:paraId="4D375351" w14:textId="3FE91656" w:rsidR="00BD1726" w:rsidRPr="00AC5756" w:rsidRDefault="00BD1726" w:rsidP="00D93BBA">
      <w:pPr>
        <w:jc w:val="both"/>
      </w:pPr>
      <w:r w:rsidRPr="00AC5756">
        <w:rPr>
          <w:rFonts w:asciiTheme="minorHAnsi" w:hAnsiTheme="minorHAnsi"/>
        </w:rPr>
        <w:t xml:space="preserve">The value added recorded in Ireland by multinationals is displayed in </w:t>
      </w:r>
      <w:r w:rsidRPr="00AC5756">
        <w:rPr>
          <w:rFonts w:asciiTheme="minorHAnsi" w:hAnsiTheme="minorHAnsi"/>
        </w:rPr>
        <w:fldChar w:fldCharType="begin"/>
      </w:r>
      <w:r w:rsidRPr="00AC5756">
        <w:rPr>
          <w:rFonts w:asciiTheme="minorHAnsi" w:hAnsiTheme="minorHAnsi"/>
        </w:rPr>
        <w:instrText xml:space="preserve"> REF _Ref485372453 \h </w:instrText>
      </w:r>
      <w:r w:rsidR="00E25DED" w:rsidRPr="00AC5756">
        <w:rPr>
          <w:rFonts w:asciiTheme="minorHAnsi" w:hAnsiTheme="minorHAnsi"/>
        </w:rPr>
        <w:instrText xml:space="preserve"> \* MERGEFORMAT </w:instrText>
      </w:r>
      <w:r w:rsidRPr="00AC5756">
        <w:rPr>
          <w:rFonts w:asciiTheme="minorHAnsi" w:hAnsiTheme="minorHAnsi"/>
        </w:rPr>
      </w:r>
      <w:r w:rsidRPr="00AC5756">
        <w:rPr>
          <w:rFonts w:asciiTheme="minorHAnsi" w:hAnsiTheme="minorHAnsi"/>
        </w:rPr>
        <w:fldChar w:fldCharType="separate"/>
      </w:r>
      <w:r w:rsidR="004C3E31" w:rsidRPr="004C3E31">
        <w:rPr>
          <w:rFonts w:asciiTheme="minorHAnsi" w:hAnsiTheme="minorHAnsi"/>
        </w:rPr>
        <w:t xml:space="preserve">Figure </w:t>
      </w:r>
      <w:r w:rsidR="004C3E31" w:rsidRPr="004C3E31">
        <w:rPr>
          <w:rFonts w:asciiTheme="minorHAnsi" w:hAnsiTheme="minorHAnsi"/>
          <w:noProof/>
        </w:rPr>
        <w:t>1</w:t>
      </w:r>
      <w:r w:rsidRPr="00AC5756">
        <w:rPr>
          <w:rFonts w:asciiTheme="minorHAnsi" w:hAnsiTheme="minorHAnsi"/>
        </w:rPr>
        <w:fldChar w:fldCharType="end"/>
      </w:r>
      <w:r w:rsidRPr="00AC5756">
        <w:rPr>
          <w:rFonts w:asciiTheme="minorHAnsi" w:hAnsiTheme="minorHAnsi"/>
        </w:rPr>
        <w:t>.</w:t>
      </w:r>
      <w:r w:rsidR="00E25DED" w:rsidRPr="00AC5756">
        <w:rPr>
          <w:rFonts w:asciiTheme="minorHAnsi" w:hAnsiTheme="minorHAnsi"/>
        </w:rPr>
        <w:t xml:space="preserve"> The gross value added (GVA) </w:t>
      </w:r>
      <w:r w:rsidR="00E25DED" w:rsidRPr="00AC5756">
        <w:rPr>
          <w:rFonts w:asciiTheme="minorHAnsi" w:hAnsiTheme="minorHAnsi" w:cs="Arial"/>
          <w:shd w:val="clear" w:color="auto" w:fill="FFFFFF"/>
        </w:rPr>
        <w:t>is used in the estimation of Gross Domestic Product (GDP)</w:t>
      </w:r>
      <w:r w:rsidR="00E25DED" w:rsidRPr="00AC5756">
        <w:rPr>
          <w:rStyle w:val="FootnoteReference"/>
          <w:rFonts w:asciiTheme="minorHAnsi" w:hAnsiTheme="minorHAnsi" w:cs="Arial"/>
          <w:sz w:val="18"/>
          <w:szCs w:val="18"/>
          <w:shd w:val="clear" w:color="auto" w:fill="FFFFFF"/>
        </w:rPr>
        <w:footnoteReference w:id="1"/>
      </w:r>
      <w:r w:rsidR="00E25DED" w:rsidRPr="00AC5756">
        <w:rPr>
          <w:rFonts w:asciiTheme="minorHAnsi" w:hAnsiTheme="minorHAnsi" w:cs="Arial"/>
          <w:sz w:val="18"/>
          <w:szCs w:val="18"/>
          <w:shd w:val="clear" w:color="auto" w:fill="FFFFFF"/>
        </w:rPr>
        <w:t>.</w:t>
      </w:r>
      <w:r w:rsidR="00E25DED" w:rsidRPr="00AC5756">
        <w:rPr>
          <w:rFonts w:ascii="Arial" w:hAnsi="Arial" w:cs="Arial"/>
          <w:sz w:val="18"/>
          <w:szCs w:val="18"/>
          <w:shd w:val="clear" w:color="auto" w:fill="FFFFFF"/>
        </w:rPr>
        <w:t xml:space="preserve"> </w:t>
      </w:r>
      <w:r w:rsidRPr="00AC5756">
        <w:t xml:space="preserve"> The gross value added (GVA) is a measure of output net of the inputs used for its production. </w:t>
      </w:r>
      <w:r w:rsidR="00E25DED" w:rsidRPr="00AC5756">
        <w:t>Note, i</w:t>
      </w:r>
      <w:r w:rsidRPr="00AC5756">
        <w:t xml:space="preserve">n 2015 </w:t>
      </w:r>
      <w:r w:rsidR="00135722" w:rsidRPr="00AC5756">
        <w:t>GVA</w:t>
      </w:r>
      <w:r w:rsidRPr="00AC5756">
        <w:t xml:space="preserve"> more than doubled in the economic sectors dominated by foreign owned multinationals</w:t>
      </w:r>
      <w:r w:rsidR="00E25DED" w:rsidRPr="00AC5756">
        <w:rPr>
          <w:rStyle w:val="FootnoteReference"/>
        </w:rPr>
        <w:footnoteReference w:id="2"/>
      </w:r>
      <w:r w:rsidRPr="00AC5756">
        <w:t xml:space="preserve">. </w:t>
      </w:r>
      <w:r w:rsidR="00514894" w:rsidRPr="00AC5756">
        <w:rPr>
          <w:rFonts w:asciiTheme="minorHAnsi" w:hAnsiTheme="minorHAnsi"/>
        </w:rPr>
        <w:t xml:space="preserve"> Currently, </w:t>
      </w:r>
      <w:r w:rsidR="00AC5756">
        <w:rPr>
          <w:rFonts w:asciiTheme="minorHAnsi" w:hAnsiTheme="minorHAnsi"/>
        </w:rPr>
        <w:t>m</w:t>
      </w:r>
      <w:r w:rsidR="00514894" w:rsidRPr="00AC5756">
        <w:rPr>
          <w:rFonts w:asciiTheme="minorHAnsi" w:hAnsiTheme="minorHAnsi"/>
          <w:shd w:val="clear" w:color="auto" w:fill="FFFFFF"/>
        </w:rPr>
        <w:t>ultinationals account for 90 % of exports for five key sectors: computer programming, chemicals, computer consultancy, computer electronic and optical devices, and medical devices.</w:t>
      </w:r>
    </w:p>
    <w:p w14:paraId="5E841F65" w14:textId="77777777" w:rsidR="00DE7480" w:rsidRDefault="00DE7480" w:rsidP="00D93BBA">
      <w:pPr>
        <w:jc w:val="both"/>
      </w:pPr>
    </w:p>
    <w:p w14:paraId="0DB53EC9" w14:textId="77777777" w:rsidR="00DE7480" w:rsidRDefault="00DE7480" w:rsidP="00DE7480">
      <w:pPr>
        <w:keepNext/>
        <w:jc w:val="center"/>
      </w:pPr>
      <w:r>
        <w:rPr>
          <w:noProof/>
          <w:lang w:eastAsia="en-GB"/>
        </w:rPr>
        <w:drawing>
          <wp:inline distT="0" distB="0" distL="0" distR="0" wp14:anchorId="701F8316" wp14:editId="03F4E7B2">
            <wp:extent cx="4073422" cy="3832019"/>
            <wp:effectExtent l="0" t="0" r="3810" b="0"/>
            <wp:docPr id="7" name="Picture 7" descr="http://eur-lex.europa.eu/resource.html?uri=comnat:SWD_2017_0073_FIN.ENG.xhtml.SWD_2017_0073_FIN_ENG_17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ur-lex.europa.eu/resource.html?uri=comnat:SWD_2017_0073_FIN.ENG.xhtml.SWD_2017_0073_FIN_ENG_170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3946" cy="3832512"/>
                    </a:xfrm>
                    <a:prstGeom prst="rect">
                      <a:avLst/>
                    </a:prstGeom>
                    <a:noFill/>
                    <a:ln>
                      <a:noFill/>
                    </a:ln>
                  </pic:spPr>
                </pic:pic>
              </a:graphicData>
            </a:graphic>
          </wp:inline>
        </w:drawing>
      </w:r>
    </w:p>
    <w:p w14:paraId="7D36575E" w14:textId="64717CCF" w:rsidR="00DE7480" w:rsidRPr="00E25DED" w:rsidRDefault="00DE7480" w:rsidP="00DE7480">
      <w:pPr>
        <w:pStyle w:val="Caption"/>
        <w:jc w:val="center"/>
        <w:rPr>
          <w:color w:val="auto"/>
          <w:sz w:val="22"/>
        </w:rPr>
      </w:pPr>
      <w:bookmarkStart w:id="0" w:name="_Ref485372453"/>
      <w:r w:rsidRPr="00E25DED">
        <w:rPr>
          <w:color w:val="auto"/>
          <w:sz w:val="22"/>
        </w:rPr>
        <w:t xml:space="preserve">Figure </w:t>
      </w:r>
      <w:r w:rsidRPr="00E25DED">
        <w:rPr>
          <w:color w:val="auto"/>
          <w:sz w:val="22"/>
        </w:rPr>
        <w:fldChar w:fldCharType="begin"/>
      </w:r>
      <w:r w:rsidRPr="00E25DED">
        <w:rPr>
          <w:color w:val="auto"/>
          <w:sz w:val="22"/>
        </w:rPr>
        <w:instrText xml:space="preserve"> SEQ Figure \* ARABIC </w:instrText>
      </w:r>
      <w:r w:rsidRPr="00E25DED">
        <w:rPr>
          <w:color w:val="auto"/>
          <w:sz w:val="22"/>
        </w:rPr>
        <w:fldChar w:fldCharType="separate"/>
      </w:r>
      <w:r w:rsidR="004C3E31">
        <w:rPr>
          <w:noProof/>
          <w:color w:val="auto"/>
          <w:sz w:val="22"/>
        </w:rPr>
        <w:t>1</w:t>
      </w:r>
      <w:r w:rsidRPr="00E25DED">
        <w:rPr>
          <w:color w:val="auto"/>
          <w:sz w:val="22"/>
        </w:rPr>
        <w:fldChar w:fldCharType="end"/>
      </w:r>
      <w:bookmarkEnd w:id="0"/>
      <w:r w:rsidRPr="00E25DED">
        <w:rPr>
          <w:color w:val="auto"/>
          <w:sz w:val="22"/>
        </w:rPr>
        <w:t xml:space="preserve"> </w:t>
      </w:r>
      <w:r w:rsidRPr="00E25DED">
        <w:rPr>
          <w:b w:val="0"/>
          <w:color w:val="auto"/>
          <w:sz w:val="22"/>
        </w:rPr>
        <w:t>Gross value added from domestic production and foreign owned multinationals. Gross value added at constant basic prices (chain linked annually referenced to 2014). Source: Central Statistics Office of Ireland (CSO)</w:t>
      </w:r>
      <w:r w:rsidR="00E25DED">
        <w:rPr>
          <w:b w:val="0"/>
          <w:color w:val="auto"/>
          <w:sz w:val="22"/>
        </w:rPr>
        <w:t>.</w:t>
      </w:r>
    </w:p>
    <w:p w14:paraId="28C2B3C0" w14:textId="77777777" w:rsidR="008B4227" w:rsidRDefault="008B4227" w:rsidP="00D93BBA">
      <w:pPr>
        <w:jc w:val="both"/>
      </w:pPr>
    </w:p>
    <w:p w14:paraId="5076974E" w14:textId="53685B60" w:rsidR="001E39E6" w:rsidRDefault="00D93BBA" w:rsidP="00D93BBA">
      <w:pPr>
        <w:jc w:val="both"/>
      </w:pPr>
      <w:r w:rsidRPr="00D93BBA">
        <w:t xml:space="preserve">One of the difficulties with small open economies like Ireland’s is that they </w:t>
      </w:r>
      <w:r w:rsidR="00F75377">
        <w:t>are</w:t>
      </w:r>
      <w:r w:rsidRPr="00D93BBA">
        <w:t xml:space="preserve"> vulnerable to global factors and Ireland’s strongest period of economic growth, from the mid ‘90s to the mid ‘00s, was followed by a</w:t>
      </w:r>
      <w:r w:rsidR="00A21CD5">
        <w:t xml:space="preserve">n unprecedented </w:t>
      </w:r>
      <w:r w:rsidRPr="00D93BBA">
        <w:t xml:space="preserve">crash </w:t>
      </w:r>
      <w:r w:rsidR="00A21CD5">
        <w:t xml:space="preserve">triggered </w:t>
      </w:r>
      <w:r w:rsidRPr="00D93BBA">
        <w:t>by a worldwide financial meltdown.</w:t>
      </w:r>
      <w:r w:rsidR="00A44FB6">
        <w:t xml:space="preserve"> </w:t>
      </w:r>
      <w:r w:rsidR="00A44FB6">
        <w:fldChar w:fldCharType="begin"/>
      </w:r>
      <w:r w:rsidR="00A44FB6">
        <w:instrText xml:space="preserve"> REF _Ref485224564 \h </w:instrText>
      </w:r>
      <w:r w:rsidR="00A44FB6">
        <w:fldChar w:fldCharType="separate"/>
      </w:r>
      <w:r w:rsidR="004C3E31" w:rsidRPr="00A44FB6">
        <w:t xml:space="preserve">Figure </w:t>
      </w:r>
      <w:r w:rsidR="004C3E31">
        <w:rPr>
          <w:noProof/>
        </w:rPr>
        <w:t>2</w:t>
      </w:r>
      <w:r w:rsidR="00A44FB6">
        <w:fldChar w:fldCharType="end"/>
      </w:r>
      <w:r w:rsidR="00A44FB6">
        <w:t xml:space="preserve"> displays the year-on-year percentage change in GDP</w:t>
      </w:r>
      <w:r w:rsidR="00A21CD5">
        <w:t xml:space="preserve"> with robust growth up until the mid ‘00s and a decline between 2008 and 2012.</w:t>
      </w:r>
      <w:r w:rsidR="00A44FB6">
        <w:t xml:space="preserve"> The contribution of the building and construction sector to the overall GDP figure is also displayed.</w:t>
      </w:r>
      <w:r w:rsidR="00135722">
        <w:t xml:space="preserve"> </w:t>
      </w:r>
      <w:r w:rsidR="00135722">
        <w:fldChar w:fldCharType="begin"/>
      </w:r>
      <w:r w:rsidR="00135722">
        <w:instrText xml:space="preserve"> REF _Ref485373529 \h </w:instrText>
      </w:r>
      <w:r w:rsidR="00135722">
        <w:fldChar w:fldCharType="separate"/>
      </w:r>
      <w:r w:rsidR="004C3E31" w:rsidRPr="00135722">
        <w:t xml:space="preserve">Figure </w:t>
      </w:r>
      <w:r w:rsidR="004C3E31">
        <w:rPr>
          <w:noProof/>
        </w:rPr>
        <w:t>3</w:t>
      </w:r>
      <w:r w:rsidR="00135722">
        <w:fldChar w:fldCharType="end"/>
      </w:r>
      <w:r w:rsidR="00135722">
        <w:t xml:space="preserve"> displays the ratio of the building and construction sector to GDP for </w:t>
      </w:r>
      <w:r w:rsidR="00135722">
        <w:lastRenderedPageBreak/>
        <w:t>both the UK and Ireland. While construction output remains historically low in both economies, the Irish construction sector remains close to all time lows.</w:t>
      </w:r>
    </w:p>
    <w:p w14:paraId="70975AE8" w14:textId="77777777" w:rsidR="008B4227" w:rsidRDefault="008B4227" w:rsidP="00D93BBA">
      <w:pPr>
        <w:jc w:val="both"/>
      </w:pPr>
    </w:p>
    <w:p w14:paraId="798772BC" w14:textId="77777777" w:rsidR="00A44FB6" w:rsidRDefault="00A44FB6" w:rsidP="00A44FB6">
      <w:pPr>
        <w:keepNext/>
        <w:jc w:val="center"/>
      </w:pPr>
      <w:r>
        <w:rPr>
          <w:noProof/>
          <w:lang w:eastAsia="en-GB"/>
        </w:rPr>
        <w:drawing>
          <wp:inline distT="0" distB="0" distL="0" distR="0" wp14:anchorId="65693F26" wp14:editId="11A88A72">
            <wp:extent cx="5581650" cy="3664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4572" cy="3666743"/>
                    </a:xfrm>
                    <a:prstGeom prst="rect">
                      <a:avLst/>
                    </a:prstGeom>
                    <a:noFill/>
                  </pic:spPr>
                </pic:pic>
              </a:graphicData>
            </a:graphic>
          </wp:inline>
        </w:drawing>
      </w:r>
    </w:p>
    <w:p w14:paraId="5C498B42" w14:textId="3CC35D2D" w:rsidR="00D31F47" w:rsidRPr="00A44FB6" w:rsidRDefault="00A44FB6" w:rsidP="00A44FB6">
      <w:pPr>
        <w:pStyle w:val="Caption"/>
        <w:spacing w:before="120"/>
        <w:jc w:val="center"/>
        <w:rPr>
          <w:color w:val="auto"/>
          <w:sz w:val="22"/>
        </w:rPr>
      </w:pPr>
      <w:bookmarkStart w:id="1" w:name="_Ref485224564"/>
      <w:r w:rsidRPr="00A44FB6">
        <w:rPr>
          <w:color w:val="auto"/>
          <w:sz w:val="22"/>
        </w:rPr>
        <w:t xml:space="preserve">Figure </w:t>
      </w:r>
      <w:r w:rsidRPr="00A44FB6">
        <w:rPr>
          <w:color w:val="auto"/>
          <w:sz w:val="22"/>
        </w:rPr>
        <w:fldChar w:fldCharType="begin"/>
      </w:r>
      <w:r w:rsidRPr="00A44FB6">
        <w:rPr>
          <w:color w:val="auto"/>
          <w:sz w:val="22"/>
        </w:rPr>
        <w:instrText xml:space="preserve"> SEQ Figure \* ARABIC </w:instrText>
      </w:r>
      <w:r w:rsidRPr="00A44FB6">
        <w:rPr>
          <w:color w:val="auto"/>
          <w:sz w:val="22"/>
        </w:rPr>
        <w:fldChar w:fldCharType="separate"/>
      </w:r>
      <w:r w:rsidR="004C3E31">
        <w:rPr>
          <w:noProof/>
          <w:color w:val="auto"/>
          <w:sz w:val="22"/>
        </w:rPr>
        <w:t>2</w:t>
      </w:r>
      <w:r w:rsidRPr="00A44FB6">
        <w:rPr>
          <w:color w:val="auto"/>
          <w:sz w:val="22"/>
        </w:rPr>
        <w:fldChar w:fldCharType="end"/>
      </w:r>
      <w:bookmarkEnd w:id="1"/>
      <w:r w:rsidRPr="00A44FB6">
        <w:rPr>
          <w:color w:val="auto"/>
          <w:sz w:val="22"/>
        </w:rPr>
        <w:t xml:space="preserve"> </w:t>
      </w:r>
      <w:r w:rsidRPr="00A44FB6">
        <w:rPr>
          <w:b w:val="0"/>
          <w:color w:val="auto"/>
          <w:sz w:val="22"/>
        </w:rPr>
        <w:t>Gross Domestic Product at Constant Factor Cost (chain linked annually and referenced to 2014) (Seasonally Adjusted) (Euro Million) by Quarter and Sector</w:t>
      </w:r>
      <w:r w:rsidR="003F1A9C">
        <w:rPr>
          <w:b w:val="0"/>
          <w:color w:val="auto"/>
          <w:sz w:val="22"/>
        </w:rPr>
        <w:t>. Source: CSO.</w:t>
      </w:r>
    </w:p>
    <w:p w14:paraId="0C7051A6" w14:textId="77777777" w:rsidR="00D31F47" w:rsidRDefault="00D31F47" w:rsidP="00D93BBA">
      <w:pPr>
        <w:jc w:val="both"/>
      </w:pPr>
    </w:p>
    <w:p w14:paraId="4BF90BA5" w14:textId="77777777" w:rsidR="00135722" w:rsidRDefault="00135722" w:rsidP="00D93BBA">
      <w:pPr>
        <w:jc w:val="both"/>
      </w:pPr>
    </w:p>
    <w:p w14:paraId="2C409794" w14:textId="77777777" w:rsidR="00135722" w:rsidRDefault="00135722" w:rsidP="00135722">
      <w:pPr>
        <w:keepNext/>
        <w:jc w:val="center"/>
      </w:pPr>
      <w:r>
        <w:rPr>
          <w:noProof/>
          <w:lang w:eastAsia="en-GB"/>
        </w:rPr>
        <w:drawing>
          <wp:inline distT="0" distB="0" distL="0" distR="0" wp14:anchorId="09D3F1A3" wp14:editId="22E9B2DD">
            <wp:extent cx="5048250" cy="246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2465965"/>
                    </a:xfrm>
                    <a:prstGeom prst="rect">
                      <a:avLst/>
                    </a:prstGeom>
                    <a:noFill/>
                    <a:ln>
                      <a:noFill/>
                    </a:ln>
                  </pic:spPr>
                </pic:pic>
              </a:graphicData>
            </a:graphic>
          </wp:inline>
        </w:drawing>
      </w:r>
    </w:p>
    <w:p w14:paraId="4503CC0D" w14:textId="5839370C" w:rsidR="00135722" w:rsidRPr="00135722" w:rsidRDefault="00135722" w:rsidP="00135722">
      <w:pPr>
        <w:pStyle w:val="Caption"/>
        <w:spacing w:before="120"/>
        <w:jc w:val="center"/>
        <w:rPr>
          <w:color w:val="auto"/>
          <w:sz w:val="22"/>
        </w:rPr>
      </w:pPr>
      <w:bookmarkStart w:id="2" w:name="_Ref485373529"/>
      <w:r w:rsidRPr="00135722">
        <w:rPr>
          <w:color w:val="auto"/>
          <w:sz w:val="22"/>
        </w:rPr>
        <w:t xml:space="preserve">Figure </w:t>
      </w:r>
      <w:r w:rsidRPr="00135722">
        <w:rPr>
          <w:color w:val="auto"/>
          <w:sz w:val="22"/>
        </w:rPr>
        <w:fldChar w:fldCharType="begin"/>
      </w:r>
      <w:r w:rsidRPr="00135722">
        <w:rPr>
          <w:color w:val="auto"/>
          <w:sz w:val="22"/>
        </w:rPr>
        <w:instrText xml:space="preserve"> SEQ Figure \* ARABIC </w:instrText>
      </w:r>
      <w:r w:rsidRPr="00135722">
        <w:rPr>
          <w:color w:val="auto"/>
          <w:sz w:val="22"/>
        </w:rPr>
        <w:fldChar w:fldCharType="separate"/>
      </w:r>
      <w:r w:rsidR="004C3E31">
        <w:rPr>
          <w:noProof/>
          <w:color w:val="auto"/>
          <w:sz w:val="22"/>
        </w:rPr>
        <w:t>3</w:t>
      </w:r>
      <w:r w:rsidRPr="00135722">
        <w:rPr>
          <w:color w:val="auto"/>
          <w:sz w:val="22"/>
        </w:rPr>
        <w:fldChar w:fldCharType="end"/>
      </w:r>
      <w:bookmarkEnd w:id="2"/>
      <w:r w:rsidRPr="00135722">
        <w:rPr>
          <w:color w:val="auto"/>
          <w:sz w:val="22"/>
        </w:rPr>
        <w:t xml:space="preserve"> </w:t>
      </w:r>
      <w:r w:rsidRPr="00135722">
        <w:rPr>
          <w:b w:val="0"/>
          <w:color w:val="auto"/>
          <w:sz w:val="22"/>
        </w:rPr>
        <w:t>Comparison of Construction/GDP ratios for UK and Ireland</w:t>
      </w:r>
      <w:r>
        <w:rPr>
          <w:b w:val="0"/>
          <w:color w:val="auto"/>
          <w:sz w:val="22"/>
        </w:rPr>
        <w:t>. Source: Goodbody.</w:t>
      </w:r>
    </w:p>
    <w:p w14:paraId="3DB7ECE8" w14:textId="77777777" w:rsidR="00135722" w:rsidRDefault="00135722" w:rsidP="00D93BBA">
      <w:pPr>
        <w:jc w:val="both"/>
      </w:pPr>
    </w:p>
    <w:p w14:paraId="5408667C" w14:textId="4D7C1237" w:rsidR="008B4227" w:rsidRDefault="008B4227" w:rsidP="00D93BBA">
      <w:pPr>
        <w:jc w:val="both"/>
      </w:pPr>
      <w:r w:rsidRPr="008B4227">
        <w:t>Ireland became a victim of the global economic downturn that climaxed following the 2008 collapse of Lehman Brothers - the fourth largest investment bank in US.</w:t>
      </w:r>
      <w:r>
        <w:t xml:space="preserve"> </w:t>
      </w:r>
      <w:r w:rsidRPr="008B4227">
        <w:t>Banks all around the world stopped lending to each other and credit dried up. Ireland was particularly vulnerable to the crisis because of a property bubble that had been inflating at an alarming rate for almost a decade</w:t>
      </w:r>
      <w:r w:rsidR="00D31F47">
        <w:t xml:space="preserve">, as per </w:t>
      </w:r>
      <w:r w:rsidR="00D31F47">
        <w:fldChar w:fldCharType="begin"/>
      </w:r>
      <w:r w:rsidR="00D31F47">
        <w:instrText xml:space="preserve"> REF _Ref485221745 \h </w:instrText>
      </w:r>
      <w:r w:rsidR="00D31F47">
        <w:fldChar w:fldCharType="separate"/>
      </w:r>
      <w:r w:rsidR="004C3E31" w:rsidRPr="006C769F">
        <w:t xml:space="preserve">Figure </w:t>
      </w:r>
      <w:r w:rsidR="004C3E31">
        <w:rPr>
          <w:noProof/>
        </w:rPr>
        <w:t>4</w:t>
      </w:r>
      <w:r w:rsidR="00D31F47">
        <w:fldChar w:fldCharType="end"/>
      </w:r>
      <w:r w:rsidRPr="008B4227">
        <w:t>.</w:t>
      </w:r>
      <w:r w:rsidR="000674B8">
        <w:t xml:space="preserve"> </w:t>
      </w:r>
    </w:p>
    <w:p w14:paraId="61507398" w14:textId="77777777" w:rsidR="008B4227" w:rsidRDefault="008B4227" w:rsidP="00D93BBA">
      <w:pPr>
        <w:jc w:val="both"/>
      </w:pPr>
    </w:p>
    <w:p w14:paraId="666F722C" w14:textId="77777777" w:rsidR="00D31F47" w:rsidRDefault="00D31F47" w:rsidP="00D31F47">
      <w:pPr>
        <w:pStyle w:val="Caption"/>
        <w:spacing w:before="120" w:after="120"/>
        <w:jc w:val="center"/>
        <w:rPr>
          <w:rFonts w:ascii="Calibri" w:eastAsiaTheme="minorHAnsi" w:hAnsi="Calibri" w:cs="Times New Roman"/>
          <w:b w:val="0"/>
          <w:bCs w:val="0"/>
          <w:color w:val="auto"/>
          <w:sz w:val="22"/>
          <w:szCs w:val="22"/>
        </w:rPr>
      </w:pPr>
      <w:r>
        <w:rPr>
          <w:noProof/>
          <w:lang w:eastAsia="en-GB"/>
        </w:rPr>
        <w:lastRenderedPageBreak/>
        <w:drawing>
          <wp:inline distT="0" distB="0" distL="0" distR="0" wp14:anchorId="7A7F880C" wp14:editId="0993244E">
            <wp:extent cx="5722949" cy="2705100"/>
            <wp:effectExtent l="0" t="0" r="0" b="0"/>
            <wp:docPr id="26" name="Picture 26" descr="http://i1.wp.com/www.irisheconomy.ie/wp-content/uploads/2016/07/Property-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wp.com/www.irisheconomy.ie/wp-content/uploads/2016/07/Property-develop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09146"/>
                    </a:xfrm>
                    <a:prstGeom prst="rect">
                      <a:avLst/>
                    </a:prstGeom>
                    <a:noFill/>
                    <a:ln>
                      <a:noFill/>
                    </a:ln>
                  </pic:spPr>
                </pic:pic>
              </a:graphicData>
            </a:graphic>
          </wp:inline>
        </w:drawing>
      </w:r>
    </w:p>
    <w:p w14:paraId="5C7BE7A9" w14:textId="22DFFD82" w:rsidR="00D31F47" w:rsidRDefault="00D31F47" w:rsidP="00D31F47">
      <w:pPr>
        <w:pStyle w:val="Caption"/>
        <w:spacing w:before="120" w:after="120"/>
        <w:jc w:val="center"/>
        <w:rPr>
          <w:b w:val="0"/>
          <w:color w:val="auto"/>
          <w:sz w:val="22"/>
        </w:rPr>
      </w:pPr>
      <w:bookmarkStart w:id="3" w:name="_Ref485221745"/>
      <w:r w:rsidRPr="006C769F">
        <w:rPr>
          <w:color w:val="auto"/>
          <w:sz w:val="22"/>
        </w:rPr>
        <w:t xml:space="preserve">Figure </w:t>
      </w:r>
      <w:r w:rsidRPr="006C769F">
        <w:rPr>
          <w:color w:val="auto"/>
          <w:sz w:val="22"/>
        </w:rPr>
        <w:fldChar w:fldCharType="begin"/>
      </w:r>
      <w:r w:rsidRPr="006C769F">
        <w:rPr>
          <w:color w:val="auto"/>
          <w:sz w:val="22"/>
        </w:rPr>
        <w:instrText xml:space="preserve"> SEQ Figure \* ARABIC </w:instrText>
      </w:r>
      <w:r w:rsidRPr="006C769F">
        <w:rPr>
          <w:color w:val="auto"/>
          <w:sz w:val="22"/>
        </w:rPr>
        <w:fldChar w:fldCharType="separate"/>
      </w:r>
      <w:r w:rsidR="004C3E31">
        <w:rPr>
          <w:noProof/>
          <w:color w:val="auto"/>
          <w:sz w:val="22"/>
        </w:rPr>
        <w:t>4</w:t>
      </w:r>
      <w:r w:rsidRPr="006C769F">
        <w:rPr>
          <w:color w:val="auto"/>
          <w:sz w:val="22"/>
        </w:rPr>
        <w:fldChar w:fldCharType="end"/>
      </w:r>
      <w:bookmarkEnd w:id="3"/>
      <w:r>
        <w:rPr>
          <w:b w:val="0"/>
          <w:color w:val="auto"/>
          <w:sz w:val="22"/>
        </w:rPr>
        <w:t xml:space="preserve"> Year-on-year %age change in level of lending for property development in Ireland</w:t>
      </w:r>
      <w:r w:rsidR="00DE7480">
        <w:rPr>
          <w:b w:val="0"/>
          <w:color w:val="auto"/>
          <w:sz w:val="22"/>
        </w:rPr>
        <w:t>. Source: various</w:t>
      </w:r>
    </w:p>
    <w:p w14:paraId="15414745" w14:textId="73540E9E" w:rsidR="000674B8" w:rsidRDefault="000674B8" w:rsidP="000674B8">
      <w:pPr>
        <w:jc w:val="both"/>
      </w:pPr>
      <w:r>
        <w:fldChar w:fldCharType="begin"/>
      </w:r>
      <w:r>
        <w:instrText xml:space="preserve"> REF _Ref474306695 \h  \* MERGEFORMAT </w:instrText>
      </w:r>
      <w:r>
        <w:fldChar w:fldCharType="separate"/>
      </w:r>
      <w:r w:rsidR="004C3E31">
        <w:t>Figure 5</w:t>
      </w:r>
      <w:r>
        <w:fldChar w:fldCharType="end"/>
      </w:r>
      <w:r>
        <w:t xml:space="preserve"> displays the lending to Irish households and covers developments in lending for house purchase, and lending for consumption and other purposes by banks within Ireland. The pace of expansion in lending to Irish households in the pre-crisis years was among the highest in the euro area. The subsequent decline was particularly large for consumer lending which started to show year-on-year declines in early 2009; meanwhile, both total and housing-related lending have been contracting on an annual basis since late 2009/early 2010. All three series continue to decline on an annual basis. The extent of the contraction in household lending in Ireland has been more pronounced than in the euro area as a whole.</w:t>
      </w:r>
    </w:p>
    <w:p w14:paraId="0457DEC3" w14:textId="77777777" w:rsidR="000674B8" w:rsidRDefault="000674B8" w:rsidP="00D93BBA">
      <w:pPr>
        <w:jc w:val="both"/>
      </w:pPr>
    </w:p>
    <w:p w14:paraId="3A099743" w14:textId="77777777" w:rsidR="000674B8" w:rsidRDefault="000674B8" w:rsidP="000674B8">
      <w:pPr>
        <w:keepNext/>
        <w:jc w:val="center"/>
      </w:pPr>
      <w:r>
        <w:rPr>
          <w:noProof/>
          <w:lang w:eastAsia="en-GB"/>
        </w:rPr>
        <w:drawing>
          <wp:inline distT="0" distB="0" distL="0" distR="0" wp14:anchorId="6CE48632" wp14:editId="15FD1F68">
            <wp:extent cx="509587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2600325"/>
                    </a:xfrm>
                    <a:prstGeom prst="rect">
                      <a:avLst/>
                    </a:prstGeom>
                    <a:noFill/>
                    <a:ln>
                      <a:noFill/>
                    </a:ln>
                  </pic:spPr>
                </pic:pic>
              </a:graphicData>
            </a:graphic>
          </wp:inline>
        </w:drawing>
      </w:r>
    </w:p>
    <w:p w14:paraId="1CFCB691" w14:textId="7B327D84" w:rsidR="000674B8" w:rsidRDefault="000674B8" w:rsidP="000674B8">
      <w:pPr>
        <w:pStyle w:val="Caption"/>
        <w:spacing w:before="120"/>
        <w:jc w:val="center"/>
        <w:rPr>
          <w:color w:val="auto"/>
          <w:sz w:val="22"/>
        </w:rPr>
      </w:pPr>
      <w:bookmarkStart w:id="4" w:name="_Ref474306695"/>
      <w:r>
        <w:rPr>
          <w:color w:val="auto"/>
          <w:sz w:val="22"/>
        </w:rPr>
        <w:t xml:space="preserve">Figure </w:t>
      </w:r>
      <w:r>
        <w:fldChar w:fldCharType="begin"/>
      </w:r>
      <w:r>
        <w:rPr>
          <w:color w:val="auto"/>
          <w:sz w:val="22"/>
        </w:rPr>
        <w:instrText xml:space="preserve"> SEQ Figure \* ARABIC </w:instrText>
      </w:r>
      <w:r>
        <w:fldChar w:fldCharType="separate"/>
      </w:r>
      <w:r w:rsidR="004C3E31">
        <w:rPr>
          <w:noProof/>
          <w:color w:val="auto"/>
          <w:sz w:val="22"/>
        </w:rPr>
        <w:t>5</w:t>
      </w:r>
      <w:r>
        <w:fldChar w:fldCharType="end"/>
      </w:r>
      <w:bookmarkEnd w:id="4"/>
      <w:r>
        <w:rPr>
          <w:color w:val="auto"/>
          <w:sz w:val="22"/>
        </w:rPr>
        <w:t xml:space="preserve"> </w:t>
      </w:r>
      <w:r>
        <w:rPr>
          <w:b w:val="0"/>
          <w:color w:val="auto"/>
          <w:sz w:val="22"/>
        </w:rPr>
        <w:t>Lending to Irish Resident Households (%change year-on-year).</w:t>
      </w:r>
      <w:r w:rsidR="00A938BE">
        <w:rPr>
          <w:b w:val="0"/>
          <w:color w:val="auto"/>
          <w:sz w:val="22"/>
        </w:rPr>
        <w:t xml:space="preserve"> Source: Central Bank Ireland</w:t>
      </w:r>
    </w:p>
    <w:p w14:paraId="25F48842" w14:textId="77777777" w:rsidR="000674B8" w:rsidRDefault="000674B8" w:rsidP="00D93BBA">
      <w:pPr>
        <w:jc w:val="both"/>
      </w:pPr>
    </w:p>
    <w:p w14:paraId="311C0C91" w14:textId="1434E2A5" w:rsidR="00D31F47" w:rsidRDefault="008B4227" w:rsidP="00D93BBA">
      <w:pPr>
        <w:jc w:val="both"/>
      </w:pPr>
      <w:r w:rsidRPr="008B4227">
        <w:t>Irish banks had lent huge amounts, much of it to property developers, leaving our banking system exposed when funds could no longer be borrowed from the markets and the risks of non-repayment of the property loans made by the banks became suddenly larger. During the bubble, the balance sheets of Irish domestic banks had grown through property lending to four times Irish GDP, and the scale of the Irish banking crisis was correspondingly larger than in other countries.</w:t>
      </w:r>
      <w:r w:rsidR="00FB3B2D">
        <w:t xml:space="preserve"> The amount in </w:t>
      </w:r>
      <w:r w:rsidR="00FB3B2D">
        <w:lastRenderedPageBreak/>
        <w:t xml:space="preserve">mortgage drawdowns by Irish banks is displayed in </w:t>
      </w:r>
      <w:r w:rsidR="00FB3B2D">
        <w:fldChar w:fldCharType="begin"/>
      </w:r>
      <w:r w:rsidR="00FB3B2D">
        <w:instrText xml:space="preserve"> REF _Ref485280534 \h </w:instrText>
      </w:r>
      <w:r w:rsidR="00FB3B2D">
        <w:fldChar w:fldCharType="separate"/>
      </w:r>
      <w:r w:rsidR="004C3E31" w:rsidRPr="009C5686">
        <w:rPr>
          <w:color w:val="000000" w:themeColor="text1"/>
        </w:rPr>
        <w:t xml:space="preserve">Figure </w:t>
      </w:r>
      <w:r w:rsidR="004C3E31">
        <w:rPr>
          <w:noProof/>
          <w:color w:val="000000" w:themeColor="text1"/>
        </w:rPr>
        <w:t>6</w:t>
      </w:r>
      <w:r w:rsidR="00FB3B2D">
        <w:fldChar w:fldCharType="end"/>
      </w:r>
      <w:r w:rsidR="00FB3B2D">
        <w:t>.</w:t>
      </w:r>
      <w:r w:rsidR="00A741E0">
        <w:t xml:space="preserve"> A historical series </w:t>
      </w:r>
      <w:r w:rsidR="00A741E0" w:rsidRPr="00334A6A">
        <w:t xml:space="preserve">of </w:t>
      </w:r>
      <w:r w:rsidR="00334A6A">
        <w:t>h</w:t>
      </w:r>
      <w:r w:rsidR="00A741E0" w:rsidRPr="00334A6A">
        <w:t>ousing completion and loan approvals</w:t>
      </w:r>
      <w:r w:rsidR="00334A6A">
        <w:t xml:space="preserve"> is displayed in </w:t>
      </w:r>
      <w:r w:rsidR="00334A6A">
        <w:fldChar w:fldCharType="begin"/>
      </w:r>
      <w:r w:rsidR="00334A6A">
        <w:instrText xml:space="preserve"> REF _Ref485290419 \h </w:instrText>
      </w:r>
      <w:r w:rsidR="00334A6A">
        <w:fldChar w:fldCharType="separate"/>
      </w:r>
      <w:r w:rsidR="004C3E31">
        <w:t xml:space="preserve">Figure </w:t>
      </w:r>
      <w:r w:rsidR="004C3E31">
        <w:rPr>
          <w:noProof/>
        </w:rPr>
        <w:t>7</w:t>
      </w:r>
      <w:r w:rsidR="00334A6A">
        <w:fldChar w:fldCharType="end"/>
      </w:r>
      <w:r w:rsidR="00334A6A">
        <w:t>.</w:t>
      </w:r>
    </w:p>
    <w:p w14:paraId="1C1AE02F" w14:textId="77777777" w:rsidR="00FB3B2D" w:rsidRDefault="00FB3B2D" w:rsidP="00FB3B2D">
      <w:r>
        <w:rPr>
          <w:noProof/>
          <w:lang w:eastAsia="en-GB"/>
        </w:rPr>
        <w:drawing>
          <wp:inline distT="0" distB="0" distL="0" distR="0" wp14:anchorId="2AAA9A58" wp14:editId="6DEFF955">
            <wp:extent cx="5731510" cy="3850858"/>
            <wp:effectExtent l="0" t="0" r="2540" b="0"/>
            <wp:docPr id="16" name="Picture 16" descr="[Mortgage%2520L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rtgage%2520Lend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50858"/>
                    </a:xfrm>
                    <a:prstGeom prst="rect">
                      <a:avLst/>
                    </a:prstGeom>
                    <a:noFill/>
                    <a:ln>
                      <a:noFill/>
                    </a:ln>
                  </pic:spPr>
                </pic:pic>
              </a:graphicData>
            </a:graphic>
          </wp:inline>
        </w:drawing>
      </w:r>
    </w:p>
    <w:p w14:paraId="4E1725D1" w14:textId="289F564E" w:rsidR="00FB3B2D" w:rsidRDefault="00FB3B2D" w:rsidP="00A741E0">
      <w:pPr>
        <w:pStyle w:val="Caption"/>
        <w:spacing w:before="120"/>
        <w:jc w:val="center"/>
        <w:rPr>
          <w:b w:val="0"/>
          <w:color w:val="000000" w:themeColor="text1"/>
          <w:sz w:val="22"/>
        </w:rPr>
      </w:pPr>
      <w:bookmarkStart w:id="5" w:name="_Ref485280534"/>
      <w:r w:rsidRPr="009C5686">
        <w:rPr>
          <w:color w:val="000000" w:themeColor="text1"/>
          <w:sz w:val="22"/>
        </w:rPr>
        <w:t xml:space="preserve">Figure </w:t>
      </w:r>
      <w:r w:rsidRPr="009C5686">
        <w:rPr>
          <w:color w:val="000000" w:themeColor="text1"/>
          <w:sz w:val="22"/>
        </w:rPr>
        <w:fldChar w:fldCharType="begin"/>
      </w:r>
      <w:r w:rsidRPr="009C5686">
        <w:rPr>
          <w:color w:val="000000" w:themeColor="text1"/>
          <w:sz w:val="22"/>
        </w:rPr>
        <w:instrText xml:space="preserve"> SEQ Figure \* ARABIC </w:instrText>
      </w:r>
      <w:r w:rsidRPr="009C5686">
        <w:rPr>
          <w:color w:val="000000" w:themeColor="text1"/>
          <w:sz w:val="22"/>
        </w:rPr>
        <w:fldChar w:fldCharType="separate"/>
      </w:r>
      <w:r w:rsidR="004C3E31">
        <w:rPr>
          <w:noProof/>
          <w:color w:val="000000" w:themeColor="text1"/>
          <w:sz w:val="22"/>
        </w:rPr>
        <w:t>6</w:t>
      </w:r>
      <w:r w:rsidRPr="009C5686">
        <w:rPr>
          <w:color w:val="000000" w:themeColor="text1"/>
          <w:sz w:val="22"/>
        </w:rPr>
        <w:fldChar w:fldCharType="end"/>
      </w:r>
      <w:bookmarkEnd w:id="5"/>
      <w:r>
        <w:rPr>
          <w:b w:val="0"/>
          <w:color w:val="000000" w:themeColor="text1"/>
          <w:sz w:val="22"/>
        </w:rPr>
        <w:t xml:space="preserve"> Reduction in the number of mortgage drawdowns by quarter</w:t>
      </w:r>
    </w:p>
    <w:p w14:paraId="6912AC59" w14:textId="77777777" w:rsidR="00D31F47" w:rsidRDefault="00D31F47" w:rsidP="00D31F47">
      <w:pPr>
        <w:rPr>
          <w:noProof/>
          <w:lang w:eastAsia="en-GB"/>
        </w:rPr>
      </w:pPr>
    </w:p>
    <w:p w14:paraId="0C6AC1FB" w14:textId="77777777" w:rsidR="000674B8" w:rsidRDefault="000674B8" w:rsidP="00D31F47">
      <w:pPr>
        <w:rPr>
          <w:noProof/>
          <w:lang w:eastAsia="en-GB"/>
        </w:rPr>
      </w:pPr>
    </w:p>
    <w:p w14:paraId="76A06005" w14:textId="77777777" w:rsidR="000674B8" w:rsidRDefault="000674B8" w:rsidP="000674B8">
      <w:pPr>
        <w:keepNext/>
        <w:jc w:val="center"/>
      </w:pPr>
      <w:r>
        <w:rPr>
          <w:noProof/>
          <w:lang w:eastAsia="en-GB"/>
        </w:rPr>
        <w:drawing>
          <wp:inline distT="0" distB="0" distL="0" distR="0" wp14:anchorId="2A3D2A24" wp14:editId="07866F17">
            <wp:extent cx="5200650" cy="346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a:noFill/>
                    </a:ln>
                  </pic:spPr>
                </pic:pic>
              </a:graphicData>
            </a:graphic>
          </wp:inline>
        </w:drawing>
      </w:r>
    </w:p>
    <w:p w14:paraId="0190959C" w14:textId="25D5A0AA" w:rsidR="000674B8" w:rsidRDefault="000674B8" w:rsidP="000674B8">
      <w:pPr>
        <w:pStyle w:val="Caption"/>
        <w:spacing w:before="120"/>
        <w:jc w:val="center"/>
        <w:rPr>
          <w:b w:val="0"/>
          <w:color w:val="auto"/>
          <w:sz w:val="22"/>
        </w:rPr>
      </w:pPr>
      <w:bookmarkStart w:id="6" w:name="_Ref485290419"/>
      <w:r>
        <w:rPr>
          <w:color w:val="auto"/>
          <w:sz w:val="22"/>
        </w:rPr>
        <w:t xml:space="preserve">Figure </w:t>
      </w:r>
      <w:r>
        <w:rPr>
          <w:color w:val="auto"/>
          <w:sz w:val="22"/>
        </w:rPr>
        <w:fldChar w:fldCharType="begin"/>
      </w:r>
      <w:r>
        <w:rPr>
          <w:color w:val="auto"/>
          <w:sz w:val="22"/>
        </w:rPr>
        <w:instrText xml:space="preserve"> SEQ Figure \* ARABIC </w:instrText>
      </w:r>
      <w:r>
        <w:rPr>
          <w:color w:val="auto"/>
          <w:sz w:val="22"/>
        </w:rPr>
        <w:fldChar w:fldCharType="separate"/>
      </w:r>
      <w:r w:rsidR="004C3E31">
        <w:rPr>
          <w:noProof/>
          <w:color w:val="auto"/>
          <w:sz w:val="22"/>
        </w:rPr>
        <w:t>7</w:t>
      </w:r>
      <w:r>
        <w:rPr>
          <w:color w:val="auto"/>
          <w:sz w:val="22"/>
        </w:rPr>
        <w:fldChar w:fldCharType="end"/>
      </w:r>
      <w:bookmarkEnd w:id="6"/>
      <w:r>
        <w:rPr>
          <w:color w:val="auto"/>
          <w:sz w:val="22"/>
        </w:rPr>
        <w:t xml:space="preserve"> </w:t>
      </w:r>
      <w:r>
        <w:rPr>
          <w:b w:val="0"/>
          <w:color w:val="auto"/>
          <w:sz w:val="22"/>
        </w:rPr>
        <w:t>Housing completion and loan approvals</w:t>
      </w:r>
      <w:r w:rsidR="00135722">
        <w:rPr>
          <w:b w:val="0"/>
          <w:color w:val="auto"/>
          <w:sz w:val="22"/>
        </w:rPr>
        <w:t xml:space="preserve"> 1980 - 2016</w:t>
      </w:r>
      <w:r>
        <w:rPr>
          <w:b w:val="0"/>
          <w:color w:val="auto"/>
          <w:sz w:val="22"/>
        </w:rPr>
        <w:t>. Source: Dept. of Housing, Planning, Community, and Local Government.</w:t>
      </w:r>
    </w:p>
    <w:p w14:paraId="22C82377" w14:textId="77777777" w:rsidR="000674B8" w:rsidRDefault="000674B8" w:rsidP="00D31F47">
      <w:pPr>
        <w:rPr>
          <w:noProof/>
          <w:lang w:eastAsia="en-GB"/>
        </w:rPr>
      </w:pPr>
    </w:p>
    <w:p w14:paraId="730562FF" w14:textId="77777777" w:rsidR="000674B8" w:rsidRDefault="000674B8" w:rsidP="00D31F47">
      <w:pPr>
        <w:rPr>
          <w:noProof/>
          <w:lang w:eastAsia="en-GB"/>
        </w:rPr>
      </w:pPr>
    </w:p>
    <w:p w14:paraId="30B3C304" w14:textId="5EE65ED1" w:rsidR="00DE05D7" w:rsidRDefault="008B4227" w:rsidP="00D93BBA">
      <w:pPr>
        <w:jc w:val="both"/>
      </w:pPr>
      <w:r w:rsidRPr="008B4227">
        <w:t>T</w:t>
      </w:r>
      <w:r w:rsidR="00FB3B2D">
        <w:t>o</w:t>
      </w:r>
      <w:r w:rsidRPr="008B4227">
        <w:t xml:space="preserve"> prevent a run on the banks and protected the savings of ordinary citizens</w:t>
      </w:r>
      <w:r w:rsidR="00FB3B2D">
        <w:t xml:space="preserve"> </w:t>
      </w:r>
      <w:r w:rsidR="00DE05D7">
        <w:t xml:space="preserve">governments allocated funds </w:t>
      </w:r>
      <w:r w:rsidR="00FB3B2D">
        <w:t xml:space="preserve">to </w:t>
      </w:r>
      <w:r w:rsidR="00DE05D7">
        <w:t xml:space="preserve">safeguard </w:t>
      </w:r>
      <w:r w:rsidR="00FB3B2D">
        <w:t xml:space="preserve">the </w:t>
      </w:r>
      <w:r w:rsidR="00DE05D7">
        <w:t xml:space="preserve">liquidity of the </w:t>
      </w:r>
      <w:r w:rsidR="00FB3B2D">
        <w:t xml:space="preserve">banks. These funds </w:t>
      </w:r>
      <w:r w:rsidRPr="008B4227">
        <w:t>had to be borrowed and by late 2009 the most exposed Eurozone Member States, including Ireland, began to have problems servicing the debt</w:t>
      </w:r>
      <w:r w:rsidR="00DE05D7">
        <w:t xml:space="preserve">, as per </w:t>
      </w:r>
      <w:r w:rsidR="00DE05D7">
        <w:fldChar w:fldCharType="begin"/>
      </w:r>
      <w:r w:rsidR="00DE05D7">
        <w:instrText xml:space="preserve"> REF _Ref485284823 \h </w:instrText>
      </w:r>
      <w:r w:rsidR="00DE05D7">
        <w:fldChar w:fldCharType="separate"/>
      </w:r>
      <w:r w:rsidR="004C3E31" w:rsidRPr="00607F11">
        <w:t xml:space="preserve">Figure </w:t>
      </w:r>
      <w:r w:rsidR="004C3E31">
        <w:rPr>
          <w:noProof/>
        </w:rPr>
        <w:t>8</w:t>
      </w:r>
      <w:r w:rsidR="00DE05D7">
        <w:fldChar w:fldCharType="end"/>
      </w:r>
      <w:r w:rsidRPr="008B4227">
        <w:t>.</w:t>
      </w:r>
    </w:p>
    <w:p w14:paraId="7B4D41BF" w14:textId="77777777" w:rsidR="00DE05D7" w:rsidRDefault="00DE05D7" w:rsidP="00DE05D7">
      <w:pPr>
        <w:keepNext/>
        <w:jc w:val="center"/>
      </w:pPr>
      <w:r>
        <w:rPr>
          <w:noProof/>
          <w:lang w:eastAsia="en-GB"/>
        </w:rPr>
        <w:drawing>
          <wp:inline distT="0" distB="0" distL="0" distR="0" wp14:anchorId="4B6067D2" wp14:editId="4C7BD268">
            <wp:extent cx="6010001" cy="3810000"/>
            <wp:effectExtent l="0" t="0" r="0" b="0"/>
            <wp:docPr id="31" name="Picture 31" descr="fredgraphI9ZNXZ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graphI9ZNXZV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2990" cy="3811895"/>
                    </a:xfrm>
                    <a:prstGeom prst="rect">
                      <a:avLst/>
                    </a:prstGeom>
                    <a:noFill/>
                    <a:ln>
                      <a:noFill/>
                    </a:ln>
                  </pic:spPr>
                </pic:pic>
              </a:graphicData>
            </a:graphic>
          </wp:inline>
        </w:drawing>
      </w:r>
    </w:p>
    <w:p w14:paraId="5DE03FA9" w14:textId="6F41B1F2" w:rsidR="00DE05D7" w:rsidRDefault="00DE05D7" w:rsidP="00DE05D7">
      <w:pPr>
        <w:pStyle w:val="Caption"/>
        <w:spacing w:before="120" w:after="120"/>
        <w:jc w:val="center"/>
        <w:rPr>
          <w:b w:val="0"/>
          <w:color w:val="auto"/>
          <w:sz w:val="22"/>
        </w:rPr>
      </w:pPr>
      <w:bookmarkStart w:id="7" w:name="_Ref485284823"/>
      <w:r w:rsidRPr="00607F11">
        <w:rPr>
          <w:color w:val="auto"/>
          <w:sz w:val="22"/>
        </w:rPr>
        <w:t xml:space="preserve">Figure </w:t>
      </w:r>
      <w:r w:rsidRPr="00607F11">
        <w:rPr>
          <w:color w:val="auto"/>
          <w:sz w:val="22"/>
        </w:rPr>
        <w:fldChar w:fldCharType="begin"/>
      </w:r>
      <w:r w:rsidRPr="00607F11">
        <w:rPr>
          <w:color w:val="auto"/>
          <w:sz w:val="22"/>
        </w:rPr>
        <w:instrText xml:space="preserve"> SEQ Figure \* ARABIC </w:instrText>
      </w:r>
      <w:r w:rsidRPr="00607F11">
        <w:rPr>
          <w:color w:val="auto"/>
          <w:sz w:val="22"/>
        </w:rPr>
        <w:fldChar w:fldCharType="separate"/>
      </w:r>
      <w:r w:rsidR="004C3E31">
        <w:rPr>
          <w:noProof/>
          <w:color w:val="auto"/>
          <w:sz w:val="22"/>
        </w:rPr>
        <w:t>8</w:t>
      </w:r>
      <w:r w:rsidRPr="00607F11">
        <w:rPr>
          <w:color w:val="auto"/>
          <w:sz w:val="22"/>
        </w:rPr>
        <w:fldChar w:fldCharType="end"/>
      </w:r>
      <w:bookmarkEnd w:id="7"/>
      <w:r>
        <w:rPr>
          <w:b w:val="0"/>
          <w:color w:val="auto"/>
          <w:sz w:val="22"/>
        </w:rPr>
        <w:t xml:space="preserve"> Ten year Long Term Government Bond yield curves</w:t>
      </w:r>
      <w:r w:rsidR="00514894">
        <w:rPr>
          <w:b w:val="0"/>
          <w:color w:val="auto"/>
          <w:sz w:val="22"/>
        </w:rPr>
        <w:t>. Source: St. Louis Federal Reserve.</w:t>
      </w:r>
    </w:p>
    <w:p w14:paraId="7EF71939" w14:textId="3E567092" w:rsidR="008B4227" w:rsidRDefault="00FB3B2D" w:rsidP="008B4227">
      <w:pPr>
        <w:jc w:val="both"/>
      </w:pPr>
      <w:r>
        <w:t xml:space="preserve">The banking crises in </w:t>
      </w:r>
      <w:r w:rsidR="008B4227">
        <w:t>Europe had</w:t>
      </w:r>
      <w:r>
        <w:t xml:space="preserve"> now become</w:t>
      </w:r>
      <w:r w:rsidR="008B4227">
        <w:t xml:space="preserve"> a sovereign financial crisis and banks reduced their lending to businesses and private households, leading to unemployment and hardship</w:t>
      </w:r>
      <w:r w:rsidR="00322945">
        <w:t xml:space="preserve"> (see </w:t>
      </w:r>
      <w:r w:rsidR="00FC1E6A">
        <w:fldChar w:fldCharType="begin"/>
      </w:r>
      <w:r w:rsidR="00FC1E6A">
        <w:instrText xml:space="preserve"> REF _Ref485287832 \h </w:instrText>
      </w:r>
      <w:r w:rsidR="00FC1E6A">
        <w:fldChar w:fldCharType="separate"/>
      </w:r>
      <w:r w:rsidR="004C3E31" w:rsidRPr="00322945">
        <w:t xml:space="preserve">Figure </w:t>
      </w:r>
      <w:r w:rsidR="004C3E31">
        <w:rPr>
          <w:noProof/>
        </w:rPr>
        <w:t>9</w:t>
      </w:r>
      <w:r w:rsidR="00FC1E6A">
        <w:fldChar w:fldCharType="end"/>
      </w:r>
      <w:r w:rsidR="00FC1E6A">
        <w:t>)</w:t>
      </w:r>
      <w:r w:rsidR="008B4227">
        <w:t>.</w:t>
      </w:r>
    </w:p>
    <w:p w14:paraId="688F8FF3" w14:textId="77777777" w:rsidR="00322945" w:rsidRDefault="00DE05D7" w:rsidP="00C6591E">
      <w:pPr>
        <w:keepNext/>
        <w:jc w:val="center"/>
      </w:pPr>
      <w:r>
        <w:rPr>
          <w:noProof/>
          <w:lang w:eastAsia="en-GB"/>
        </w:rPr>
        <w:lastRenderedPageBreak/>
        <w:drawing>
          <wp:inline distT="0" distB="0" distL="0" distR="0" wp14:anchorId="4543C7EE" wp14:editId="5459E1BB">
            <wp:extent cx="5038725" cy="347711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654" cy="3481202"/>
                    </a:xfrm>
                    <a:prstGeom prst="rect">
                      <a:avLst/>
                    </a:prstGeom>
                    <a:noFill/>
                  </pic:spPr>
                </pic:pic>
              </a:graphicData>
            </a:graphic>
          </wp:inline>
        </w:drawing>
      </w:r>
    </w:p>
    <w:p w14:paraId="66923B03" w14:textId="3669B808" w:rsidR="00FB3B2D" w:rsidRDefault="00322945" w:rsidP="00322945">
      <w:pPr>
        <w:pStyle w:val="Caption"/>
        <w:jc w:val="center"/>
        <w:rPr>
          <w:b w:val="0"/>
          <w:color w:val="auto"/>
          <w:sz w:val="22"/>
        </w:rPr>
      </w:pPr>
      <w:bookmarkStart w:id="8" w:name="_Ref485287832"/>
      <w:r w:rsidRPr="00322945">
        <w:rPr>
          <w:color w:val="auto"/>
          <w:sz w:val="22"/>
        </w:rPr>
        <w:t xml:space="preserve">Figure </w:t>
      </w:r>
      <w:r w:rsidRPr="00322945">
        <w:rPr>
          <w:color w:val="auto"/>
          <w:sz w:val="22"/>
        </w:rPr>
        <w:fldChar w:fldCharType="begin"/>
      </w:r>
      <w:r w:rsidRPr="00322945">
        <w:rPr>
          <w:color w:val="auto"/>
          <w:sz w:val="22"/>
        </w:rPr>
        <w:instrText xml:space="preserve"> SEQ Figure \* ARABIC </w:instrText>
      </w:r>
      <w:r w:rsidRPr="00322945">
        <w:rPr>
          <w:color w:val="auto"/>
          <w:sz w:val="22"/>
        </w:rPr>
        <w:fldChar w:fldCharType="separate"/>
      </w:r>
      <w:r w:rsidR="004C3E31">
        <w:rPr>
          <w:noProof/>
          <w:color w:val="auto"/>
          <w:sz w:val="22"/>
        </w:rPr>
        <w:t>9</w:t>
      </w:r>
      <w:r w:rsidRPr="00322945">
        <w:rPr>
          <w:color w:val="auto"/>
          <w:sz w:val="22"/>
        </w:rPr>
        <w:fldChar w:fldCharType="end"/>
      </w:r>
      <w:bookmarkEnd w:id="8"/>
      <w:r w:rsidRPr="00322945">
        <w:rPr>
          <w:color w:val="auto"/>
          <w:sz w:val="22"/>
        </w:rPr>
        <w:t xml:space="preserve"> </w:t>
      </w:r>
      <w:r w:rsidRPr="00322945">
        <w:rPr>
          <w:b w:val="0"/>
          <w:color w:val="auto"/>
          <w:sz w:val="22"/>
        </w:rPr>
        <w:t>Unemployment rate (RHS) and numbers in employment (LHS).</w:t>
      </w:r>
    </w:p>
    <w:p w14:paraId="12EEC4D9" w14:textId="77777777" w:rsidR="00514894" w:rsidRDefault="00514894" w:rsidP="00514894"/>
    <w:p w14:paraId="6D027BBE" w14:textId="75DA730F" w:rsidR="008B4227" w:rsidRDefault="00460C8F" w:rsidP="008B4227">
      <w:pPr>
        <w:jc w:val="both"/>
      </w:pPr>
      <w:r>
        <w:t xml:space="preserve">When the numbers in employment is </w:t>
      </w:r>
      <w:r w:rsidR="00FC1E6A">
        <w:t xml:space="preserve">indexed to and </w:t>
      </w:r>
      <w:r>
        <w:t xml:space="preserve">re-based </w:t>
      </w:r>
      <w:r w:rsidR="00FC1E6A">
        <w:t>at the peak value</w:t>
      </w:r>
      <w:r>
        <w:t xml:space="preserve"> the scale of the financial crisis on Irish employment is highlighted, particularly when compared with Ireland’s main trading partners</w:t>
      </w:r>
      <w:r w:rsidR="00B648A7">
        <w:t xml:space="preserve"> (see </w:t>
      </w:r>
      <w:r w:rsidR="00B648A7">
        <w:fldChar w:fldCharType="begin"/>
      </w:r>
      <w:r w:rsidR="00B648A7">
        <w:instrText xml:space="preserve"> REF _Ref485287381 \h </w:instrText>
      </w:r>
      <w:r w:rsidR="00B648A7">
        <w:fldChar w:fldCharType="separate"/>
      </w:r>
      <w:r w:rsidR="004C3E31" w:rsidRPr="00460C8F">
        <w:t xml:space="preserve">Figure </w:t>
      </w:r>
      <w:r w:rsidR="004C3E31">
        <w:rPr>
          <w:noProof/>
        </w:rPr>
        <w:t>10</w:t>
      </w:r>
      <w:r w:rsidR="00B648A7">
        <w:fldChar w:fldCharType="end"/>
      </w:r>
      <w:r w:rsidR="00B648A7">
        <w:t>)</w:t>
      </w:r>
      <w:r>
        <w:t xml:space="preserve">. </w:t>
      </w:r>
    </w:p>
    <w:p w14:paraId="135209BC" w14:textId="77777777" w:rsidR="00460C8F" w:rsidRDefault="00460C8F" w:rsidP="00460C8F">
      <w:pPr>
        <w:keepNext/>
        <w:jc w:val="center"/>
      </w:pPr>
      <w:r>
        <w:rPr>
          <w:noProof/>
          <w:lang w:eastAsia="en-GB"/>
        </w:rPr>
        <w:lastRenderedPageBreak/>
        <w:drawing>
          <wp:inline distT="0" distB="0" distL="0" distR="0" wp14:anchorId="1735AED5" wp14:editId="0180EA70">
            <wp:extent cx="4076700" cy="41022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ase_unemployment.png"/>
                    <pic:cNvPicPr/>
                  </pic:nvPicPr>
                  <pic:blipFill>
                    <a:blip r:embed="rId17">
                      <a:extLst>
                        <a:ext uri="{28A0092B-C50C-407E-A947-70E740481C1C}">
                          <a14:useLocalDpi xmlns:a14="http://schemas.microsoft.com/office/drawing/2010/main" val="0"/>
                        </a:ext>
                      </a:extLst>
                    </a:blip>
                    <a:stretch>
                      <a:fillRect/>
                    </a:stretch>
                  </pic:blipFill>
                  <pic:spPr>
                    <a:xfrm>
                      <a:off x="0" y="0"/>
                      <a:ext cx="4077269" cy="4102859"/>
                    </a:xfrm>
                    <a:prstGeom prst="rect">
                      <a:avLst/>
                    </a:prstGeom>
                  </pic:spPr>
                </pic:pic>
              </a:graphicData>
            </a:graphic>
          </wp:inline>
        </w:drawing>
      </w:r>
    </w:p>
    <w:p w14:paraId="4D4C1F61" w14:textId="11AE91CF" w:rsidR="00460C8F" w:rsidRPr="00460C8F" w:rsidRDefault="00460C8F" w:rsidP="00460C8F">
      <w:pPr>
        <w:pStyle w:val="Caption"/>
        <w:spacing w:before="120"/>
        <w:jc w:val="center"/>
        <w:rPr>
          <w:color w:val="auto"/>
          <w:sz w:val="22"/>
        </w:rPr>
      </w:pPr>
      <w:bookmarkStart w:id="9" w:name="_Ref485287381"/>
      <w:r w:rsidRPr="00460C8F">
        <w:rPr>
          <w:color w:val="auto"/>
          <w:sz w:val="22"/>
        </w:rPr>
        <w:t xml:space="preserve">Figure </w:t>
      </w:r>
      <w:r w:rsidRPr="00460C8F">
        <w:rPr>
          <w:color w:val="auto"/>
          <w:sz w:val="22"/>
        </w:rPr>
        <w:fldChar w:fldCharType="begin"/>
      </w:r>
      <w:r w:rsidRPr="00460C8F">
        <w:rPr>
          <w:color w:val="auto"/>
          <w:sz w:val="22"/>
        </w:rPr>
        <w:instrText xml:space="preserve"> SEQ Figure \* ARABIC </w:instrText>
      </w:r>
      <w:r w:rsidRPr="00460C8F">
        <w:rPr>
          <w:color w:val="auto"/>
          <w:sz w:val="22"/>
        </w:rPr>
        <w:fldChar w:fldCharType="separate"/>
      </w:r>
      <w:r w:rsidR="004C3E31">
        <w:rPr>
          <w:noProof/>
          <w:color w:val="auto"/>
          <w:sz w:val="22"/>
        </w:rPr>
        <w:t>10</w:t>
      </w:r>
      <w:r w:rsidRPr="00460C8F">
        <w:rPr>
          <w:color w:val="auto"/>
          <w:sz w:val="22"/>
        </w:rPr>
        <w:fldChar w:fldCharType="end"/>
      </w:r>
      <w:bookmarkEnd w:id="9"/>
      <w:r w:rsidRPr="00460C8F">
        <w:rPr>
          <w:color w:val="auto"/>
          <w:sz w:val="22"/>
        </w:rPr>
        <w:t xml:space="preserve"> </w:t>
      </w:r>
      <w:r w:rsidRPr="00460C8F">
        <w:rPr>
          <w:b w:val="0"/>
          <w:color w:val="auto"/>
          <w:sz w:val="22"/>
        </w:rPr>
        <w:t xml:space="preserve">Rebasing and indexing of employment numbers for Ireland, EU, USA and UK. </w:t>
      </w:r>
      <w:r>
        <w:rPr>
          <w:b w:val="0"/>
          <w:color w:val="auto"/>
          <w:sz w:val="22"/>
        </w:rPr>
        <w:t xml:space="preserve">Figures are </w:t>
      </w:r>
      <w:r w:rsidRPr="00460C8F">
        <w:rPr>
          <w:b w:val="0"/>
          <w:color w:val="auto"/>
          <w:sz w:val="22"/>
        </w:rPr>
        <w:t>seasonally adjusted</w:t>
      </w:r>
      <w:r w:rsidR="00FC1E6A">
        <w:rPr>
          <w:b w:val="0"/>
          <w:color w:val="auto"/>
          <w:sz w:val="22"/>
        </w:rPr>
        <w:t xml:space="preserve"> and re-based to the cycle peak</w:t>
      </w:r>
      <w:r w:rsidRPr="00460C8F">
        <w:rPr>
          <w:b w:val="0"/>
          <w:color w:val="auto"/>
          <w:sz w:val="22"/>
        </w:rPr>
        <w:t>.</w:t>
      </w:r>
    </w:p>
    <w:p w14:paraId="7C5C9AE9" w14:textId="77777777" w:rsidR="00460C8F" w:rsidRPr="00460C8F" w:rsidRDefault="00460C8F" w:rsidP="00460C8F"/>
    <w:p w14:paraId="07AFD236" w14:textId="77777777" w:rsidR="008B4227" w:rsidRDefault="008B4227" w:rsidP="008B4227">
      <w:pPr>
        <w:jc w:val="both"/>
      </w:pPr>
      <w:r>
        <w:t>In Ireland the sovereign debt was compounded by a blanket bank guarantee given by the State to alleviate fears of mass deposit withdrawals and collapse.</w:t>
      </w:r>
      <w:r w:rsidR="00BF67AF">
        <w:t xml:space="preserve"> </w:t>
      </w:r>
      <w:r w:rsidR="00460C8F">
        <w:t xml:space="preserve">To date, the cost of the blanket guarantee is </w:t>
      </w:r>
      <w:r w:rsidR="00BF67AF">
        <w:t>€41 billion</w:t>
      </w:r>
      <w:r w:rsidR="00460C8F">
        <w:t xml:space="preserve"> (note: this is</w:t>
      </w:r>
      <w:r w:rsidR="00BF67AF">
        <w:t xml:space="preserve"> exclusive of the billions put into the covered banks from the National Pension Reserve Fund</w:t>
      </w:r>
      <w:r w:rsidR="00460C8F">
        <w:t>).</w:t>
      </w:r>
      <w:r w:rsidR="00BF67AF">
        <w:t xml:space="preserve"> </w:t>
      </w:r>
    </w:p>
    <w:p w14:paraId="7F2014F1" w14:textId="77777777" w:rsidR="008B4227" w:rsidRDefault="008B4227" w:rsidP="008B4227">
      <w:pPr>
        <w:jc w:val="both"/>
      </w:pPr>
    </w:p>
    <w:p w14:paraId="0CD04BA7" w14:textId="1223E16D" w:rsidR="008B4227" w:rsidRDefault="008B4227" w:rsidP="008B4227">
      <w:pPr>
        <w:jc w:val="both"/>
      </w:pPr>
      <w:r>
        <w:t>In addition, the Irish State had become heavily dependent on property taxes, which had disappeared with the bursting of the property bubble</w:t>
      </w:r>
      <w:r w:rsidR="00460C8F">
        <w:t xml:space="preserve">, as per </w:t>
      </w:r>
      <w:r w:rsidR="00FC1E6A">
        <w:fldChar w:fldCharType="begin"/>
      </w:r>
      <w:r w:rsidR="00FC1E6A">
        <w:instrText xml:space="preserve"> REF _Ref485287893 \h </w:instrText>
      </w:r>
      <w:r w:rsidR="00FC1E6A">
        <w:fldChar w:fldCharType="separate"/>
      </w:r>
      <w:r w:rsidR="004C3E31" w:rsidRPr="00FC1E6A">
        <w:t xml:space="preserve">Figure </w:t>
      </w:r>
      <w:r w:rsidR="004C3E31">
        <w:rPr>
          <w:noProof/>
        </w:rPr>
        <w:t>11</w:t>
      </w:r>
      <w:r w:rsidR="00FC1E6A">
        <w:fldChar w:fldCharType="end"/>
      </w:r>
      <w:r w:rsidR="00FC1E6A">
        <w:t xml:space="preserve"> and </w:t>
      </w:r>
      <w:r w:rsidR="00460C8F">
        <w:fldChar w:fldCharType="begin"/>
      </w:r>
      <w:r w:rsidR="00460C8F">
        <w:instrText xml:space="preserve"> REF _Ref485286892 \h </w:instrText>
      </w:r>
      <w:r w:rsidR="00460C8F">
        <w:fldChar w:fldCharType="separate"/>
      </w:r>
      <w:r w:rsidR="004C3E31" w:rsidRPr="00091BB0">
        <w:t xml:space="preserve">Figure </w:t>
      </w:r>
      <w:r w:rsidR="004C3E31">
        <w:rPr>
          <w:noProof/>
        </w:rPr>
        <w:t>12</w:t>
      </w:r>
      <w:r w:rsidR="00460C8F">
        <w:fldChar w:fldCharType="end"/>
      </w:r>
      <w:r>
        <w:t>.</w:t>
      </w:r>
      <w:r w:rsidR="00460C8F">
        <w:t xml:space="preserve"> </w:t>
      </w:r>
      <w:r>
        <w:t>The increasing deficits and spiralling debt meant the financial markets lost confidence in the country’s ability to pay back what was owed, making it difficult for the State to borrow money at sustainable rates.</w:t>
      </w:r>
    </w:p>
    <w:p w14:paraId="2DF300F0" w14:textId="77777777" w:rsidR="00460C8F" w:rsidRDefault="00460C8F" w:rsidP="008B4227">
      <w:pPr>
        <w:jc w:val="both"/>
      </w:pPr>
    </w:p>
    <w:p w14:paraId="5E77C4A9" w14:textId="77777777" w:rsidR="00FC1E6A" w:rsidRDefault="00FC1E6A" w:rsidP="00FC1E6A">
      <w:pPr>
        <w:keepNext/>
        <w:jc w:val="center"/>
      </w:pPr>
      <w:r>
        <w:rPr>
          <w:noProof/>
          <w:lang w:eastAsia="en-GB"/>
        </w:rPr>
        <w:lastRenderedPageBreak/>
        <w:drawing>
          <wp:inline distT="0" distB="0" distL="0" distR="0" wp14:anchorId="49AE81FC" wp14:editId="46BD7C56">
            <wp:extent cx="3952875" cy="396111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ase_hpi.png"/>
                    <pic:cNvPicPr/>
                  </pic:nvPicPr>
                  <pic:blipFill>
                    <a:blip r:embed="rId18">
                      <a:extLst>
                        <a:ext uri="{28A0092B-C50C-407E-A947-70E740481C1C}">
                          <a14:useLocalDpi xmlns:a14="http://schemas.microsoft.com/office/drawing/2010/main" val="0"/>
                        </a:ext>
                      </a:extLst>
                    </a:blip>
                    <a:stretch>
                      <a:fillRect/>
                    </a:stretch>
                  </pic:blipFill>
                  <pic:spPr>
                    <a:xfrm>
                      <a:off x="0" y="0"/>
                      <a:ext cx="3953427" cy="3961665"/>
                    </a:xfrm>
                    <a:prstGeom prst="rect">
                      <a:avLst/>
                    </a:prstGeom>
                  </pic:spPr>
                </pic:pic>
              </a:graphicData>
            </a:graphic>
          </wp:inline>
        </w:drawing>
      </w:r>
    </w:p>
    <w:p w14:paraId="33C0808E" w14:textId="57B54612" w:rsidR="00FC1E6A" w:rsidRPr="00FC1E6A" w:rsidRDefault="00FC1E6A" w:rsidP="00FC1E6A">
      <w:pPr>
        <w:pStyle w:val="Caption"/>
        <w:spacing w:before="120"/>
        <w:jc w:val="center"/>
        <w:rPr>
          <w:color w:val="auto"/>
          <w:sz w:val="22"/>
        </w:rPr>
      </w:pPr>
      <w:bookmarkStart w:id="10" w:name="_Ref485287893"/>
      <w:r w:rsidRPr="00FC1E6A">
        <w:rPr>
          <w:color w:val="auto"/>
          <w:sz w:val="22"/>
        </w:rPr>
        <w:t xml:space="preserve">Figure </w:t>
      </w:r>
      <w:r w:rsidRPr="00FC1E6A">
        <w:rPr>
          <w:color w:val="auto"/>
          <w:sz w:val="22"/>
        </w:rPr>
        <w:fldChar w:fldCharType="begin"/>
      </w:r>
      <w:r w:rsidRPr="00FC1E6A">
        <w:rPr>
          <w:color w:val="auto"/>
          <w:sz w:val="22"/>
        </w:rPr>
        <w:instrText xml:space="preserve"> SEQ Figure \* ARABIC </w:instrText>
      </w:r>
      <w:r w:rsidRPr="00FC1E6A">
        <w:rPr>
          <w:color w:val="auto"/>
          <w:sz w:val="22"/>
        </w:rPr>
        <w:fldChar w:fldCharType="separate"/>
      </w:r>
      <w:r w:rsidR="004C3E31">
        <w:rPr>
          <w:noProof/>
          <w:color w:val="auto"/>
          <w:sz w:val="22"/>
        </w:rPr>
        <w:t>11</w:t>
      </w:r>
      <w:r w:rsidRPr="00FC1E6A">
        <w:rPr>
          <w:color w:val="auto"/>
          <w:sz w:val="22"/>
        </w:rPr>
        <w:fldChar w:fldCharType="end"/>
      </w:r>
      <w:bookmarkEnd w:id="10"/>
      <w:r w:rsidRPr="00FC1E6A">
        <w:rPr>
          <w:color w:val="auto"/>
          <w:sz w:val="22"/>
        </w:rPr>
        <w:t xml:space="preserve"> </w:t>
      </w:r>
      <w:r w:rsidRPr="00FC1E6A">
        <w:rPr>
          <w:b w:val="0"/>
          <w:color w:val="auto"/>
          <w:sz w:val="22"/>
        </w:rPr>
        <w:t xml:space="preserve">Rebasing and indexing of </w:t>
      </w:r>
      <w:r>
        <w:rPr>
          <w:b w:val="0"/>
          <w:color w:val="auto"/>
          <w:sz w:val="22"/>
        </w:rPr>
        <w:t xml:space="preserve">the house price index </w:t>
      </w:r>
      <w:r w:rsidRPr="00FC1E6A">
        <w:rPr>
          <w:b w:val="0"/>
          <w:color w:val="auto"/>
          <w:sz w:val="22"/>
        </w:rPr>
        <w:t>for Ireland, EU, USA and UK. Figures are seasonally adjusted and re-based to the cycle peak.</w:t>
      </w:r>
    </w:p>
    <w:p w14:paraId="7B109668" w14:textId="77777777" w:rsidR="00FC1E6A" w:rsidRDefault="00FC1E6A" w:rsidP="00FC1E6A">
      <w:pPr>
        <w:jc w:val="center"/>
      </w:pPr>
    </w:p>
    <w:p w14:paraId="46671748" w14:textId="77777777" w:rsidR="00460C8F" w:rsidRDefault="00460C8F" w:rsidP="00460C8F">
      <w:pPr>
        <w:jc w:val="center"/>
      </w:pPr>
      <w:r w:rsidRPr="000E5FB0">
        <w:rPr>
          <w:noProof/>
          <w:lang w:eastAsia="en-GB"/>
        </w:rPr>
        <w:drawing>
          <wp:inline distT="0" distB="0" distL="0" distR="0" wp14:anchorId="6E57C1BC" wp14:editId="37B048FA">
            <wp:extent cx="4704947" cy="2857500"/>
            <wp:effectExtent l="19050" t="19050" r="1968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4360" cy="2857143"/>
                    </a:xfrm>
                    <a:prstGeom prst="rect">
                      <a:avLst/>
                    </a:prstGeom>
                    <a:ln>
                      <a:solidFill>
                        <a:schemeClr val="tx1"/>
                      </a:solidFill>
                    </a:ln>
                  </pic:spPr>
                </pic:pic>
              </a:graphicData>
            </a:graphic>
          </wp:inline>
        </w:drawing>
      </w:r>
    </w:p>
    <w:p w14:paraId="7BF4F69A" w14:textId="56AECFBA" w:rsidR="00460C8F" w:rsidRDefault="00460C8F" w:rsidP="00460C8F">
      <w:pPr>
        <w:pStyle w:val="Caption"/>
        <w:spacing w:before="120" w:after="120"/>
        <w:jc w:val="center"/>
        <w:rPr>
          <w:b w:val="0"/>
          <w:color w:val="auto"/>
          <w:sz w:val="22"/>
        </w:rPr>
      </w:pPr>
      <w:bookmarkStart w:id="11" w:name="_Ref485286892"/>
      <w:r w:rsidRPr="00091BB0">
        <w:rPr>
          <w:color w:val="auto"/>
          <w:sz w:val="22"/>
        </w:rPr>
        <w:t xml:space="preserve">Figure </w:t>
      </w:r>
      <w:r w:rsidRPr="00091BB0">
        <w:rPr>
          <w:color w:val="auto"/>
          <w:sz w:val="22"/>
        </w:rPr>
        <w:fldChar w:fldCharType="begin"/>
      </w:r>
      <w:r w:rsidRPr="00091BB0">
        <w:rPr>
          <w:color w:val="auto"/>
          <w:sz w:val="22"/>
        </w:rPr>
        <w:instrText xml:space="preserve"> SEQ Figure \* ARABIC </w:instrText>
      </w:r>
      <w:r w:rsidRPr="00091BB0">
        <w:rPr>
          <w:color w:val="auto"/>
          <w:sz w:val="22"/>
        </w:rPr>
        <w:fldChar w:fldCharType="separate"/>
      </w:r>
      <w:r w:rsidR="004C3E31">
        <w:rPr>
          <w:noProof/>
          <w:color w:val="auto"/>
          <w:sz w:val="22"/>
        </w:rPr>
        <w:t>12</w:t>
      </w:r>
      <w:r w:rsidRPr="00091BB0">
        <w:rPr>
          <w:color w:val="auto"/>
          <w:sz w:val="22"/>
        </w:rPr>
        <w:fldChar w:fldCharType="end"/>
      </w:r>
      <w:bookmarkEnd w:id="11"/>
      <w:r>
        <w:rPr>
          <w:b w:val="0"/>
          <w:color w:val="auto"/>
          <w:sz w:val="22"/>
        </w:rPr>
        <w:t xml:space="preserve"> </w:t>
      </w:r>
      <w:r w:rsidRPr="00091BB0">
        <w:rPr>
          <w:b w:val="0"/>
          <w:color w:val="auto"/>
          <w:sz w:val="22"/>
        </w:rPr>
        <w:t>Tax on property is defined as recurrent and non-recurrent taxes on the use, ownership or transfer of property</w:t>
      </w:r>
      <w:r>
        <w:rPr>
          <w:rStyle w:val="FootnoteReference"/>
          <w:b w:val="0"/>
          <w:color w:val="auto"/>
          <w:sz w:val="22"/>
        </w:rPr>
        <w:footnoteReference w:id="3"/>
      </w:r>
    </w:p>
    <w:p w14:paraId="7FA55CCA" w14:textId="77777777" w:rsidR="00460C8F" w:rsidRDefault="00460C8F" w:rsidP="008B4227">
      <w:pPr>
        <w:jc w:val="both"/>
      </w:pPr>
    </w:p>
    <w:p w14:paraId="05E5B27D" w14:textId="77777777" w:rsidR="008B4227" w:rsidRDefault="008B4227" w:rsidP="008B4227">
      <w:pPr>
        <w:jc w:val="both"/>
      </w:pPr>
      <w:r>
        <w:lastRenderedPageBreak/>
        <w:t>The strain finally became too much in 2010 and in November of that year the Irish Government officially requested international financial assistance, a move backed by the ECB and the European Commission.</w:t>
      </w:r>
    </w:p>
    <w:p w14:paraId="57FD17B0" w14:textId="77777777" w:rsidR="00F75377" w:rsidRDefault="00F75377" w:rsidP="008B4227">
      <w:pPr>
        <w:jc w:val="both"/>
      </w:pPr>
    </w:p>
    <w:p w14:paraId="23829035" w14:textId="3D455B51" w:rsidR="008B4227" w:rsidRDefault="00F75377" w:rsidP="008B4227">
      <w:pPr>
        <w:jc w:val="both"/>
      </w:pPr>
      <w:r>
        <w:t xml:space="preserve">Source: </w:t>
      </w:r>
      <w:hyperlink r:id="rId20" w:history="1">
        <w:r w:rsidRPr="00B40382">
          <w:rPr>
            <w:rStyle w:val="Hyperlink"/>
          </w:rPr>
          <w:t>http://ec.europa.eu/ireland/news/key-eu-policy-areas/economy_en</w:t>
        </w:r>
      </w:hyperlink>
    </w:p>
    <w:p w14:paraId="62E30FDA" w14:textId="77777777" w:rsidR="00F75377" w:rsidRDefault="00F75377" w:rsidP="008B4227">
      <w:pPr>
        <w:jc w:val="both"/>
      </w:pPr>
    </w:p>
    <w:p w14:paraId="3BE40CCA" w14:textId="469055BD" w:rsidR="00145B0B" w:rsidRDefault="00145B0B" w:rsidP="00145B0B">
      <w:pPr>
        <w:jc w:val="both"/>
      </w:pPr>
      <w:r>
        <w:t>In summary a t</w:t>
      </w:r>
      <w:r w:rsidR="008B4227">
        <w:t>imeline</w:t>
      </w:r>
      <w:r w:rsidR="007962AE">
        <w:t xml:space="preserve"> of </w:t>
      </w:r>
      <w:r>
        <w:t xml:space="preserve">the significant </w:t>
      </w:r>
      <w:r w:rsidR="007962AE">
        <w:t>macroeconomic events</w:t>
      </w:r>
      <w:r>
        <w:t xml:space="preserve"> described above is displayed in </w:t>
      </w:r>
      <w:r>
        <w:fldChar w:fldCharType="begin"/>
      </w:r>
      <w:r>
        <w:instrText xml:space="preserve"> REF _Ref485288960 \h </w:instrText>
      </w:r>
      <w:r>
        <w:fldChar w:fldCharType="separate"/>
      </w:r>
      <w:r w:rsidR="004C3E31" w:rsidRPr="00145B0B">
        <w:t xml:space="preserve">Table </w:t>
      </w:r>
      <w:r w:rsidR="004C3E31">
        <w:rPr>
          <w:noProof/>
        </w:rPr>
        <w:t>1</w:t>
      </w:r>
      <w:r>
        <w:fldChar w:fldCharType="end"/>
      </w:r>
      <w:r>
        <w:t>.</w:t>
      </w:r>
    </w:p>
    <w:tbl>
      <w:tblPr>
        <w:tblW w:w="5000" w:type="pct"/>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2"/>
        <w:gridCol w:w="7774"/>
      </w:tblGrid>
      <w:tr w:rsidR="008B4227" w:rsidRPr="008B4227" w14:paraId="0865E3F2" w14:textId="77777777" w:rsidTr="00145B0B">
        <w:trPr>
          <w:tblCellSpacing w:w="15" w:type="dxa"/>
          <w:jc w:val="center"/>
        </w:trPr>
        <w:tc>
          <w:tcPr>
            <w:tcW w:w="707" w:type="pct"/>
            <w:shd w:val="clear" w:color="auto" w:fill="auto"/>
            <w:vAlign w:val="center"/>
            <w:hideMark/>
          </w:tcPr>
          <w:p w14:paraId="36CB7F1E" w14:textId="77777777" w:rsidR="008B4227" w:rsidRPr="008B4227" w:rsidRDefault="008B4227" w:rsidP="008B4227">
            <w:r w:rsidRPr="008B4227">
              <w:t>2007</w:t>
            </w:r>
          </w:p>
        </w:tc>
        <w:tc>
          <w:tcPr>
            <w:tcW w:w="4244" w:type="pct"/>
            <w:shd w:val="clear" w:color="auto" w:fill="auto"/>
            <w:vAlign w:val="center"/>
            <w:hideMark/>
          </w:tcPr>
          <w:p w14:paraId="37D884A8" w14:textId="77777777" w:rsidR="008B4227" w:rsidRPr="008B4227" w:rsidRDefault="008B4227" w:rsidP="008B4227">
            <w:r w:rsidRPr="008B4227">
              <w:t>Ireland’s property market reaches its peak.</w:t>
            </w:r>
          </w:p>
        </w:tc>
      </w:tr>
      <w:tr w:rsidR="008B4227" w:rsidRPr="008B4227" w14:paraId="74BE7BE8" w14:textId="77777777" w:rsidTr="00145B0B">
        <w:trPr>
          <w:tblCellSpacing w:w="15" w:type="dxa"/>
          <w:jc w:val="center"/>
        </w:trPr>
        <w:tc>
          <w:tcPr>
            <w:tcW w:w="0" w:type="auto"/>
            <w:shd w:val="clear" w:color="auto" w:fill="auto"/>
            <w:vAlign w:val="center"/>
            <w:hideMark/>
          </w:tcPr>
          <w:p w14:paraId="47E67642" w14:textId="77777777" w:rsidR="008B4227" w:rsidRPr="008B4227" w:rsidRDefault="008B4227" w:rsidP="008B4227">
            <w:r w:rsidRPr="008B4227">
              <w:t>2008</w:t>
            </w:r>
          </w:p>
        </w:tc>
        <w:tc>
          <w:tcPr>
            <w:tcW w:w="0" w:type="auto"/>
            <w:shd w:val="clear" w:color="auto" w:fill="auto"/>
            <w:vAlign w:val="center"/>
            <w:hideMark/>
          </w:tcPr>
          <w:p w14:paraId="6F53966B" w14:textId="77777777" w:rsidR="008B4227" w:rsidRPr="008B4227" w:rsidRDefault="008B4227" w:rsidP="008B4227">
            <w:r w:rsidRPr="008B4227">
              <w:t>Ireland’s property bubble starts to collapse as the country officially enters recession; the first Euro Area Member State to do so. Unemployment starts to rise sharply. Inter-bank lending collapses. The Irish Government acts to protect the country’s banking system and guarantees all deposits to try and prevent a run on Irish banks.</w:t>
            </w:r>
          </w:p>
        </w:tc>
      </w:tr>
      <w:tr w:rsidR="008B4227" w:rsidRPr="008B4227" w14:paraId="213ABC6A" w14:textId="77777777" w:rsidTr="00145B0B">
        <w:trPr>
          <w:tblCellSpacing w:w="15" w:type="dxa"/>
          <w:jc w:val="center"/>
        </w:trPr>
        <w:tc>
          <w:tcPr>
            <w:tcW w:w="0" w:type="auto"/>
            <w:shd w:val="clear" w:color="auto" w:fill="auto"/>
            <w:vAlign w:val="center"/>
            <w:hideMark/>
          </w:tcPr>
          <w:p w14:paraId="4AA468FE" w14:textId="77777777" w:rsidR="008B4227" w:rsidRPr="008B4227" w:rsidRDefault="008B4227" w:rsidP="008B4227">
            <w:r w:rsidRPr="008B4227">
              <w:t>2009</w:t>
            </w:r>
          </w:p>
        </w:tc>
        <w:tc>
          <w:tcPr>
            <w:tcW w:w="0" w:type="auto"/>
            <w:shd w:val="clear" w:color="auto" w:fill="auto"/>
            <w:vAlign w:val="center"/>
            <w:hideMark/>
          </w:tcPr>
          <w:p w14:paraId="205CBFE7" w14:textId="77777777" w:rsidR="008B4227" w:rsidRPr="008B4227" w:rsidRDefault="008B4227" w:rsidP="00D42C1E">
            <w:r w:rsidRPr="008B4227">
              <w:t>Unemployment reaches its highest levels since records began. Protestors take to the streets and the Irish Stock Exchange hits a 14 year low. The Government injects billions of euro into Irish banks to prevent them from collapsing. The</w:t>
            </w:r>
            <w:r w:rsidR="00D42C1E">
              <w:t xml:space="preserve"> National Asset Management Agency </w:t>
            </w:r>
            <w:r w:rsidRPr="008B4227">
              <w:t>(NAMA) is established and takes on the role of banker for bad property debt.</w:t>
            </w:r>
          </w:p>
        </w:tc>
      </w:tr>
      <w:tr w:rsidR="008B4227" w:rsidRPr="008B4227" w14:paraId="25662F45" w14:textId="77777777" w:rsidTr="00145B0B">
        <w:trPr>
          <w:tblCellSpacing w:w="15" w:type="dxa"/>
          <w:jc w:val="center"/>
        </w:trPr>
        <w:tc>
          <w:tcPr>
            <w:tcW w:w="0" w:type="auto"/>
            <w:shd w:val="clear" w:color="auto" w:fill="auto"/>
            <w:vAlign w:val="center"/>
            <w:hideMark/>
          </w:tcPr>
          <w:p w14:paraId="655AEA86" w14:textId="77777777" w:rsidR="008B4227" w:rsidRPr="008B4227" w:rsidRDefault="008B4227" w:rsidP="008B4227">
            <w:r w:rsidRPr="008B4227">
              <w:t>2010</w:t>
            </w:r>
          </w:p>
        </w:tc>
        <w:tc>
          <w:tcPr>
            <w:tcW w:w="0" w:type="auto"/>
            <w:shd w:val="clear" w:color="auto" w:fill="auto"/>
            <w:vAlign w:val="center"/>
            <w:hideMark/>
          </w:tcPr>
          <w:p w14:paraId="6BE40379" w14:textId="77777777" w:rsidR="008B4227" w:rsidRPr="008B4227" w:rsidRDefault="008B4227" w:rsidP="008B4227">
            <w:r w:rsidRPr="008B4227">
              <w:t>The crisis deepens as more money is pumped into the ailing banks and the Irish Government officially requests financial assistance from the EU, the IFM and other Member States. A package worth €85 billion is negotiated, conditional on Ireland allowing its budget to be closely monitored by the Troika (European Commission, European Central Bank and the IMF) on a regular basis to ensure financial conditions are met.</w:t>
            </w:r>
          </w:p>
        </w:tc>
      </w:tr>
      <w:tr w:rsidR="008B4227" w:rsidRPr="008B4227" w14:paraId="318C7087" w14:textId="77777777" w:rsidTr="00145B0B">
        <w:trPr>
          <w:tblCellSpacing w:w="15" w:type="dxa"/>
          <w:jc w:val="center"/>
        </w:trPr>
        <w:tc>
          <w:tcPr>
            <w:tcW w:w="0" w:type="auto"/>
            <w:shd w:val="clear" w:color="auto" w:fill="auto"/>
            <w:vAlign w:val="center"/>
            <w:hideMark/>
          </w:tcPr>
          <w:p w14:paraId="5C303CB6" w14:textId="77777777" w:rsidR="008B4227" w:rsidRPr="008B4227" w:rsidRDefault="008B4227" w:rsidP="008B4227">
            <w:r w:rsidRPr="008B4227">
              <w:t>2011</w:t>
            </w:r>
          </w:p>
        </w:tc>
        <w:tc>
          <w:tcPr>
            <w:tcW w:w="0" w:type="auto"/>
            <w:shd w:val="clear" w:color="auto" w:fill="auto"/>
            <w:vAlign w:val="center"/>
            <w:hideMark/>
          </w:tcPr>
          <w:p w14:paraId="4195F95E" w14:textId="77777777" w:rsidR="008B4227" w:rsidRPr="008B4227" w:rsidRDefault="008B4227" w:rsidP="008B4227">
            <w:r w:rsidRPr="008B4227">
              <w:t>The Irish Government is heavily defeated in a general election held just three months after the package is agreed. Ireland’s debt rating is downgraded to junk status.</w:t>
            </w:r>
          </w:p>
        </w:tc>
      </w:tr>
      <w:tr w:rsidR="008B4227" w:rsidRPr="008B4227" w14:paraId="11401BD8" w14:textId="77777777" w:rsidTr="00145B0B">
        <w:trPr>
          <w:tblCellSpacing w:w="15" w:type="dxa"/>
          <w:jc w:val="center"/>
        </w:trPr>
        <w:tc>
          <w:tcPr>
            <w:tcW w:w="0" w:type="auto"/>
            <w:shd w:val="clear" w:color="auto" w:fill="auto"/>
            <w:vAlign w:val="center"/>
            <w:hideMark/>
          </w:tcPr>
          <w:p w14:paraId="73C5BBAA" w14:textId="77777777" w:rsidR="008B4227" w:rsidRPr="008B4227" w:rsidRDefault="008B4227" w:rsidP="008B4227">
            <w:r w:rsidRPr="008B4227">
              <w:t>2012</w:t>
            </w:r>
          </w:p>
        </w:tc>
        <w:tc>
          <w:tcPr>
            <w:tcW w:w="0" w:type="auto"/>
            <w:shd w:val="clear" w:color="auto" w:fill="auto"/>
            <w:vAlign w:val="center"/>
            <w:hideMark/>
          </w:tcPr>
          <w:p w14:paraId="03BD53AF" w14:textId="77777777" w:rsidR="008B4227" w:rsidRPr="008B4227" w:rsidRDefault="008B4227" w:rsidP="008B4227">
            <w:r w:rsidRPr="008B4227">
              <w:t>Irish voters approve the European Union Fiscal Treaty by 60% at a referendum</w:t>
            </w:r>
          </w:p>
        </w:tc>
      </w:tr>
      <w:tr w:rsidR="008B4227" w:rsidRPr="008B4227" w14:paraId="35CF5CF1" w14:textId="77777777" w:rsidTr="00145B0B">
        <w:trPr>
          <w:tblCellSpacing w:w="15" w:type="dxa"/>
          <w:jc w:val="center"/>
        </w:trPr>
        <w:tc>
          <w:tcPr>
            <w:tcW w:w="0" w:type="auto"/>
            <w:shd w:val="clear" w:color="auto" w:fill="auto"/>
            <w:vAlign w:val="center"/>
            <w:hideMark/>
          </w:tcPr>
          <w:p w14:paraId="6378FAF1" w14:textId="77777777" w:rsidR="008B4227" w:rsidRPr="008B4227" w:rsidRDefault="008B4227" w:rsidP="008B4227">
            <w:r w:rsidRPr="008B4227">
              <w:t>2013</w:t>
            </w:r>
          </w:p>
        </w:tc>
        <w:tc>
          <w:tcPr>
            <w:tcW w:w="0" w:type="auto"/>
            <w:shd w:val="clear" w:color="auto" w:fill="auto"/>
            <w:vAlign w:val="center"/>
            <w:hideMark/>
          </w:tcPr>
          <w:p w14:paraId="333FE8B6" w14:textId="77777777" w:rsidR="008B4227" w:rsidRPr="008B4227" w:rsidRDefault="008B4227" w:rsidP="008B4227">
            <w:r w:rsidRPr="008B4227">
              <w:t>Ireland successfully raises €5bn by issuing a syndicated 10-year benchmark bond to the financial markets. It’s Ireland’s first sale of benchmark bonds since the banking collapse in 2010.</w:t>
            </w:r>
          </w:p>
        </w:tc>
      </w:tr>
      <w:tr w:rsidR="008B4227" w:rsidRPr="008B4227" w14:paraId="328E9DBB" w14:textId="77777777" w:rsidTr="00145B0B">
        <w:trPr>
          <w:tblCellSpacing w:w="15" w:type="dxa"/>
          <w:jc w:val="center"/>
        </w:trPr>
        <w:tc>
          <w:tcPr>
            <w:tcW w:w="0" w:type="auto"/>
            <w:shd w:val="clear" w:color="auto" w:fill="auto"/>
            <w:vAlign w:val="center"/>
            <w:hideMark/>
          </w:tcPr>
          <w:p w14:paraId="6F2D66AF" w14:textId="77777777" w:rsidR="008B4227" w:rsidRPr="008B4227" w:rsidRDefault="008B4227" w:rsidP="008B4227">
            <w:r w:rsidRPr="008B4227">
              <w:t>2013</w:t>
            </w:r>
          </w:p>
        </w:tc>
        <w:tc>
          <w:tcPr>
            <w:tcW w:w="0" w:type="auto"/>
            <w:shd w:val="clear" w:color="auto" w:fill="auto"/>
            <w:vAlign w:val="center"/>
            <w:hideMark/>
          </w:tcPr>
          <w:p w14:paraId="3BC93F4F" w14:textId="77777777" w:rsidR="008B4227" w:rsidRPr="008B4227" w:rsidRDefault="008B4227" w:rsidP="008B4227">
            <w:r w:rsidRPr="008B4227">
              <w:t>Ireland successfully exits the Troika’s three year programme on December 15th 2013.</w:t>
            </w:r>
          </w:p>
        </w:tc>
      </w:tr>
      <w:tr w:rsidR="008B4227" w:rsidRPr="008B4227" w14:paraId="098288E0" w14:textId="77777777" w:rsidTr="00145B0B">
        <w:trPr>
          <w:tblCellSpacing w:w="15" w:type="dxa"/>
          <w:jc w:val="center"/>
        </w:trPr>
        <w:tc>
          <w:tcPr>
            <w:tcW w:w="0" w:type="auto"/>
            <w:shd w:val="clear" w:color="auto" w:fill="auto"/>
            <w:vAlign w:val="center"/>
            <w:hideMark/>
          </w:tcPr>
          <w:p w14:paraId="2445D538" w14:textId="77777777" w:rsidR="008B4227" w:rsidRPr="008B4227" w:rsidRDefault="008B4227" w:rsidP="008B4227">
            <w:r w:rsidRPr="008B4227">
              <w:t>2014</w:t>
            </w:r>
          </w:p>
        </w:tc>
        <w:tc>
          <w:tcPr>
            <w:tcW w:w="0" w:type="auto"/>
            <w:shd w:val="clear" w:color="auto" w:fill="auto"/>
            <w:vAlign w:val="center"/>
            <w:hideMark/>
          </w:tcPr>
          <w:p w14:paraId="2611875C" w14:textId="77777777" w:rsidR="008B4227" w:rsidRPr="008B4227" w:rsidRDefault="008B4227" w:rsidP="008B4227">
            <w:r w:rsidRPr="008B4227">
              <w:t>Ireland again returns to the long term borrowing markets with a €3.75bn sovereign bond and receives a Moody’s upgrade in January 2014.</w:t>
            </w:r>
          </w:p>
        </w:tc>
      </w:tr>
      <w:tr w:rsidR="008B4227" w:rsidRPr="008B4227" w14:paraId="7557A5E0" w14:textId="77777777" w:rsidTr="00145B0B">
        <w:trPr>
          <w:tblCellSpacing w:w="15" w:type="dxa"/>
          <w:jc w:val="center"/>
        </w:trPr>
        <w:tc>
          <w:tcPr>
            <w:tcW w:w="0" w:type="auto"/>
            <w:shd w:val="clear" w:color="auto" w:fill="auto"/>
            <w:vAlign w:val="center"/>
            <w:hideMark/>
          </w:tcPr>
          <w:p w14:paraId="6FC9B28B" w14:textId="77777777" w:rsidR="008B4227" w:rsidRPr="008B4227" w:rsidRDefault="008B4227" w:rsidP="008B4227">
            <w:r w:rsidRPr="008B4227">
              <w:t>2015</w:t>
            </w:r>
          </w:p>
        </w:tc>
        <w:tc>
          <w:tcPr>
            <w:tcW w:w="0" w:type="auto"/>
            <w:shd w:val="clear" w:color="auto" w:fill="auto"/>
            <w:vAlign w:val="center"/>
            <w:hideMark/>
          </w:tcPr>
          <w:p w14:paraId="27D36F0A" w14:textId="77777777" w:rsidR="008B4227" w:rsidRPr="008B4227" w:rsidRDefault="008B4227" w:rsidP="008B4227">
            <w:r w:rsidRPr="008B4227">
              <w:t>According to EU forecasts, Irish GDP growth for 2015 as a whole was 6.9%.</w:t>
            </w:r>
          </w:p>
        </w:tc>
      </w:tr>
      <w:tr w:rsidR="008B4227" w:rsidRPr="008B4227" w14:paraId="51274FDC" w14:textId="77777777" w:rsidTr="00145B0B">
        <w:trPr>
          <w:tblCellSpacing w:w="15" w:type="dxa"/>
          <w:jc w:val="center"/>
        </w:trPr>
        <w:tc>
          <w:tcPr>
            <w:tcW w:w="0" w:type="auto"/>
            <w:shd w:val="clear" w:color="auto" w:fill="auto"/>
            <w:vAlign w:val="center"/>
            <w:hideMark/>
          </w:tcPr>
          <w:p w14:paraId="3E837B03" w14:textId="77777777" w:rsidR="008B4227" w:rsidRPr="008B4227" w:rsidRDefault="008B4227" w:rsidP="008B4227">
            <w:r w:rsidRPr="008B4227">
              <w:t>2016</w:t>
            </w:r>
          </w:p>
        </w:tc>
        <w:tc>
          <w:tcPr>
            <w:tcW w:w="0" w:type="auto"/>
            <w:shd w:val="clear" w:color="auto" w:fill="auto"/>
            <w:vAlign w:val="center"/>
            <w:hideMark/>
          </w:tcPr>
          <w:p w14:paraId="5512E6A6" w14:textId="77777777" w:rsidR="008B4227" w:rsidRPr="008B4227" w:rsidRDefault="008B4227" w:rsidP="00145B0B">
            <w:pPr>
              <w:keepNext/>
            </w:pPr>
            <w:r w:rsidRPr="008B4227">
              <w:t>The European Commission’s winter 2016 European Economic Forecast expects a moderation in Irish economic growth for 2016 and 2017 to more sustainable rates of about 4% and 3% respectively.</w:t>
            </w:r>
          </w:p>
        </w:tc>
      </w:tr>
    </w:tbl>
    <w:p w14:paraId="6C2F97CA" w14:textId="0CD12849" w:rsidR="00D93BBA" w:rsidRDefault="00145B0B" w:rsidP="00145B0B">
      <w:pPr>
        <w:pStyle w:val="Caption"/>
        <w:spacing w:before="120"/>
        <w:jc w:val="center"/>
        <w:rPr>
          <w:b w:val="0"/>
          <w:color w:val="auto"/>
          <w:sz w:val="22"/>
        </w:rPr>
      </w:pPr>
      <w:bookmarkStart w:id="12" w:name="_Ref485288960"/>
      <w:r w:rsidRPr="00145B0B">
        <w:rPr>
          <w:color w:val="auto"/>
          <w:sz w:val="22"/>
        </w:rPr>
        <w:t xml:space="preserve">Table </w:t>
      </w:r>
      <w:r w:rsidRPr="00145B0B">
        <w:rPr>
          <w:color w:val="auto"/>
          <w:sz w:val="22"/>
        </w:rPr>
        <w:fldChar w:fldCharType="begin"/>
      </w:r>
      <w:r w:rsidRPr="00145B0B">
        <w:rPr>
          <w:color w:val="auto"/>
          <w:sz w:val="22"/>
        </w:rPr>
        <w:instrText xml:space="preserve"> SEQ Table \* ARABIC </w:instrText>
      </w:r>
      <w:r w:rsidRPr="00145B0B">
        <w:rPr>
          <w:color w:val="auto"/>
          <w:sz w:val="22"/>
        </w:rPr>
        <w:fldChar w:fldCharType="separate"/>
      </w:r>
      <w:r w:rsidR="004C3E31">
        <w:rPr>
          <w:noProof/>
          <w:color w:val="auto"/>
          <w:sz w:val="22"/>
        </w:rPr>
        <w:t>1</w:t>
      </w:r>
      <w:r w:rsidRPr="00145B0B">
        <w:rPr>
          <w:color w:val="auto"/>
          <w:sz w:val="22"/>
        </w:rPr>
        <w:fldChar w:fldCharType="end"/>
      </w:r>
      <w:bookmarkEnd w:id="12"/>
      <w:r w:rsidRPr="00145B0B">
        <w:rPr>
          <w:color w:val="auto"/>
          <w:sz w:val="22"/>
        </w:rPr>
        <w:t xml:space="preserve"> </w:t>
      </w:r>
      <w:r w:rsidRPr="00145B0B">
        <w:rPr>
          <w:b w:val="0"/>
          <w:color w:val="auto"/>
          <w:sz w:val="22"/>
        </w:rPr>
        <w:t>Timeline of significant macroeconomic events</w:t>
      </w:r>
      <w:r>
        <w:rPr>
          <w:b w:val="0"/>
          <w:color w:val="auto"/>
          <w:sz w:val="22"/>
        </w:rPr>
        <w:t>.</w:t>
      </w:r>
    </w:p>
    <w:p w14:paraId="78DF1DA9" w14:textId="77777777" w:rsidR="00145B0B" w:rsidRPr="00145B0B" w:rsidRDefault="00145B0B" w:rsidP="00145B0B"/>
    <w:p w14:paraId="2281D136" w14:textId="77777777" w:rsidR="00AC5756" w:rsidRPr="00765938" w:rsidRDefault="00AC5756" w:rsidP="00AC5756">
      <w:pPr>
        <w:pStyle w:val="Heading2"/>
      </w:pPr>
      <w:r w:rsidRPr="00765938">
        <w:t>New Lending Rules</w:t>
      </w:r>
    </w:p>
    <w:p w14:paraId="6943BEFC" w14:textId="77777777" w:rsidR="00AC5756" w:rsidRDefault="00AC5756" w:rsidP="00AC5756">
      <w:pPr>
        <w:spacing w:line="276" w:lineRule="auto"/>
        <w:jc w:val="both"/>
      </w:pPr>
      <w:r>
        <w:t>There are a number of initiatives the Irish Government and Central Bank introduced as a lever to help stimulate and exert some form of control on the housing market. Statutory Instrument 47 (SI 47 Rules) passed legislation in February 2015 and underwent revision in 2016. The regulations impose lending caps on borrowers based on the LTV, LTI and buyer type (mortgage type primary dwelling house and buy-to-let). Currently, the regulations stipulate:</w:t>
      </w:r>
    </w:p>
    <w:p w14:paraId="6702B67E" w14:textId="77777777" w:rsidR="00AC5756" w:rsidRDefault="00AC5756" w:rsidP="00AC5756">
      <w:pPr>
        <w:pStyle w:val="ListParagraph"/>
        <w:numPr>
          <w:ilvl w:val="0"/>
          <w:numId w:val="31"/>
        </w:numPr>
        <w:spacing w:line="276" w:lineRule="auto"/>
        <w:jc w:val="both"/>
      </w:pPr>
      <w:r>
        <w:t>PDH mortgages for non-first time buyers are subject to a limit of 80 per cent LTV.</w:t>
      </w:r>
    </w:p>
    <w:p w14:paraId="6E1FDDA8" w14:textId="77777777" w:rsidR="00AC5756" w:rsidRDefault="00AC5756" w:rsidP="00AC5756">
      <w:pPr>
        <w:pStyle w:val="ListParagraph"/>
        <w:numPr>
          <w:ilvl w:val="0"/>
          <w:numId w:val="31"/>
        </w:numPr>
        <w:spacing w:line="276" w:lineRule="auto"/>
        <w:jc w:val="both"/>
      </w:pPr>
      <w:r>
        <w:t>For first time buyers of properties a maximum LTV of 90 per cent will apply.</w:t>
      </w:r>
    </w:p>
    <w:p w14:paraId="578766B9" w14:textId="77777777" w:rsidR="00AC5756" w:rsidRDefault="00AC5756" w:rsidP="00AC5756">
      <w:pPr>
        <w:pStyle w:val="ListParagraph"/>
        <w:numPr>
          <w:ilvl w:val="0"/>
          <w:numId w:val="31"/>
        </w:numPr>
        <w:spacing w:line="276" w:lineRule="auto"/>
        <w:jc w:val="both"/>
      </w:pPr>
      <w:r>
        <w:lastRenderedPageBreak/>
        <w:t>These LTV limits should not be exceeded by more than 20 per cent of the euro value of all housing loans for second and subsequent PDH purposes, and not be exceeded by more than 5 per cent of the euro value of all housing loans for first time buyers, during an annual period.</w:t>
      </w:r>
    </w:p>
    <w:p w14:paraId="007CA83E" w14:textId="77777777" w:rsidR="00AC5756" w:rsidRDefault="00AC5756" w:rsidP="00AC5756">
      <w:pPr>
        <w:pStyle w:val="ListParagraph"/>
        <w:numPr>
          <w:ilvl w:val="0"/>
          <w:numId w:val="31"/>
        </w:numPr>
        <w:spacing w:line="276" w:lineRule="auto"/>
        <w:jc w:val="both"/>
      </w:pPr>
      <w:r>
        <w:t>BTL mortgages are subject to a limit of 70 per cent LTV. This limit can only be exceeded by no more than 10 per cent of the euro value of all housing loans for non PDH purposes during an annual period.</w:t>
      </w:r>
    </w:p>
    <w:p w14:paraId="494F0E9E" w14:textId="77777777" w:rsidR="00AC5756" w:rsidRDefault="00AC5756" w:rsidP="00AC5756">
      <w:pPr>
        <w:spacing w:line="276" w:lineRule="auto"/>
        <w:jc w:val="both"/>
      </w:pPr>
      <w:r>
        <w:t>With respect to LTI:</w:t>
      </w:r>
    </w:p>
    <w:p w14:paraId="78F090CC" w14:textId="77777777" w:rsidR="00AC5756" w:rsidRDefault="00AC5756" w:rsidP="00AC5756">
      <w:pPr>
        <w:pStyle w:val="ListParagraph"/>
        <w:numPr>
          <w:ilvl w:val="0"/>
          <w:numId w:val="32"/>
        </w:numPr>
        <w:spacing w:line="276" w:lineRule="auto"/>
        <w:jc w:val="both"/>
      </w:pPr>
      <w:r>
        <w:t>PDH mortgage loans are subject to a limit of 3.5 times loan to gross income.</w:t>
      </w:r>
    </w:p>
    <w:p w14:paraId="3FEFDFC4" w14:textId="77777777" w:rsidR="00AC5756" w:rsidRDefault="00AC5756" w:rsidP="00AC5756">
      <w:pPr>
        <w:pStyle w:val="ListParagraph"/>
        <w:numPr>
          <w:ilvl w:val="0"/>
          <w:numId w:val="32"/>
        </w:numPr>
        <w:spacing w:line="276" w:lineRule="auto"/>
        <w:jc w:val="both"/>
      </w:pPr>
      <w:r>
        <w:t>This limit should not be exceeded by more than 20 per cent of the euro value of all housing loans for PDH purposes during an annual period.</w:t>
      </w:r>
    </w:p>
    <w:p w14:paraId="70682D34" w14:textId="77777777" w:rsidR="00AC5756" w:rsidRDefault="00AC5756" w:rsidP="00AC5756">
      <w:pPr>
        <w:spacing w:line="276" w:lineRule="auto"/>
        <w:jc w:val="both"/>
      </w:pPr>
      <w:r>
        <w:t>Other market measures include:</w:t>
      </w:r>
    </w:p>
    <w:p w14:paraId="679B1D46" w14:textId="77777777" w:rsidR="00AC5756" w:rsidRDefault="00AC5756" w:rsidP="00AC5756">
      <w:pPr>
        <w:pStyle w:val="ListParagraph"/>
        <w:numPr>
          <w:ilvl w:val="0"/>
          <w:numId w:val="33"/>
        </w:numPr>
        <w:spacing w:line="276" w:lineRule="auto"/>
        <w:jc w:val="both"/>
      </w:pPr>
      <w:r>
        <w:t>Home Renovation Scheme (a tax rebate on home renovations priced up to €32000)</w:t>
      </w:r>
    </w:p>
    <w:p w14:paraId="44BEEA29" w14:textId="77777777" w:rsidR="00AC5756" w:rsidRDefault="00AC5756" w:rsidP="00AC5756">
      <w:pPr>
        <w:pStyle w:val="ListParagraph"/>
        <w:numPr>
          <w:ilvl w:val="0"/>
          <w:numId w:val="33"/>
        </w:numPr>
        <w:spacing w:line="276" w:lineRule="auto"/>
        <w:jc w:val="both"/>
      </w:pPr>
      <w:r>
        <w:t>Mortgage Interest Relief – Increasing from 75% to 80% in 2017.</w:t>
      </w:r>
    </w:p>
    <w:p w14:paraId="6B29F7AA" w14:textId="77777777" w:rsidR="00AC5756" w:rsidRDefault="00AC5756" w:rsidP="00AC5756">
      <w:pPr>
        <w:pStyle w:val="ListParagraph"/>
        <w:numPr>
          <w:ilvl w:val="0"/>
          <w:numId w:val="33"/>
        </w:numPr>
        <w:spacing w:line="276" w:lineRule="auto"/>
        <w:jc w:val="both"/>
      </w:pPr>
      <w:r>
        <w:t>The Help-To-Buy scheme – First time buyers of a new home from July 2016 to 2019 are entitled to a tax rebate of up to €20,000 or 5% of the value of the house to first time buyers of new homes.</w:t>
      </w:r>
    </w:p>
    <w:p w14:paraId="440F2D9E" w14:textId="77777777" w:rsidR="00AC5756" w:rsidRDefault="00AC5756" w:rsidP="00AC5756">
      <w:pPr>
        <w:pStyle w:val="ListParagraph"/>
        <w:numPr>
          <w:ilvl w:val="0"/>
          <w:numId w:val="33"/>
        </w:numPr>
        <w:spacing w:line="276" w:lineRule="auto"/>
        <w:jc w:val="both"/>
      </w:pPr>
      <w:r>
        <w:t>Previous measures distorted the market e.g. Section 22 tax relief.</w:t>
      </w:r>
    </w:p>
    <w:p w14:paraId="1555DFCA" w14:textId="77777777" w:rsidR="00AC5756" w:rsidRDefault="00AC5756" w:rsidP="00AC5756"/>
    <w:p w14:paraId="1A77169C" w14:textId="22B0F58B" w:rsidR="00AC5756" w:rsidRDefault="00AC5756" w:rsidP="00AC5756">
      <w:r>
        <w:t xml:space="preserve">The house price to industrial earnings over time is displayed in </w:t>
      </w:r>
      <w:r>
        <w:fldChar w:fldCharType="begin"/>
      </w:r>
      <w:r>
        <w:instrText xml:space="preserve"> REF _Ref482783145 \h </w:instrText>
      </w:r>
      <w:r>
        <w:fldChar w:fldCharType="separate"/>
      </w:r>
      <w:r w:rsidR="004C3E31">
        <w:t xml:space="preserve">Figure </w:t>
      </w:r>
      <w:r w:rsidR="004C3E31">
        <w:rPr>
          <w:noProof/>
        </w:rPr>
        <w:t>13</w:t>
      </w:r>
      <w:r>
        <w:fldChar w:fldCharType="end"/>
      </w:r>
      <w:r>
        <w:t>.</w:t>
      </w:r>
    </w:p>
    <w:p w14:paraId="65AB2A6C" w14:textId="77777777" w:rsidR="00AC5756" w:rsidRDefault="00AC5756" w:rsidP="00AC5756"/>
    <w:p w14:paraId="72876392" w14:textId="77777777" w:rsidR="00AC5756" w:rsidRDefault="00AC5756" w:rsidP="00AC5756">
      <w:pPr>
        <w:keepNext/>
        <w:spacing w:line="276" w:lineRule="auto"/>
        <w:jc w:val="center"/>
      </w:pPr>
      <w:r>
        <w:rPr>
          <w:noProof/>
          <w:lang w:eastAsia="en-GB"/>
        </w:rPr>
        <w:drawing>
          <wp:inline distT="0" distB="0" distL="0" distR="0" wp14:anchorId="00EC6615" wp14:editId="0814DD25">
            <wp:extent cx="4914900" cy="2952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2952750"/>
                    </a:xfrm>
                    <a:prstGeom prst="rect">
                      <a:avLst/>
                    </a:prstGeom>
                    <a:noFill/>
                    <a:ln>
                      <a:noFill/>
                    </a:ln>
                  </pic:spPr>
                </pic:pic>
              </a:graphicData>
            </a:graphic>
          </wp:inline>
        </w:drawing>
      </w:r>
    </w:p>
    <w:p w14:paraId="4F03DF49" w14:textId="2FF7A2DA" w:rsidR="00AC5756" w:rsidRDefault="00AC5756" w:rsidP="00AC5756">
      <w:pPr>
        <w:pStyle w:val="Caption"/>
        <w:jc w:val="center"/>
        <w:rPr>
          <w:color w:val="auto"/>
          <w:sz w:val="22"/>
        </w:rPr>
      </w:pPr>
      <w:bookmarkStart w:id="13" w:name="_Ref482783145"/>
      <w:r>
        <w:rPr>
          <w:color w:val="auto"/>
          <w:sz w:val="22"/>
        </w:rPr>
        <w:t xml:space="preserve">Figure </w:t>
      </w:r>
      <w:r>
        <w:fldChar w:fldCharType="begin"/>
      </w:r>
      <w:r>
        <w:rPr>
          <w:color w:val="auto"/>
          <w:sz w:val="22"/>
        </w:rPr>
        <w:instrText xml:space="preserve"> SEQ Figure \* ARABIC </w:instrText>
      </w:r>
      <w:r>
        <w:fldChar w:fldCharType="separate"/>
      </w:r>
      <w:r w:rsidR="004C3E31">
        <w:rPr>
          <w:noProof/>
          <w:color w:val="auto"/>
          <w:sz w:val="22"/>
        </w:rPr>
        <w:t>13</w:t>
      </w:r>
      <w:r>
        <w:fldChar w:fldCharType="end"/>
      </w:r>
      <w:bookmarkEnd w:id="13"/>
      <w:r>
        <w:rPr>
          <w:color w:val="auto"/>
          <w:sz w:val="22"/>
        </w:rPr>
        <w:t xml:space="preserve"> </w:t>
      </w:r>
      <w:r>
        <w:rPr>
          <w:b w:val="0"/>
          <w:color w:val="auto"/>
          <w:sz w:val="22"/>
        </w:rPr>
        <w:t>House price to annual industrial earnings. Source: CSO.</w:t>
      </w:r>
    </w:p>
    <w:p w14:paraId="6299C81D" w14:textId="77777777" w:rsidR="00AC5756" w:rsidRDefault="00AC5756" w:rsidP="00AC5756"/>
    <w:p w14:paraId="65C3CEAB" w14:textId="77777777" w:rsidR="00D41B6C" w:rsidRPr="00765938" w:rsidRDefault="00D41B6C" w:rsidP="00765938">
      <w:pPr>
        <w:pStyle w:val="Heading2"/>
      </w:pPr>
      <w:r w:rsidRPr="00765938">
        <w:t>Forbearance</w:t>
      </w:r>
    </w:p>
    <w:p w14:paraId="59F693DE" w14:textId="063E58A3" w:rsidR="00E46D2D" w:rsidRDefault="00E46D2D" w:rsidP="006625B9">
      <w:pPr>
        <w:jc w:val="both"/>
        <w:rPr>
          <w:rFonts w:cs="Mercury Text G1"/>
          <w:color w:val="000000"/>
        </w:rPr>
      </w:pPr>
      <w:r w:rsidRPr="00255713">
        <w:rPr>
          <w:rFonts w:cs="Mercury Text G1"/>
          <w:color w:val="000000"/>
          <w:szCs w:val="20"/>
        </w:rPr>
        <w:t xml:space="preserve">Introduced in July 2013 by the CBI, the revised Code of Conduct on Mortgage Arrears (CCMA) has changed the way delinquent owner-occupied borrowers are managed. The changes are intended to reduce the minimum time before enforcement proceedings can begin and provide much needed </w:t>
      </w:r>
      <w:r w:rsidRPr="004335A2">
        <w:rPr>
          <w:rFonts w:cs="Mercury Text G1"/>
          <w:color w:val="000000"/>
          <w:szCs w:val="20"/>
        </w:rPr>
        <w:t xml:space="preserve">clarification on the legality of enforcement. Alongside the CCMA, regulation such as the Mortgage Arrears Resolution Process (MARP), the Personal Insolvency Arrangement and the </w:t>
      </w:r>
      <w:r w:rsidRPr="004335A2">
        <w:rPr>
          <w:rFonts w:cs="Mercury Text G1"/>
          <w:iCs/>
          <w:color w:val="000000"/>
          <w:szCs w:val="20"/>
        </w:rPr>
        <w:t xml:space="preserve">Land of </w:t>
      </w:r>
      <w:r w:rsidRPr="004335A2">
        <w:rPr>
          <w:rFonts w:cs="Mercury Text G1"/>
          <w:iCs/>
          <w:color w:val="000000"/>
        </w:rPr>
        <w:lastRenderedPageBreak/>
        <w:t xml:space="preserve">Conveyancing Law Reform Act 2013 </w:t>
      </w:r>
      <w:r w:rsidRPr="004335A2">
        <w:rPr>
          <w:rFonts w:cs="Mercury Text G1"/>
          <w:color w:val="000000"/>
        </w:rPr>
        <w:t>have reformed the repossession</w:t>
      </w:r>
      <w:r w:rsidRPr="006625B9">
        <w:rPr>
          <w:rFonts w:cs="Mercury Text G1"/>
          <w:color w:val="000000"/>
        </w:rPr>
        <w:t xml:space="preserve"> process.</w:t>
      </w:r>
      <w:r w:rsidR="007F507D">
        <w:rPr>
          <w:rFonts w:cs="Mercury Text G1"/>
          <w:color w:val="000000"/>
        </w:rPr>
        <w:t xml:space="preserve"> </w:t>
      </w:r>
      <w:r w:rsidR="007F507D">
        <w:rPr>
          <w:rFonts w:cs="Mercury Text G1"/>
          <w:color w:val="000000"/>
        </w:rPr>
        <w:fldChar w:fldCharType="begin"/>
      </w:r>
      <w:r w:rsidR="007F507D">
        <w:rPr>
          <w:rFonts w:cs="Mercury Text G1"/>
          <w:color w:val="000000"/>
        </w:rPr>
        <w:instrText xml:space="preserve"> REF _Ref485298502 \h </w:instrText>
      </w:r>
      <w:r w:rsidR="007F507D">
        <w:rPr>
          <w:rFonts w:cs="Mercury Text G1"/>
          <w:color w:val="000000"/>
        </w:rPr>
      </w:r>
      <w:r w:rsidR="007F507D">
        <w:rPr>
          <w:rFonts w:cs="Mercury Text G1"/>
          <w:color w:val="000000"/>
        </w:rPr>
        <w:fldChar w:fldCharType="separate"/>
      </w:r>
      <w:r w:rsidR="004C3E31" w:rsidRPr="00835426">
        <w:t xml:space="preserve">Figure </w:t>
      </w:r>
      <w:r w:rsidR="004C3E31">
        <w:rPr>
          <w:noProof/>
        </w:rPr>
        <w:t>14</w:t>
      </w:r>
      <w:r w:rsidR="007F507D">
        <w:rPr>
          <w:rFonts w:cs="Mercury Text G1"/>
          <w:color w:val="000000"/>
        </w:rPr>
        <w:fldChar w:fldCharType="end"/>
      </w:r>
      <w:r w:rsidR="007F507D">
        <w:rPr>
          <w:rFonts w:cs="Mercury Text G1"/>
          <w:color w:val="000000"/>
        </w:rPr>
        <w:t xml:space="preserve"> displays a timeline of strategies for non-performing loans and the effects on the balance of NPLs.</w:t>
      </w:r>
    </w:p>
    <w:p w14:paraId="63939DFD" w14:textId="77777777" w:rsidR="007F507D" w:rsidRPr="00835426" w:rsidRDefault="007F507D" w:rsidP="007F507D">
      <w:pPr>
        <w:spacing w:before="100" w:beforeAutospacing="1" w:after="100" w:afterAutospacing="1"/>
        <w:rPr>
          <w:rFonts w:ascii="Lato" w:eastAsia="Times New Roman" w:hAnsi="Lato" w:cs="Arial"/>
          <w:color w:val="363636"/>
          <w:sz w:val="24"/>
          <w:szCs w:val="24"/>
          <w:lang w:val="en" w:eastAsia="en-GB"/>
        </w:rPr>
      </w:pPr>
      <w:r>
        <w:rPr>
          <w:rFonts w:ascii="Lato" w:eastAsia="Times New Roman" w:hAnsi="Lato" w:cs="Arial"/>
          <w:noProof/>
          <w:color w:val="363636"/>
          <w:sz w:val="24"/>
          <w:szCs w:val="24"/>
          <w:lang w:eastAsia="en-GB"/>
        </w:rPr>
        <w:drawing>
          <wp:inline distT="0" distB="0" distL="0" distR="0" wp14:anchorId="13DC4AC9" wp14:editId="052DB925">
            <wp:extent cx="5743575" cy="3152775"/>
            <wp:effectExtent l="0" t="0" r="9525" b="9525"/>
            <wp:docPr id="25" name="Picture 25"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609" cy="3158832"/>
                    </a:xfrm>
                    <a:prstGeom prst="rect">
                      <a:avLst/>
                    </a:prstGeom>
                    <a:noFill/>
                    <a:ln>
                      <a:noFill/>
                    </a:ln>
                  </pic:spPr>
                </pic:pic>
              </a:graphicData>
            </a:graphic>
          </wp:inline>
        </w:drawing>
      </w:r>
    </w:p>
    <w:p w14:paraId="3120D3CB" w14:textId="070B77CB" w:rsidR="007F507D" w:rsidRDefault="007F507D" w:rsidP="007F507D">
      <w:pPr>
        <w:pStyle w:val="Caption"/>
        <w:spacing w:before="0" w:after="120"/>
        <w:jc w:val="center"/>
        <w:rPr>
          <w:rFonts w:ascii="Calibri" w:eastAsiaTheme="minorHAnsi" w:hAnsi="Calibri" w:cs="Times New Roman"/>
          <w:b w:val="0"/>
          <w:bCs w:val="0"/>
          <w:color w:val="auto"/>
          <w:sz w:val="22"/>
          <w:szCs w:val="22"/>
        </w:rPr>
      </w:pPr>
      <w:bookmarkStart w:id="14" w:name="_Ref485298502"/>
      <w:r w:rsidRPr="00835426">
        <w:rPr>
          <w:color w:val="auto"/>
          <w:sz w:val="22"/>
        </w:rPr>
        <w:t xml:space="preserve">Figure </w:t>
      </w:r>
      <w:r w:rsidRPr="00835426">
        <w:rPr>
          <w:color w:val="auto"/>
          <w:sz w:val="22"/>
        </w:rPr>
        <w:fldChar w:fldCharType="begin"/>
      </w:r>
      <w:r w:rsidRPr="00835426">
        <w:rPr>
          <w:color w:val="auto"/>
          <w:sz w:val="22"/>
        </w:rPr>
        <w:instrText xml:space="preserve"> SEQ Figure \* ARABIC </w:instrText>
      </w:r>
      <w:r w:rsidRPr="00835426">
        <w:rPr>
          <w:color w:val="auto"/>
          <w:sz w:val="22"/>
        </w:rPr>
        <w:fldChar w:fldCharType="separate"/>
      </w:r>
      <w:r w:rsidR="004C3E31">
        <w:rPr>
          <w:noProof/>
          <w:color w:val="auto"/>
          <w:sz w:val="22"/>
        </w:rPr>
        <w:t>14</w:t>
      </w:r>
      <w:r w:rsidRPr="00835426">
        <w:rPr>
          <w:color w:val="auto"/>
          <w:sz w:val="22"/>
        </w:rPr>
        <w:fldChar w:fldCharType="end"/>
      </w:r>
      <w:bookmarkEnd w:id="14"/>
      <w:r>
        <w:rPr>
          <w:rFonts w:ascii="Calibri" w:eastAsiaTheme="minorHAnsi" w:hAnsi="Calibri" w:cs="Times New Roman"/>
          <w:b w:val="0"/>
          <w:bCs w:val="0"/>
          <w:color w:val="auto"/>
          <w:sz w:val="22"/>
          <w:szCs w:val="22"/>
        </w:rPr>
        <w:t xml:space="preserve"> Timeline of CBI reviews, remediation requirements and the issuing of guidelines. Note: At Q3 2014 the EBA’s definition of non-performing was introduced</w:t>
      </w:r>
    </w:p>
    <w:p w14:paraId="640CAE69" w14:textId="76BC9380" w:rsidR="006625B9" w:rsidRPr="006625B9" w:rsidRDefault="006625B9" w:rsidP="006625B9">
      <w:pPr>
        <w:jc w:val="both"/>
        <w:rPr>
          <w:rFonts w:cs="Mercury Text G1"/>
          <w:color w:val="000000"/>
        </w:rPr>
      </w:pPr>
      <w:r w:rsidRPr="006625B9">
        <w:rPr>
          <w:rFonts w:cs="Mercury Text G1"/>
          <w:color w:val="000000"/>
        </w:rPr>
        <w:t>A servicer’s MARP outlines a prescriptive direction and exhaustive set of actions that servicers must take prior to repossession. The steps generally include borrower outreach, short-term forbearance, long-term forbearance, as well as alternatives such as voluntary surrender, private sale and mortgage to rent arrangements (</w:t>
      </w:r>
      <w:r>
        <w:rPr>
          <w:rFonts w:cs="Mercury Text G1"/>
          <w:color w:val="000000"/>
        </w:rPr>
        <w:fldChar w:fldCharType="begin"/>
      </w:r>
      <w:r>
        <w:rPr>
          <w:rFonts w:cs="Mercury Text G1"/>
          <w:color w:val="000000"/>
        </w:rPr>
        <w:instrText xml:space="preserve"> REF _Ref485292131 \h </w:instrText>
      </w:r>
      <w:r>
        <w:rPr>
          <w:rFonts w:cs="Mercury Text G1"/>
          <w:color w:val="000000"/>
        </w:rPr>
      </w:r>
      <w:r>
        <w:rPr>
          <w:rFonts w:cs="Mercury Text G1"/>
          <w:color w:val="000000"/>
        </w:rPr>
        <w:fldChar w:fldCharType="separate"/>
      </w:r>
      <w:r w:rsidR="004C3E31" w:rsidRPr="006625B9">
        <w:t xml:space="preserve">Figure </w:t>
      </w:r>
      <w:r w:rsidR="004C3E31">
        <w:rPr>
          <w:noProof/>
        </w:rPr>
        <w:t>15</w:t>
      </w:r>
      <w:r>
        <w:rPr>
          <w:rFonts w:cs="Mercury Text G1"/>
          <w:color w:val="000000"/>
        </w:rPr>
        <w:fldChar w:fldCharType="end"/>
      </w:r>
      <w:r w:rsidRPr="006625B9">
        <w:rPr>
          <w:rFonts w:cs="Mercury Text G1"/>
          <w:color w:val="000000"/>
        </w:rPr>
        <w:t xml:space="preserve">). MARP timelines vary significantly dependent on the responsiveness and cooperation of borrowers. The MARP can be reset at any point if a borrower makes any payments, which can extend the timeline to resolution if the payments are capricious. </w:t>
      </w:r>
    </w:p>
    <w:p w14:paraId="558BCC22" w14:textId="77777777" w:rsidR="006625B9" w:rsidRDefault="006625B9" w:rsidP="00E46D2D">
      <w:pPr>
        <w:rPr>
          <w:rFonts w:cs="Mercury Text G1"/>
          <w:color w:val="000000"/>
          <w:sz w:val="20"/>
          <w:szCs w:val="20"/>
        </w:rPr>
      </w:pPr>
    </w:p>
    <w:p w14:paraId="6F2313F5" w14:textId="77777777" w:rsidR="006625B9" w:rsidRDefault="006625B9" w:rsidP="006625B9">
      <w:pPr>
        <w:keepNext/>
        <w:jc w:val="center"/>
      </w:pPr>
      <w:r>
        <w:rPr>
          <w:rFonts w:cs="Mercury Text G1"/>
          <w:noProof/>
          <w:color w:val="000000"/>
          <w:sz w:val="20"/>
          <w:szCs w:val="20"/>
          <w:lang w:eastAsia="en-GB"/>
        </w:rPr>
        <w:lastRenderedPageBreak/>
        <w:drawing>
          <wp:inline distT="0" distB="0" distL="0" distR="0" wp14:anchorId="462475CA" wp14:editId="7FC7ACCE">
            <wp:extent cx="6553200" cy="332566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4637" cy="3326397"/>
                    </a:xfrm>
                    <a:prstGeom prst="rect">
                      <a:avLst/>
                    </a:prstGeom>
                    <a:noFill/>
                    <a:ln>
                      <a:noFill/>
                    </a:ln>
                  </pic:spPr>
                </pic:pic>
              </a:graphicData>
            </a:graphic>
          </wp:inline>
        </w:drawing>
      </w:r>
    </w:p>
    <w:p w14:paraId="2FC19584" w14:textId="781122FD" w:rsidR="006625B9" w:rsidRPr="006625B9" w:rsidRDefault="006625B9" w:rsidP="006625B9">
      <w:pPr>
        <w:pStyle w:val="Caption"/>
        <w:spacing w:before="120"/>
        <w:jc w:val="center"/>
        <w:rPr>
          <w:rFonts w:cs="Mercury Text G1"/>
          <w:color w:val="auto"/>
          <w:sz w:val="24"/>
          <w:szCs w:val="20"/>
        </w:rPr>
      </w:pPr>
      <w:bookmarkStart w:id="15" w:name="_Ref485292131"/>
      <w:r w:rsidRPr="006625B9">
        <w:rPr>
          <w:color w:val="auto"/>
          <w:sz w:val="22"/>
        </w:rPr>
        <w:t xml:space="preserve">Figure </w:t>
      </w:r>
      <w:r w:rsidRPr="006625B9">
        <w:rPr>
          <w:color w:val="auto"/>
          <w:sz w:val="22"/>
        </w:rPr>
        <w:fldChar w:fldCharType="begin"/>
      </w:r>
      <w:r w:rsidRPr="006625B9">
        <w:rPr>
          <w:color w:val="auto"/>
          <w:sz w:val="22"/>
        </w:rPr>
        <w:instrText xml:space="preserve"> SEQ Figure \* ARABIC </w:instrText>
      </w:r>
      <w:r w:rsidRPr="006625B9">
        <w:rPr>
          <w:color w:val="auto"/>
          <w:sz w:val="22"/>
        </w:rPr>
        <w:fldChar w:fldCharType="separate"/>
      </w:r>
      <w:r w:rsidR="004C3E31">
        <w:rPr>
          <w:noProof/>
          <w:color w:val="auto"/>
          <w:sz w:val="22"/>
        </w:rPr>
        <w:t>15</w:t>
      </w:r>
      <w:r w:rsidRPr="006625B9">
        <w:rPr>
          <w:color w:val="auto"/>
          <w:sz w:val="22"/>
        </w:rPr>
        <w:fldChar w:fldCharType="end"/>
      </w:r>
      <w:bookmarkEnd w:id="15"/>
      <w:r w:rsidRPr="006625B9">
        <w:rPr>
          <w:color w:val="auto"/>
          <w:sz w:val="22"/>
        </w:rPr>
        <w:t xml:space="preserve"> </w:t>
      </w:r>
      <w:r w:rsidRPr="006625B9">
        <w:rPr>
          <w:b w:val="0"/>
          <w:color w:val="auto"/>
          <w:sz w:val="22"/>
        </w:rPr>
        <w:t>Example MARP structure</w:t>
      </w:r>
      <w:r>
        <w:rPr>
          <w:b w:val="0"/>
          <w:color w:val="auto"/>
          <w:sz w:val="22"/>
        </w:rPr>
        <w:t>.</w:t>
      </w:r>
    </w:p>
    <w:p w14:paraId="3091B801" w14:textId="77777777" w:rsidR="00E46D2D" w:rsidRDefault="00E46D2D" w:rsidP="00E46D2D"/>
    <w:p w14:paraId="614CCA0A" w14:textId="2BE5D73A" w:rsidR="006625B9" w:rsidRDefault="007310E0" w:rsidP="007310E0">
      <w:pPr>
        <w:jc w:val="both"/>
        <w:rPr>
          <w:rFonts w:cs="Mercury Text G1"/>
          <w:color w:val="000000"/>
        </w:rPr>
      </w:pPr>
      <w:r>
        <w:rPr>
          <w:rFonts w:cs="Mercury Text G1"/>
          <w:color w:val="000000"/>
        </w:rPr>
        <w:t>T</w:t>
      </w:r>
      <w:r w:rsidR="006625B9" w:rsidRPr="006625B9">
        <w:rPr>
          <w:rFonts w:cs="Mercury Text G1"/>
          <w:color w:val="000000"/>
        </w:rPr>
        <w:t>he most common forbearance measures used in the Irish market are arrears capitalisation and</w:t>
      </w:r>
      <w:r>
        <w:rPr>
          <w:rFonts w:cs="Mercury Text G1"/>
          <w:color w:val="000000"/>
        </w:rPr>
        <w:t xml:space="preserve"> </w:t>
      </w:r>
      <w:r w:rsidR="006625B9" w:rsidRPr="006625B9">
        <w:rPr>
          <w:rFonts w:cs="Mercury Text G1"/>
          <w:color w:val="000000"/>
        </w:rPr>
        <w:t>reduced monthly payments</w:t>
      </w:r>
      <w:r w:rsidR="006625B9" w:rsidRPr="007310E0">
        <w:rPr>
          <w:rFonts w:cs="Mercury Text G1"/>
        </w:rPr>
        <w:t>.</w:t>
      </w:r>
      <w:r w:rsidRPr="007310E0">
        <w:rPr>
          <w:rFonts w:cs="Mercury Text G1"/>
        </w:rPr>
        <w:t xml:space="preserve"> Typically, a resolution strategy will attempt to maximise the net present value (NPV) of a loan portfolio while also adhering to the appropriate laws and regulations, such as the Mortgage Arrears Resolution Process in accordance with the Central Banks CCMA.</w:t>
      </w:r>
      <w:r>
        <w:rPr>
          <w:rFonts w:cs="Mercury Text G1"/>
          <w:color w:val="000000"/>
        </w:rPr>
        <w:t xml:space="preserve"> </w:t>
      </w:r>
    </w:p>
    <w:p w14:paraId="59EFCD01" w14:textId="77777777" w:rsidR="006625B9" w:rsidRDefault="006625B9" w:rsidP="00E46D2D">
      <w:pPr>
        <w:rPr>
          <w:rFonts w:cs="Mercury Text G1"/>
          <w:color w:val="000000"/>
        </w:rPr>
      </w:pPr>
    </w:p>
    <w:p w14:paraId="414A2E0B" w14:textId="77777777" w:rsidR="00D41B6C" w:rsidRPr="00765938" w:rsidRDefault="00D41B6C" w:rsidP="00765938">
      <w:pPr>
        <w:pStyle w:val="Heading2"/>
      </w:pPr>
      <w:r w:rsidRPr="00765938">
        <w:t>Legal uncertainties</w:t>
      </w:r>
    </w:p>
    <w:p w14:paraId="55D532C3" w14:textId="77777777" w:rsidR="00D41B6C" w:rsidRDefault="00D41B6C" w:rsidP="0099149F">
      <w:pPr>
        <w:jc w:val="both"/>
      </w:pPr>
      <w:r>
        <w:t>The ability to undertake secured lending is ultimately dependent on the power to realise the security if needed. This is a cornerstone of secured lending and, by extension, an effectively functioning mortgage market. Relative to many other European jurisdictions, including those with lower levels of non-performing loans, the legal process through which lenders effect security is now substantially longer in Ireland.</w:t>
      </w:r>
    </w:p>
    <w:p w14:paraId="6F0949B7" w14:textId="77777777" w:rsidR="00D41B6C" w:rsidRDefault="00D41B6C" w:rsidP="00D41B6C"/>
    <w:p w14:paraId="525DDA61" w14:textId="77777777" w:rsidR="00D41B6C" w:rsidRDefault="00D41B6C" w:rsidP="00D41B6C">
      <w:pPr>
        <w:pStyle w:val="Default"/>
        <w:rPr>
          <w:sz w:val="22"/>
          <w:szCs w:val="22"/>
        </w:rPr>
      </w:pPr>
      <w:r>
        <w:rPr>
          <w:sz w:val="22"/>
          <w:szCs w:val="22"/>
        </w:rPr>
        <w:t xml:space="preserve">The time taken to go through the court process for residential property repossessions will mean that there will continue to be a cohort of borrowers that remain in arrears, with limited restructuring activity taking place. </w:t>
      </w:r>
    </w:p>
    <w:p w14:paraId="758FA077" w14:textId="77777777" w:rsidR="00D41B6C" w:rsidRDefault="00D41B6C" w:rsidP="00D41B6C"/>
    <w:p w14:paraId="220BDE48" w14:textId="77777777" w:rsidR="00D41B6C" w:rsidRDefault="00D41B6C" w:rsidP="00D41B6C">
      <w:pPr>
        <w:keepNext/>
        <w:jc w:val="center"/>
      </w:pPr>
      <w:r>
        <w:rPr>
          <w:noProof/>
          <w:lang w:eastAsia="en-GB"/>
        </w:rPr>
        <w:lastRenderedPageBreak/>
        <w:drawing>
          <wp:inline distT="0" distB="0" distL="0" distR="0" wp14:anchorId="2C47AE77" wp14:editId="54FCC67F">
            <wp:extent cx="4914900" cy="29241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924175"/>
                    </a:xfrm>
                    <a:prstGeom prst="rect">
                      <a:avLst/>
                    </a:prstGeom>
                    <a:noFill/>
                    <a:ln w="9525" cmpd="sng">
                      <a:solidFill>
                        <a:srgbClr val="000000"/>
                      </a:solidFill>
                      <a:miter lim="800000"/>
                      <a:headEnd/>
                      <a:tailEnd/>
                    </a:ln>
                    <a:effectLst/>
                  </pic:spPr>
                </pic:pic>
              </a:graphicData>
            </a:graphic>
          </wp:inline>
        </w:drawing>
      </w:r>
    </w:p>
    <w:p w14:paraId="3C5B3D1C" w14:textId="3B9706B5" w:rsidR="00D41B6C" w:rsidRDefault="00D41B6C" w:rsidP="00D41B6C">
      <w:pPr>
        <w:pStyle w:val="Caption"/>
        <w:spacing w:before="120" w:after="120"/>
        <w:jc w:val="center"/>
        <w:rPr>
          <w:b w:val="0"/>
          <w:color w:val="auto"/>
          <w:sz w:val="22"/>
        </w:rPr>
      </w:pPr>
      <w:r>
        <w:rPr>
          <w:color w:val="auto"/>
          <w:sz w:val="22"/>
        </w:rPr>
        <w:t xml:space="preserve">Figure </w:t>
      </w:r>
      <w:r>
        <w:rPr>
          <w:color w:val="auto"/>
          <w:sz w:val="22"/>
        </w:rPr>
        <w:fldChar w:fldCharType="begin"/>
      </w:r>
      <w:r>
        <w:rPr>
          <w:color w:val="auto"/>
          <w:sz w:val="22"/>
        </w:rPr>
        <w:instrText xml:space="preserve"> SEQ Figure \* ARABIC </w:instrText>
      </w:r>
      <w:r>
        <w:rPr>
          <w:color w:val="auto"/>
          <w:sz w:val="22"/>
        </w:rPr>
        <w:fldChar w:fldCharType="separate"/>
      </w:r>
      <w:r w:rsidR="004C3E31">
        <w:rPr>
          <w:noProof/>
          <w:color w:val="auto"/>
          <w:sz w:val="22"/>
        </w:rPr>
        <w:t>16</w:t>
      </w:r>
      <w:r>
        <w:rPr>
          <w:color w:val="auto"/>
          <w:sz w:val="22"/>
        </w:rPr>
        <w:fldChar w:fldCharType="end"/>
      </w:r>
      <w:r>
        <w:rPr>
          <w:color w:val="auto"/>
          <w:sz w:val="22"/>
        </w:rPr>
        <w:t xml:space="preserve"> </w:t>
      </w:r>
      <w:r>
        <w:rPr>
          <w:b w:val="0"/>
          <w:color w:val="auto"/>
          <w:sz w:val="22"/>
        </w:rPr>
        <w:t>Number of proceedings issued in the Irish courts for enforcement of security in relation to PDH mortgages (Q3 release by the Central Bank of Ireland)</w:t>
      </w:r>
    </w:p>
    <w:p w14:paraId="1344238E" w14:textId="77777777" w:rsidR="00D41B6C" w:rsidRDefault="00D41B6C" w:rsidP="00D41B6C"/>
    <w:p w14:paraId="3814C3E5" w14:textId="77777777" w:rsidR="00D41B6C" w:rsidRDefault="00D41B6C" w:rsidP="00D41B6C">
      <w:pPr>
        <w:jc w:val="center"/>
      </w:pPr>
      <w:r>
        <w:rPr>
          <w:noProof/>
          <w:lang w:eastAsia="en-GB"/>
        </w:rPr>
        <w:drawing>
          <wp:inline distT="0" distB="0" distL="0" distR="0" wp14:anchorId="0057E9FB" wp14:editId="47B7EE9E">
            <wp:extent cx="5000625" cy="32004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3200400"/>
                    </a:xfrm>
                    <a:prstGeom prst="rect">
                      <a:avLst/>
                    </a:prstGeom>
                    <a:noFill/>
                    <a:ln w="9525" cmpd="sng">
                      <a:solidFill>
                        <a:srgbClr val="000000"/>
                      </a:solidFill>
                      <a:miter lim="800000"/>
                      <a:headEnd/>
                      <a:tailEnd/>
                    </a:ln>
                    <a:effectLst/>
                  </pic:spPr>
                </pic:pic>
              </a:graphicData>
            </a:graphic>
          </wp:inline>
        </w:drawing>
      </w:r>
    </w:p>
    <w:p w14:paraId="0FAC02B5" w14:textId="7C2DB897" w:rsidR="00D41B6C" w:rsidRDefault="00D41B6C" w:rsidP="00D41B6C">
      <w:pPr>
        <w:pStyle w:val="Caption"/>
        <w:spacing w:before="120" w:after="120"/>
        <w:jc w:val="center"/>
        <w:rPr>
          <w:b w:val="0"/>
          <w:color w:val="auto"/>
          <w:sz w:val="22"/>
        </w:rPr>
      </w:pPr>
      <w:r>
        <w:rPr>
          <w:color w:val="auto"/>
          <w:sz w:val="22"/>
        </w:rPr>
        <w:t xml:space="preserve">Figure </w:t>
      </w:r>
      <w:r>
        <w:rPr>
          <w:color w:val="auto"/>
          <w:sz w:val="22"/>
        </w:rPr>
        <w:fldChar w:fldCharType="begin"/>
      </w:r>
      <w:r>
        <w:rPr>
          <w:color w:val="auto"/>
          <w:sz w:val="22"/>
        </w:rPr>
        <w:instrText xml:space="preserve"> SEQ Figure \* ARABIC </w:instrText>
      </w:r>
      <w:r>
        <w:rPr>
          <w:color w:val="auto"/>
          <w:sz w:val="22"/>
        </w:rPr>
        <w:fldChar w:fldCharType="separate"/>
      </w:r>
      <w:r w:rsidR="004C3E31">
        <w:rPr>
          <w:noProof/>
          <w:color w:val="auto"/>
          <w:sz w:val="22"/>
        </w:rPr>
        <w:t>17</w:t>
      </w:r>
      <w:r>
        <w:rPr>
          <w:color w:val="auto"/>
          <w:sz w:val="22"/>
        </w:rPr>
        <w:fldChar w:fldCharType="end"/>
      </w:r>
      <w:r>
        <w:rPr>
          <w:color w:val="auto"/>
          <w:sz w:val="22"/>
        </w:rPr>
        <w:t xml:space="preserve"> </w:t>
      </w:r>
      <w:r>
        <w:rPr>
          <w:b w:val="0"/>
          <w:color w:val="auto"/>
          <w:sz w:val="22"/>
        </w:rPr>
        <w:t>PDH mortgages actually repossessed on foot of a court order (Q3 release by the Central Bank of Ireland)</w:t>
      </w:r>
    </w:p>
    <w:p w14:paraId="5EFDBC1C" w14:textId="2FB366BD" w:rsidR="0097022E" w:rsidRDefault="0099149F" w:rsidP="006F1467">
      <w:r w:rsidRPr="00487948">
        <w:t>Dunne ruling effects the total population. During the LGD model build we had to move accounts from the litigation stock of accounts into the loss category</w:t>
      </w:r>
      <w:r>
        <w:t>.</w:t>
      </w:r>
    </w:p>
    <w:sectPr w:rsidR="0097022E">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AE4C2" w14:textId="77777777" w:rsidR="00AB1EFB" w:rsidRDefault="00AB1EFB" w:rsidP="00805B7D">
      <w:r>
        <w:separator/>
      </w:r>
    </w:p>
  </w:endnote>
  <w:endnote w:type="continuationSeparator" w:id="0">
    <w:p w14:paraId="0DFC1BF1" w14:textId="77777777" w:rsidR="00AB1EFB" w:rsidRDefault="00AB1EFB" w:rsidP="00805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rcury Text G1">
    <w:altName w:val="Mercury Text G1"/>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Lato">
    <w:altName w:val="Times New Roma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104138"/>
      <w:docPartObj>
        <w:docPartGallery w:val="Page Numbers (Bottom of Page)"/>
        <w:docPartUnique/>
      </w:docPartObj>
    </w:sdtPr>
    <w:sdtEndPr>
      <w:rPr>
        <w:noProof/>
      </w:rPr>
    </w:sdtEndPr>
    <w:sdtContent>
      <w:p w14:paraId="7AF7DAFA" w14:textId="77777777" w:rsidR="00AB1EFB" w:rsidRDefault="00AB1EFB">
        <w:pPr>
          <w:pStyle w:val="Footer"/>
          <w:jc w:val="right"/>
        </w:pPr>
        <w:r>
          <w:fldChar w:fldCharType="begin"/>
        </w:r>
        <w:r>
          <w:instrText xml:space="preserve"> PAGE   \* MERGEFORMAT </w:instrText>
        </w:r>
        <w:r>
          <w:fldChar w:fldCharType="separate"/>
        </w:r>
        <w:r w:rsidR="00F90048">
          <w:rPr>
            <w:noProof/>
          </w:rPr>
          <w:t>25</w:t>
        </w:r>
        <w:r>
          <w:rPr>
            <w:noProof/>
          </w:rPr>
          <w:fldChar w:fldCharType="end"/>
        </w:r>
      </w:p>
    </w:sdtContent>
  </w:sdt>
  <w:p w14:paraId="1198B4A4" w14:textId="77777777" w:rsidR="00AB1EFB" w:rsidRDefault="00AB1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52177" w14:textId="77777777" w:rsidR="00AB1EFB" w:rsidRDefault="00AB1EFB" w:rsidP="00805B7D">
      <w:r>
        <w:separator/>
      </w:r>
    </w:p>
  </w:footnote>
  <w:footnote w:type="continuationSeparator" w:id="0">
    <w:p w14:paraId="24DE43A2" w14:textId="77777777" w:rsidR="00AB1EFB" w:rsidRDefault="00AB1EFB" w:rsidP="00805B7D">
      <w:r>
        <w:continuationSeparator/>
      </w:r>
    </w:p>
  </w:footnote>
  <w:footnote w:id="1">
    <w:p w14:paraId="0F1108CD" w14:textId="77777777" w:rsidR="00E25DED" w:rsidRPr="00135722" w:rsidRDefault="00E25DED">
      <w:pPr>
        <w:pStyle w:val="FootnoteText"/>
        <w:rPr>
          <w:rFonts w:asciiTheme="minorHAnsi" w:hAnsiTheme="minorHAnsi"/>
          <w:sz w:val="18"/>
          <w:szCs w:val="18"/>
        </w:rPr>
      </w:pPr>
      <w:r w:rsidRPr="00135722">
        <w:rPr>
          <w:rStyle w:val="FootnoteReference"/>
          <w:rFonts w:asciiTheme="minorHAnsi" w:hAnsiTheme="minorHAnsi"/>
          <w:sz w:val="18"/>
          <w:szCs w:val="18"/>
        </w:rPr>
        <w:footnoteRef/>
      </w:r>
      <w:r w:rsidRPr="00135722">
        <w:rPr>
          <w:rFonts w:asciiTheme="minorHAnsi" w:hAnsiTheme="minorHAnsi"/>
          <w:sz w:val="18"/>
          <w:szCs w:val="18"/>
        </w:rPr>
        <w:t xml:space="preserve"> </w:t>
      </w:r>
      <w:r w:rsidRPr="00135722">
        <w:rPr>
          <w:rStyle w:val="Strong"/>
          <w:rFonts w:asciiTheme="minorHAnsi" w:hAnsiTheme="minorHAnsi" w:cs="Arial"/>
          <w:b w:val="0"/>
          <w:color w:val="000000"/>
          <w:sz w:val="18"/>
          <w:szCs w:val="18"/>
          <w:shd w:val="clear" w:color="auto" w:fill="FFFFFF"/>
        </w:rPr>
        <w:t>GVA + taxes on products - subsidies on products = GDP</w:t>
      </w:r>
    </w:p>
  </w:footnote>
  <w:footnote w:id="2">
    <w:p w14:paraId="1B8B4796" w14:textId="77777777" w:rsidR="00E25DED" w:rsidRDefault="00E25DED" w:rsidP="00135722">
      <w:pPr>
        <w:pStyle w:val="FootnoteText"/>
        <w:jc w:val="both"/>
      </w:pPr>
      <w:r w:rsidRPr="00135722">
        <w:rPr>
          <w:rStyle w:val="FootnoteReference"/>
          <w:rFonts w:asciiTheme="minorHAnsi" w:hAnsiTheme="minorHAnsi"/>
          <w:sz w:val="18"/>
          <w:szCs w:val="18"/>
        </w:rPr>
        <w:footnoteRef/>
      </w:r>
      <w:r w:rsidRPr="00135722">
        <w:rPr>
          <w:rFonts w:asciiTheme="minorHAnsi" w:hAnsiTheme="minorHAnsi"/>
          <w:sz w:val="18"/>
          <w:szCs w:val="18"/>
        </w:rPr>
        <w:t xml:space="preserve"> A small number of very large multinationals restructured their operations in 2015. This led to a bigger share of GVA from their global production chains being booked in Ireland but had a limited impact on domestic economic activity.</w:t>
      </w:r>
    </w:p>
  </w:footnote>
  <w:footnote w:id="3">
    <w:p w14:paraId="4946184A" w14:textId="77777777" w:rsidR="00AB1EFB" w:rsidRDefault="00AB1EFB" w:rsidP="00460C8F">
      <w:pPr>
        <w:pStyle w:val="FootnoteText"/>
      </w:pPr>
      <w:r>
        <w:rPr>
          <w:rStyle w:val="FootnoteReference"/>
        </w:rPr>
        <w:footnoteRef/>
      </w:r>
      <w:r>
        <w:t xml:space="preserve"> </w:t>
      </w:r>
      <w:r w:rsidRPr="00091BB0">
        <w:t>These include taxes on immovable property or net wealth, taxes on the change of ownership of property through inheritance or gift and taxes on financial and capital transactions. This indicator relates to government as a whole (all government levels).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D5"/>
    <w:multiLevelType w:val="hybridMultilevel"/>
    <w:tmpl w:val="522836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C689E"/>
    <w:multiLevelType w:val="multilevel"/>
    <w:tmpl w:val="A150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72F9B"/>
    <w:multiLevelType w:val="hybridMultilevel"/>
    <w:tmpl w:val="0DDE5998"/>
    <w:lvl w:ilvl="0" w:tplc="28CA45FA">
      <w:numFmt w:val="bullet"/>
      <w:lvlText w:val="-"/>
      <w:lvlJc w:val="left"/>
      <w:pPr>
        <w:ind w:left="405" w:hanging="360"/>
      </w:pPr>
      <w:rPr>
        <w:rFonts w:ascii="Calibri" w:eastAsia="SimSun" w:hAnsi="Calibri" w:cs="Calibri" w:hint="default"/>
      </w:rPr>
    </w:lvl>
    <w:lvl w:ilvl="1" w:tplc="08090003">
      <w:start w:val="1"/>
      <w:numFmt w:val="bullet"/>
      <w:lvlText w:val="o"/>
      <w:lvlJc w:val="left"/>
      <w:pPr>
        <w:ind w:left="1125" w:hanging="360"/>
      </w:pPr>
      <w:rPr>
        <w:rFonts w:ascii="Courier New" w:hAnsi="Courier New" w:cs="Courier New" w:hint="default"/>
      </w:rPr>
    </w:lvl>
    <w:lvl w:ilvl="2" w:tplc="08090005">
      <w:start w:val="1"/>
      <w:numFmt w:val="bullet"/>
      <w:lvlText w:val=""/>
      <w:lvlJc w:val="left"/>
      <w:pPr>
        <w:ind w:left="1845" w:hanging="360"/>
      </w:pPr>
      <w:rPr>
        <w:rFonts w:ascii="Wingdings" w:hAnsi="Wingdings" w:hint="default"/>
      </w:rPr>
    </w:lvl>
    <w:lvl w:ilvl="3" w:tplc="08090001">
      <w:start w:val="1"/>
      <w:numFmt w:val="bullet"/>
      <w:lvlText w:val=""/>
      <w:lvlJc w:val="left"/>
      <w:pPr>
        <w:ind w:left="2565" w:hanging="360"/>
      </w:pPr>
      <w:rPr>
        <w:rFonts w:ascii="Symbol" w:hAnsi="Symbol" w:hint="default"/>
      </w:rPr>
    </w:lvl>
    <w:lvl w:ilvl="4" w:tplc="08090003">
      <w:start w:val="1"/>
      <w:numFmt w:val="bullet"/>
      <w:lvlText w:val="o"/>
      <w:lvlJc w:val="left"/>
      <w:pPr>
        <w:ind w:left="3285" w:hanging="360"/>
      </w:pPr>
      <w:rPr>
        <w:rFonts w:ascii="Courier New" w:hAnsi="Courier New" w:cs="Courier New" w:hint="default"/>
      </w:rPr>
    </w:lvl>
    <w:lvl w:ilvl="5" w:tplc="08090005">
      <w:start w:val="1"/>
      <w:numFmt w:val="bullet"/>
      <w:lvlText w:val=""/>
      <w:lvlJc w:val="left"/>
      <w:pPr>
        <w:ind w:left="4005" w:hanging="360"/>
      </w:pPr>
      <w:rPr>
        <w:rFonts w:ascii="Wingdings" w:hAnsi="Wingdings" w:hint="default"/>
      </w:rPr>
    </w:lvl>
    <w:lvl w:ilvl="6" w:tplc="08090001">
      <w:start w:val="1"/>
      <w:numFmt w:val="bullet"/>
      <w:lvlText w:val=""/>
      <w:lvlJc w:val="left"/>
      <w:pPr>
        <w:ind w:left="4725" w:hanging="360"/>
      </w:pPr>
      <w:rPr>
        <w:rFonts w:ascii="Symbol" w:hAnsi="Symbol" w:hint="default"/>
      </w:rPr>
    </w:lvl>
    <w:lvl w:ilvl="7" w:tplc="08090003">
      <w:start w:val="1"/>
      <w:numFmt w:val="bullet"/>
      <w:lvlText w:val="o"/>
      <w:lvlJc w:val="left"/>
      <w:pPr>
        <w:ind w:left="5445" w:hanging="360"/>
      </w:pPr>
      <w:rPr>
        <w:rFonts w:ascii="Courier New" w:hAnsi="Courier New" w:cs="Courier New" w:hint="default"/>
      </w:rPr>
    </w:lvl>
    <w:lvl w:ilvl="8" w:tplc="08090005">
      <w:start w:val="1"/>
      <w:numFmt w:val="bullet"/>
      <w:lvlText w:val=""/>
      <w:lvlJc w:val="left"/>
      <w:pPr>
        <w:ind w:left="6165" w:hanging="360"/>
      </w:pPr>
      <w:rPr>
        <w:rFonts w:ascii="Wingdings" w:hAnsi="Wingdings" w:hint="default"/>
      </w:rPr>
    </w:lvl>
  </w:abstractNum>
  <w:abstractNum w:abstractNumId="3" w15:restartNumberingAfterBreak="0">
    <w:nsid w:val="183B40DD"/>
    <w:multiLevelType w:val="hybridMultilevel"/>
    <w:tmpl w:val="4B38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340BD"/>
    <w:multiLevelType w:val="hybridMultilevel"/>
    <w:tmpl w:val="A634A4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EBC4148"/>
    <w:multiLevelType w:val="hybridMultilevel"/>
    <w:tmpl w:val="8C5E64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05B6E1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756464F"/>
    <w:multiLevelType w:val="hybridMultilevel"/>
    <w:tmpl w:val="15106C76"/>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8" w15:restartNumberingAfterBreak="0">
    <w:nsid w:val="2CC06DDB"/>
    <w:multiLevelType w:val="multilevel"/>
    <w:tmpl w:val="B4048E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820689"/>
    <w:multiLevelType w:val="hybridMultilevel"/>
    <w:tmpl w:val="ED78C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4294856"/>
    <w:multiLevelType w:val="hybridMultilevel"/>
    <w:tmpl w:val="78BAE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3DF1105B"/>
    <w:multiLevelType w:val="hybridMultilevel"/>
    <w:tmpl w:val="147E8D7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12E32D9"/>
    <w:multiLevelType w:val="hybridMultilevel"/>
    <w:tmpl w:val="E12CE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5406CC"/>
    <w:multiLevelType w:val="hybridMultilevel"/>
    <w:tmpl w:val="4046243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45964FF2"/>
    <w:multiLevelType w:val="hybridMultilevel"/>
    <w:tmpl w:val="7854B2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B194E29"/>
    <w:multiLevelType w:val="hybridMultilevel"/>
    <w:tmpl w:val="652CB3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D921504"/>
    <w:multiLevelType w:val="multilevel"/>
    <w:tmpl w:val="E9062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471A14"/>
    <w:multiLevelType w:val="hybridMultilevel"/>
    <w:tmpl w:val="4A5E5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605B88"/>
    <w:multiLevelType w:val="hybridMultilevel"/>
    <w:tmpl w:val="7958A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6A1369"/>
    <w:multiLevelType w:val="multilevel"/>
    <w:tmpl w:val="28B87F0C"/>
    <w:lvl w:ilvl="0">
      <w:start w:val="1"/>
      <w:numFmt w:val="decimal"/>
      <w:lvlText w:val="%1"/>
      <w:lvlJc w:val="left"/>
      <w:pPr>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A40188C"/>
    <w:multiLevelType w:val="hybridMultilevel"/>
    <w:tmpl w:val="444ED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F5469D2"/>
    <w:multiLevelType w:val="hybridMultilevel"/>
    <w:tmpl w:val="DE82CC2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2" w15:restartNumberingAfterBreak="0">
    <w:nsid w:val="5FC72FE7"/>
    <w:multiLevelType w:val="hybridMultilevel"/>
    <w:tmpl w:val="F6A84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254D6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023461C"/>
    <w:multiLevelType w:val="hybridMultilevel"/>
    <w:tmpl w:val="E78A3A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752046"/>
    <w:multiLevelType w:val="hybridMultilevel"/>
    <w:tmpl w:val="8E8CFB8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6" w15:restartNumberingAfterBreak="0">
    <w:nsid w:val="75AF1EE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61D77B0"/>
    <w:multiLevelType w:val="hybridMultilevel"/>
    <w:tmpl w:val="B478F9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765A39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B01B6B"/>
    <w:multiLevelType w:val="hybridMultilevel"/>
    <w:tmpl w:val="2DCC3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E90EF8"/>
    <w:multiLevelType w:val="hybridMultilevel"/>
    <w:tmpl w:val="D2F0B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967CB3"/>
    <w:multiLevelType w:val="hybridMultilevel"/>
    <w:tmpl w:val="53520BAC"/>
    <w:lvl w:ilvl="0" w:tplc="08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2" w15:restartNumberingAfterBreak="0">
    <w:nsid w:val="7FEF4451"/>
    <w:multiLevelType w:val="hybridMultilevel"/>
    <w:tmpl w:val="3CACF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32"/>
  </w:num>
  <w:num w:numId="4">
    <w:abstractNumId w:val="0"/>
  </w:num>
  <w:num w:numId="5">
    <w:abstractNumId w:val="17"/>
  </w:num>
  <w:num w:numId="6">
    <w:abstractNumId w:val="24"/>
  </w:num>
  <w:num w:numId="7">
    <w:abstractNumId w:val="18"/>
  </w:num>
  <w:num w:numId="8">
    <w:abstractNumId w:val="23"/>
  </w:num>
  <w:num w:numId="9">
    <w:abstractNumId w:val="22"/>
  </w:num>
  <w:num w:numId="10">
    <w:abstractNumId w:val="29"/>
  </w:num>
  <w:num w:numId="11">
    <w:abstractNumId w:val="4"/>
  </w:num>
  <w:num w:numId="12">
    <w:abstractNumId w:val="3"/>
  </w:num>
  <w:num w:numId="13">
    <w:abstractNumId w:val="8"/>
  </w:num>
  <w:num w:numId="14">
    <w:abstractNumId w:val="19"/>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3"/>
  </w:num>
  <w:num w:numId="19">
    <w:abstractNumId w:val="12"/>
  </w:num>
  <w:num w:numId="20">
    <w:abstractNumId w:val="20"/>
  </w:num>
  <w:num w:numId="21">
    <w:abstractNumId w:val="16"/>
  </w:num>
  <w:num w:numId="22">
    <w:abstractNumId w:val="11"/>
  </w:num>
  <w:num w:numId="23">
    <w:abstractNumId w:val="14"/>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7"/>
  </w:num>
  <w:num w:numId="27">
    <w:abstractNumId w:val="30"/>
  </w:num>
  <w:num w:numId="28">
    <w:abstractNumId w:val="9"/>
  </w:num>
  <w:num w:numId="29">
    <w:abstractNumId w:val="2"/>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5"/>
  </w:num>
  <w:num w:numId="33">
    <w:abstractNumId w:val="15"/>
  </w:num>
  <w:num w:numId="34">
    <w:abstractNumId w:val="6"/>
  </w:num>
  <w:num w:numId="35">
    <w:abstractNumId w:val="28"/>
  </w:num>
  <w:num w:numId="36">
    <w:abstractNumId w:val="26"/>
  </w:num>
  <w:num w:numId="37">
    <w:abstractNumId w:val="19"/>
  </w:num>
  <w:num w:numId="38">
    <w:abstractNumId w:val="23"/>
  </w:num>
  <w:num w:numId="39">
    <w:abstractNumId w:val="23"/>
  </w:num>
  <w:num w:numId="40">
    <w:abstractNumId w:val="23"/>
  </w:num>
  <w:num w:numId="41">
    <w:abstractNumId w:val="23"/>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424"/>
    <w:rsid w:val="0000440B"/>
    <w:rsid w:val="00006435"/>
    <w:rsid w:val="0002422F"/>
    <w:rsid w:val="00026246"/>
    <w:rsid w:val="00030B36"/>
    <w:rsid w:val="000674B8"/>
    <w:rsid w:val="00074EFC"/>
    <w:rsid w:val="00091BB0"/>
    <w:rsid w:val="00094449"/>
    <w:rsid w:val="00097FC6"/>
    <w:rsid w:val="000E1D1E"/>
    <w:rsid w:val="000E5FB0"/>
    <w:rsid w:val="00117610"/>
    <w:rsid w:val="00121C7A"/>
    <w:rsid w:val="0013031D"/>
    <w:rsid w:val="00135722"/>
    <w:rsid w:val="00142AE2"/>
    <w:rsid w:val="00145B0B"/>
    <w:rsid w:val="001463B3"/>
    <w:rsid w:val="00155346"/>
    <w:rsid w:val="0017024B"/>
    <w:rsid w:val="001756E3"/>
    <w:rsid w:val="00196D6A"/>
    <w:rsid w:val="001D714D"/>
    <w:rsid w:val="001E39E6"/>
    <w:rsid w:val="001E5AEA"/>
    <w:rsid w:val="001F2496"/>
    <w:rsid w:val="001F6889"/>
    <w:rsid w:val="002266C3"/>
    <w:rsid w:val="00236C9A"/>
    <w:rsid w:val="00247F73"/>
    <w:rsid w:val="00255713"/>
    <w:rsid w:val="00282387"/>
    <w:rsid w:val="00285FE7"/>
    <w:rsid w:val="002A12BD"/>
    <w:rsid w:val="002B30CA"/>
    <w:rsid w:val="002C46F0"/>
    <w:rsid w:val="002E0D4D"/>
    <w:rsid w:val="002E7E3E"/>
    <w:rsid w:val="002F7AA7"/>
    <w:rsid w:val="00322945"/>
    <w:rsid w:val="00334A6A"/>
    <w:rsid w:val="0034012B"/>
    <w:rsid w:val="0034470E"/>
    <w:rsid w:val="0035405F"/>
    <w:rsid w:val="00367ECF"/>
    <w:rsid w:val="0038128D"/>
    <w:rsid w:val="00397B45"/>
    <w:rsid w:val="003B7D81"/>
    <w:rsid w:val="003F1A9C"/>
    <w:rsid w:val="00407286"/>
    <w:rsid w:val="004335A2"/>
    <w:rsid w:val="00440344"/>
    <w:rsid w:val="004504C2"/>
    <w:rsid w:val="00452DC5"/>
    <w:rsid w:val="00455B79"/>
    <w:rsid w:val="00460C8F"/>
    <w:rsid w:val="00472522"/>
    <w:rsid w:val="00487241"/>
    <w:rsid w:val="004873B3"/>
    <w:rsid w:val="00487948"/>
    <w:rsid w:val="004968DD"/>
    <w:rsid w:val="00497D44"/>
    <w:rsid w:val="004A589E"/>
    <w:rsid w:val="004B3D8B"/>
    <w:rsid w:val="004C3E31"/>
    <w:rsid w:val="00514894"/>
    <w:rsid w:val="00526A05"/>
    <w:rsid w:val="00553026"/>
    <w:rsid w:val="00561A16"/>
    <w:rsid w:val="0056683E"/>
    <w:rsid w:val="00571797"/>
    <w:rsid w:val="00575D4B"/>
    <w:rsid w:val="00591EEB"/>
    <w:rsid w:val="005A112E"/>
    <w:rsid w:val="005C79BB"/>
    <w:rsid w:val="005D4257"/>
    <w:rsid w:val="005D77EF"/>
    <w:rsid w:val="005F3715"/>
    <w:rsid w:val="00607F11"/>
    <w:rsid w:val="00631B21"/>
    <w:rsid w:val="00652A69"/>
    <w:rsid w:val="006625B9"/>
    <w:rsid w:val="006A34B5"/>
    <w:rsid w:val="006A42B2"/>
    <w:rsid w:val="006A4B30"/>
    <w:rsid w:val="006B02FB"/>
    <w:rsid w:val="006C769F"/>
    <w:rsid w:val="006D31C7"/>
    <w:rsid w:val="006E1753"/>
    <w:rsid w:val="006E709E"/>
    <w:rsid w:val="006F1467"/>
    <w:rsid w:val="00702E1B"/>
    <w:rsid w:val="007310E0"/>
    <w:rsid w:val="00765938"/>
    <w:rsid w:val="00781982"/>
    <w:rsid w:val="00783C13"/>
    <w:rsid w:val="007930A0"/>
    <w:rsid w:val="007962AE"/>
    <w:rsid w:val="007D6C34"/>
    <w:rsid w:val="007F47D1"/>
    <w:rsid w:val="007F507D"/>
    <w:rsid w:val="00805B7D"/>
    <w:rsid w:val="00833017"/>
    <w:rsid w:val="00834029"/>
    <w:rsid w:val="00835426"/>
    <w:rsid w:val="00835F37"/>
    <w:rsid w:val="00845BFE"/>
    <w:rsid w:val="00851C7C"/>
    <w:rsid w:val="00864C3C"/>
    <w:rsid w:val="00875A05"/>
    <w:rsid w:val="00880A4F"/>
    <w:rsid w:val="008A15FE"/>
    <w:rsid w:val="008B0019"/>
    <w:rsid w:val="008B4227"/>
    <w:rsid w:val="008C0AAD"/>
    <w:rsid w:val="008C3A64"/>
    <w:rsid w:val="008C66AE"/>
    <w:rsid w:val="008D14F6"/>
    <w:rsid w:val="008D7E6A"/>
    <w:rsid w:val="008E5C4E"/>
    <w:rsid w:val="00916D70"/>
    <w:rsid w:val="00930271"/>
    <w:rsid w:val="00946F3F"/>
    <w:rsid w:val="0096328B"/>
    <w:rsid w:val="00964E02"/>
    <w:rsid w:val="0097022E"/>
    <w:rsid w:val="0099149F"/>
    <w:rsid w:val="009A5C78"/>
    <w:rsid w:val="009B0ED9"/>
    <w:rsid w:val="009C5686"/>
    <w:rsid w:val="009E5B71"/>
    <w:rsid w:val="00A11AB3"/>
    <w:rsid w:val="00A21CD5"/>
    <w:rsid w:val="00A262B1"/>
    <w:rsid w:val="00A416F1"/>
    <w:rsid w:val="00A42EA0"/>
    <w:rsid w:val="00A44FB6"/>
    <w:rsid w:val="00A47C62"/>
    <w:rsid w:val="00A5782C"/>
    <w:rsid w:val="00A741E0"/>
    <w:rsid w:val="00A8243C"/>
    <w:rsid w:val="00A938BE"/>
    <w:rsid w:val="00AB0ECD"/>
    <w:rsid w:val="00AB1EFB"/>
    <w:rsid w:val="00AC5756"/>
    <w:rsid w:val="00B32EAD"/>
    <w:rsid w:val="00B451C3"/>
    <w:rsid w:val="00B648A7"/>
    <w:rsid w:val="00B72CE1"/>
    <w:rsid w:val="00B73061"/>
    <w:rsid w:val="00B739CC"/>
    <w:rsid w:val="00BA6572"/>
    <w:rsid w:val="00BC00D7"/>
    <w:rsid w:val="00BD1726"/>
    <w:rsid w:val="00BE2909"/>
    <w:rsid w:val="00BF67AF"/>
    <w:rsid w:val="00C001EC"/>
    <w:rsid w:val="00C14EB8"/>
    <w:rsid w:val="00C166E1"/>
    <w:rsid w:val="00C25FA8"/>
    <w:rsid w:val="00C6591E"/>
    <w:rsid w:val="00C734A4"/>
    <w:rsid w:val="00C92175"/>
    <w:rsid w:val="00C92232"/>
    <w:rsid w:val="00CE4E6C"/>
    <w:rsid w:val="00D1775E"/>
    <w:rsid w:val="00D31F47"/>
    <w:rsid w:val="00D41B6C"/>
    <w:rsid w:val="00D42C1E"/>
    <w:rsid w:val="00D564F0"/>
    <w:rsid w:val="00D93BBA"/>
    <w:rsid w:val="00DC3921"/>
    <w:rsid w:val="00DE05D7"/>
    <w:rsid w:val="00DE7480"/>
    <w:rsid w:val="00E038A8"/>
    <w:rsid w:val="00E15266"/>
    <w:rsid w:val="00E16D9B"/>
    <w:rsid w:val="00E20644"/>
    <w:rsid w:val="00E25DED"/>
    <w:rsid w:val="00E348F3"/>
    <w:rsid w:val="00E46D2D"/>
    <w:rsid w:val="00E62F95"/>
    <w:rsid w:val="00E82F8F"/>
    <w:rsid w:val="00E97C74"/>
    <w:rsid w:val="00EA406F"/>
    <w:rsid w:val="00EB1874"/>
    <w:rsid w:val="00EB58A8"/>
    <w:rsid w:val="00EC74D2"/>
    <w:rsid w:val="00EE0424"/>
    <w:rsid w:val="00EE2F35"/>
    <w:rsid w:val="00EE70FE"/>
    <w:rsid w:val="00EF4F30"/>
    <w:rsid w:val="00F035FE"/>
    <w:rsid w:val="00F06C0A"/>
    <w:rsid w:val="00F14CB3"/>
    <w:rsid w:val="00F709E7"/>
    <w:rsid w:val="00F75377"/>
    <w:rsid w:val="00F759DE"/>
    <w:rsid w:val="00F90048"/>
    <w:rsid w:val="00F97612"/>
    <w:rsid w:val="00FA38FB"/>
    <w:rsid w:val="00FB3B2D"/>
    <w:rsid w:val="00FC1E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00168"/>
  <w15:docId w15:val="{66610742-C088-46BB-AAF1-70CAAD331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42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880A4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0A4F"/>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7C74"/>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7C74"/>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97C74"/>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97C74"/>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97C74"/>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97C74"/>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97C74"/>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424"/>
    <w:pPr>
      <w:ind w:left="720"/>
    </w:pPr>
  </w:style>
  <w:style w:type="character" w:customStyle="1" w:styleId="Heading1Char">
    <w:name w:val="Heading 1 Char"/>
    <w:basedOn w:val="DefaultParagraphFont"/>
    <w:link w:val="Heading1"/>
    <w:uiPriority w:val="9"/>
    <w:rsid w:val="00880A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0A4F"/>
    <w:rPr>
      <w:rFonts w:asciiTheme="majorHAnsi" w:eastAsiaTheme="majorEastAsia" w:hAnsiTheme="majorHAnsi" w:cstheme="majorBidi"/>
      <w:b/>
      <w:bCs/>
      <w:color w:val="4F81BD" w:themeColor="accent1"/>
      <w:sz w:val="26"/>
      <w:szCs w:val="26"/>
    </w:rPr>
  </w:style>
  <w:style w:type="paragraph" w:customStyle="1" w:styleId="Default">
    <w:name w:val="Default"/>
    <w:rsid w:val="006B02FB"/>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2F7AA7"/>
    <w:rPr>
      <w:color w:val="0000FF" w:themeColor="hyperlink"/>
      <w:u w:val="single"/>
    </w:rPr>
  </w:style>
  <w:style w:type="character" w:customStyle="1" w:styleId="Heading3Char">
    <w:name w:val="Heading 3 Char"/>
    <w:basedOn w:val="DefaultParagraphFont"/>
    <w:link w:val="Heading3"/>
    <w:uiPriority w:val="9"/>
    <w:rsid w:val="00E97C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97C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97C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97C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97C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97C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97C74"/>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7F47D1"/>
    <w:rPr>
      <w:rFonts w:ascii="Tahoma" w:hAnsi="Tahoma" w:cs="Tahoma"/>
      <w:sz w:val="16"/>
      <w:szCs w:val="16"/>
    </w:rPr>
  </w:style>
  <w:style w:type="character" w:customStyle="1" w:styleId="BalloonTextChar">
    <w:name w:val="Balloon Text Char"/>
    <w:basedOn w:val="DefaultParagraphFont"/>
    <w:link w:val="BalloonText"/>
    <w:uiPriority w:val="99"/>
    <w:semiHidden/>
    <w:rsid w:val="007F47D1"/>
    <w:rPr>
      <w:rFonts w:ascii="Tahoma" w:hAnsi="Tahoma" w:cs="Tahoma"/>
      <w:sz w:val="16"/>
      <w:szCs w:val="16"/>
    </w:rPr>
  </w:style>
  <w:style w:type="character" w:styleId="Emphasis">
    <w:name w:val="Emphasis"/>
    <w:basedOn w:val="DefaultParagraphFont"/>
    <w:uiPriority w:val="20"/>
    <w:qFormat/>
    <w:rsid w:val="00117610"/>
    <w:rPr>
      <w:i/>
      <w:iCs/>
    </w:rPr>
  </w:style>
  <w:style w:type="character" w:styleId="Strong">
    <w:name w:val="Strong"/>
    <w:basedOn w:val="DefaultParagraphFont"/>
    <w:uiPriority w:val="22"/>
    <w:qFormat/>
    <w:rsid w:val="00117610"/>
    <w:rPr>
      <w:b/>
      <w:bCs/>
    </w:rPr>
  </w:style>
  <w:style w:type="paragraph" w:styleId="NormalWeb">
    <w:name w:val="Normal (Web)"/>
    <w:basedOn w:val="Normal"/>
    <w:uiPriority w:val="99"/>
    <w:unhideWhenUsed/>
    <w:rsid w:val="00117610"/>
    <w:pPr>
      <w:spacing w:before="100" w:beforeAutospacing="1" w:after="100" w:afterAutospacing="1"/>
    </w:pPr>
    <w:rPr>
      <w:rFonts w:ascii="Times New Roman" w:eastAsia="Times New Roman" w:hAnsi="Times New Roman"/>
      <w:sz w:val="24"/>
      <w:szCs w:val="24"/>
      <w:lang w:eastAsia="en-GB"/>
    </w:rPr>
  </w:style>
  <w:style w:type="paragraph" w:styleId="Header">
    <w:name w:val="header"/>
    <w:basedOn w:val="Normal"/>
    <w:link w:val="HeaderChar"/>
    <w:uiPriority w:val="99"/>
    <w:unhideWhenUsed/>
    <w:rsid w:val="00805B7D"/>
    <w:pPr>
      <w:tabs>
        <w:tab w:val="center" w:pos="4513"/>
        <w:tab w:val="right" w:pos="9026"/>
      </w:tabs>
    </w:pPr>
  </w:style>
  <w:style w:type="character" w:customStyle="1" w:styleId="HeaderChar">
    <w:name w:val="Header Char"/>
    <w:basedOn w:val="DefaultParagraphFont"/>
    <w:link w:val="Header"/>
    <w:uiPriority w:val="99"/>
    <w:rsid w:val="00805B7D"/>
    <w:rPr>
      <w:rFonts w:ascii="Calibri" w:hAnsi="Calibri" w:cs="Times New Roman"/>
    </w:rPr>
  </w:style>
  <w:style w:type="paragraph" w:styleId="Footer">
    <w:name w:val="footer"/>
    <w:basedOn w:val="Normal"/>
    <w:link w:val="FooterChar"/>
    <w:uiPriority w:val="99"/>
    <w:unhideWhenUsed/>
    <w:rsid w:val="00805B7D"/>
    <w:pPr>
      <w:tabs>
        <w:tab w:val="center" w:pos="4513"/>
        <w:tab w:val="right" w:pos="9026"/>
      </w:tabs>
    </w:pPr>
  </w:style>
  <w:style w:type="character" w:customStyle="1" w:styleId="FooterChar">
    <w:name w:val="Footer Char"/>
    <w:basedOn w:val="DefaultParagraphFont"/>
    <w:link w:val="Footer"/>
    <w:uiPriority w:val="99"/>
    <w:rsid w:val="00805B7D"/>
    <w:rPr>
      <w:rFonts w:ascii="Calibri" w:hAnsi="Calibri" w:cs="Times New Roman"/>
    </w:rPr>
  </w:style>
  <w:style w:type="character" w:styleId="CommentReference">
    <w:name w:val="annotation reference"/>
    <w:basedOn w:val="DefaultParagraphFont"/>
    <w:uiPriority w:val="99"/>
    <w:semiHidden/>
    <w:unhideWhenUsed/>
    <w:rsid w:val="002E0D4D"/>
    <w:rPr>
      <w:sz w:val="16"/>
      <w:szCs w:val="16"/>
    </w:rPr>
  </w:style>
  <w:style w:type="paragraph" w:styleId="CommentText">
    <w:name w:val="annotation text"/>
    <w:basedOn w:val="Normal"/>
    <w:link w:val="CommentTextChar"/>
    <w:uiPriority w:val="99"/>
    <w:semiHidden/>
    <w:unhideWhenUsed/>
    <w:rsid w:val="002E0D4D"/>
    <w:rPr>
      <w:sz w:val="20"/>
      <w:szCs w:val="20"/>
    </w:rPr>
  </w:style>
  <w:style w:type="character" w:customStyle="1" w:styleId="CommentTextChar">
    <w:name w:val="Comment Text Char"/>
    <w:basedOn w:val="DefaultParagraphFont"/>
    <w:link w:val="CommentText"/>
    <w:uiPriority w:val="99"/>
    <w:semiHidden/>
    <w:rsid w:val="002E0D4D"/>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E0D4D"/>
    <w:rPr>
      <w:b/>
      <w:bCs/>
    </w:rPr>
  </w:style>
  <w:style w:type="character" w:customStyle="1" w:styleId="CommentSubjectChar">
    <w:name w:val="Comment Subject Char"/>
    <w:basedOn w:val="CommentTextChar"/>
    <w:link w:val="CommentSubject"/>
    <w:uiPriority w:val="99"/>
    <w:semiHidden/>
    <w:rsid w:val="002E0D4D"/>
    <w:rPr>
      <w:rFonts w:ascii="Calibri" w:hAnsi="Calibri" w:cs="Times New Roman"/>
      <w:b/>
      <w:bCs/>
      <w:sz w:val="20"/>
      <w:szCs w:val="20"/>
    </w:rPr>
  </w:style>
  <w:style w:type="paragraph" w:styleId="Caption">
    <w:name w:val="caption"/>
    <w:basedOn w:val="Normal"/>
    <w:next w:val="Normal"/>
    <w:link w:val="CaptionChar"/>
    <w:unhideWhenUsed/>
    <w:qFormat/>
    <w:rsid w:val="00C14EB8"/>
    <w:pPr>
      <w:spacing w:before="240"/>
    </w:pPr>
    <w:rPr>
      <w:rFonts w:asciiTheme="minorHAnsi" w:eastAsiaTheme="minorEastAsia" w:hAnsiTheme="minorHAnsi" w:cstheme="minorBidi"/>
      <w:b/>
      <w:bCs/>
      <w:color w:val="4F81BD" w:themeColor="accent1"/>
      <w:sz w:val="18"/>
      <w:szCs w:val="18"/>
    </w:rPr>
  </w:style>
  <w:style w:type="character" w:customStyle="1" w:styleId="CaptionChar">
    <w:name w:val="Caption Char"/>
    <w:link w:val="Caption"/>
    <w:locked/>
    <w:rsid w:val="00C14EB8"/>
    <w:rPr>
      <w:rFonts w:eastAsiaTheme="minorEastAsia"/>
      <w:b/>
      <w:bCs/>
      <w:color w:val="4F81BD" w:themeColor="accent1"/>
      <w:sz w:val="18"/>
      <w:szCs w:val="18"/>
    </w:rPr>
  </w:style>
  <w:style w:type="paragraph" w:styleId="FootnoteText">
    <w:name w:val="footnote text"/>
    <w:basedOn w:val="Normal"/>
    <w:link w:val="FootnoteTextChar"/>
    <w:uiPriority w:val="99"/>
    <w:semiHidden/>
    <w:unhideWhenUsed/>
    <w:rsid w:val="00091BB0"/>
    <w:rPr>
      <w:sz w:val="20"/>
      <w:szCs w:val="20"/>
    </w:rPr>
  </w:style>
  <w:style w:type="character" w:customStyle="1" w:styleId="FootnoteTextChar">
    <w:name w:val="Footnote Text Char"/>
    <w:basedOn w:val="DefaultParagraphFont"/>
    <w:link w:val="FootnoteText"/>
    <w:uiPriority w:val="99"/>
    <w:semiHidden/>
    <w:rsid w:val="00091BB0"/>
    <w:rPr>
      <w:rFonts w:ascii="Calibri" w:hAnsi="Calibri" w:cs="Times New Roman"/>
      <w:sz w:val="20"/>
      <w:szCs w:val="20"/>
    </w:rPr>
  </w:style>
  <w:style w:type="character" w:styleId="FootnoteReference">
    <w:name w:val="footnote reference"/>
    <w:basedOn w:val="DefaultParagraphFont"/>
    <w:uiPriority w:val="99"/>
    <w:semiHidden/>
    <w:unhideWhenUsed/>
    <w:rsid w:val="00091BB0"/>
    <w:rPr>
      <w:vertAlign w:val="superscript"/>
    </w:rPr>
  </w:style>
  <w:style w:type="character" w:styleId="FollowedHyperlink">
    <w:name w:val="FollowedHyperlink"/>
    <w:basedOn w:val="DefaultParagraphFont"/>
    <w:uiPriority w:val="99"/>
    <w:semiHidden/>
    <w:unhideWhenUsed/>
    <w:rsid w:val="00607F11"/>
    <w:rPr>
      <w:color w:val="800080" w:themeColor="followedHyperlink"/>
      <w:u w:val="single"/>
    </w:rPr>
  </w:style>
  <w:style w:type="paragraph" w:styleId="Revision">
    <w:name w:val="Revision"/>
    <w:hidden/>
    <w:uiPriority w:val="99"/>
    <w:semiHidden/>
    <w:rsid w:val="001E5AEA"/>
    <w:pPr>
      <w:spacing w:after="0" w:line="240" w:lineRule="auto"/>
    </w:pPr>
    <w:rPr>
      <w:rFonts w:ascii="Calibri" w:hAnsi="Calibri" w:cs="Times New Roman"/>
    </w:rPr>
  </w:style>
  <w:style w:type="character" w:customStyle="1" w:styleId="A8">
    <w:name w:val="A8"/>
    <w:uiPriority w:val="99"/>
    <w:rsid w:val="00E46D2D"/>
    <w:rPr>
      <w:rFonts w:cs="Mercury Text G1"/>
      <w:color w:val="000000"/>
      <w:sz w:val="11"/>
      <w:szCs w:val="11"/>
    </w:rPr>
  </w:style>
  <w:style w:type="character" w:customStyle="1" w:styleId="apple-converted-space">
    <w:name w:val="apple-converted-space"/>
    <w:basedOn w:val="DefaultParagraphFont"/>
    <w:rsid w:val="00BD1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64677">
      <w:bodyDiv w:val="1"/>
      <w:marLeft w:val="0"/>
      <w:marRight w:val="0"/>
      <w:marTop w:val="0"/>
      <w:marBottom w:val="0"/>
      <w:divBdr>
        <w:top w:val="none" w:sz="0" w:space="0" w:color="auto"/>
        <w:left w:val="none" w:sz="0" w:space="0" w:color="auto"/>
        <w:bottom w:val="none" w:sz="0" w:space="0" w:color="auto"/>
        <w:right w:val="none" w:sz="0" w:space="0" w:color="auto"/>
      </w:divBdr>
    </w:div>
    <w:div w:id="124198435">
      <w:bodyDiv w:val="1"/>
      <w:marLeft w:val="0"/>
      <w:marRight w:val="0"/>
      <w:marTop w:val="0"/>
      <w:marBottom w:val="0"/>
      <w:divBdr>
        <w:top w:val="none" w:sz="0" w:space="0" w:color="auto"/>
        <w:left w:val="none" w:sz="0" w:space="0" w:color="auto"/>
        <w:bottom w:val="none" w:sz="0" w:space="0" w:color="auto"/>
        <w:right w:val="none" w:sz="0" w:space="0" w:color="auto"/>
      </w:divBdr>
    </w:div>
    <w:div w:id="136730613">
      <w:bodyDiv w:val="1"/>
      <w:marLeft w:val="0"/>
      <w:marRight w:val="0"/>
      <w:marTop w:val="0"/>
      <w:marBottom w:val="0"/>
      <w:divBdr>
        <w:top w:val="none" w:sz="0" w:space="0" w:color="auto"/>
        <w:left w:val="none" w:sz="0" w:space="0" w:color="auto"/>
        <w:bottom w:val="none" w:sz="0" w:space="0" w:color="auto"/>
        <w:right w:val="none" w:sz="0" w:space="0" w:color="auto"/>
      </w:divBdr>
    </w:div>
    <w:div w:id="173422041">
      <w:bodyDiv w:val="1"/>
      <w:marLeft w:val="0"/>
      <w:marRight w:val="0"/>
      <w:marTop w:val="0"/>
      <w:marBottom w:val="0"/>
      <w:divBdr>
        <w:top w:val="none" w:sz="0" w:space="0" w:color="auto"/>
        <w:left w:val="none" w:sz="0" w:space="0" w:color="auto"/>
        <w:bottom w:val="none" w:sz="0" w:space="0" w:color="auto"/>
        <w:right w:val="none" w:sz="0" w:space="0" w:color="auto"/>
      </w:divBdr>
      <w:divsChild>
        <w:div w:id="686950157">
          <w:marLeft w:val="0"/>
          <w:marRight w:val="0"/>
          <w:marTop w:val="0"/>
          <w:marBottom w:val="0"/>
          <w:divBdr>
            <w:top w:val="none" w:sz="0" w:space="0" w:color="auto"/>
            <w:left w:val="none" w:sz="0" w:space="0" w:color="auto"/>
            <w:bottom w:val="none" w:sz="0" w:space="0" w:color="auto"/>
            <w:right w:val="none" w:sz="0" w:space="0" w:color="auto"/>
          </w:divBdr>
          <w:divsChild>
            <w:div w:id="1931889874">
              <w:marLeft w:val="0"/>
              <w:marRight w:val="0"/>
              <w:marTop w:val="150"/>
              <w:marBottom w:val="0"/>
              <w:divBdr>
                <w:top w:val="none" w:sz="0" w:space="0" w:color="auto"/>
                <w:left w:val="none" w:sz="0" w:space="0" w:color="auto"/>
                <w:bottom w:val="none" w:sz="0" w:space="0" w:color="auto"/>
                <w:right w:val="none" w:sz="0" w:space="0" w:color="auto"/>
              </w:divBdr>
              <w:divsChild>
                <w:div w:id="2105106708">
                  <w:marLeft w:val="-225"/>
                  <w:marRight w:val="-225"/>
                  <w:marTop w:val="0"/>
                  <w:marBottom w:val="0"/>
                  <w:divBdr>
                    <w:top w:val="none" w:sz="0" w:space="0" w:color="auto"/>
                    <w:left w:val="none" w:sz="0" w:space="0" w:color="auto"/>
                    <w:bottom w:val="none" w:sz="0" w:space="0" w:color="auto"/>
                    <w:right w:val="none" w:sz="0" w:space="0" w:color="auto"/>
                  </w:divBdr>
                  <w:divsChild>
                    <w:div w:id="1868251771">
                      <w:marLeft w:val="0"/>
                      <w:marRight w:val="0"/>
                      <w:marTop w:val="0"/>
                      <w:marBottom w:val="0"/>
                      <w:divBdr>
                        <w:top w:val="none" w:sz="0" w:space="0" w:color="auto"/>
                        <w:left w:val="none" w:sz="0" w:space="0" w:color="auto"/>
                        <w:bottom w:val="none" w:sz="0" w:space="0" w:color="auto"/>
                        <w:right w:val="none" w:sz="0" w:space="0" w:color="auto"/>
                      </w:divBdr>
                      <w:divsChild>
                        <w:div w:id="133724268">
                          <w:marLeft w:val="-225"/>
                          <w:marRight w:val="-225"/>
                          <w:marTop w:val="0"/>
                          <w:marBottom w:val="0"/>
                          <w:divBdr>
                            <w:top w:val="none" w:sz="0" w:space="0" w:color="auto"/>
                            <w:left w:val="none" w:sz="0" w:space="0" w:color="auto"/>
                            <w:bottom w:val="none" w:sz="0" w:space="0" w:color="auto"/>
                            <w:right w:val="none" w:sz="0" w:space="0" w:color="auto"/>
                          </w:divBdr>
                          <w:divsChild>
                            <w:div w:id="1183662291">
                              <w:marLeft w:val="0"/>
                              <w:marRight w:val="0"/>
                              <w:marTop w:val="0"/>
                              <w:marBottom w:val="0"/>
                              <w:divBdr>
                                <w:top w:val="none" w:sz="0" w:space="0" w:color="auto"/>
                                <w:left w:val="none" w:sz="0" w:space="0" w:color="auto"/>
                                <w:bottom w:val="none" w:sz="0" w:space="0" w:color="auto"/>
                                <w:right w:val="none" w:sz="0" w:space="0" w:color="auto"/>
                              </w:divBdr>
                              <w:divsChild>
                                <w:div w:id="1071392242">
                                  <w:marLeft w:val="0"/>
                                  <w:marRight w:val="0"/>
                                  <w:marTop w:val="0"/>
                                  <w:marBottom w:val="0"/>
                                  <w:divBdr>
                                    <w:top w:val="none" w:sz="0" w:space="0" w:color="auto"/>
                                    <w:left w:val="none" w:sz="0" w:space="0" w:color="auto"/>
                                    <w:bottom w:val="none" w:sz="0" w:space="0" w:color="auto"/>
                                    <w:right w:val="none" w:sz="0" w:space="0" w:color="auto"/>
                                  </w:divBdr>
                                  <w:divsChild>
                                    <w:div w:id="1072312952">
                                      <w:marLeft w:val="0"/>
                                      <w:marRight w:val="0"/>
                                      <w:marTop w:val="0"/>
                                      <w:marBottom w:val="0"/>
                                      <w:divBdr>
                                        <w:top w:val="none" w:sz="0" w:space="0" w:color="auto"/>
                                        <w:left w:val="none" w:sz="0" w:space="0" w:color="auto"/>
                                        <w:bottom w:val="none" w:sz="0" w:space="0" w:color="auto"/>
                                        <w:right w:val="none" w:sz="0" w:space="0" w:color="auto"/>
                                      </w:divBdr>
                                      <w:divsChild>
                                        <w:div w:id="1281717488">
                                          <w:marLeft w:val="0"/>
                                          <w:marRight w:val="0"/>
                                          <w:marTop w:val="0"/>
                                          <w:marBottom w:val="0"/>
                                          <w:divBdr>
                                            <w:top w:val="none" w:sz="0" w:space="0" w:color="auto"/>
                                            <w:left w:val="none" w:sz="0" w:space="0" w:color="auto"/>
                                            <w:bottom w:val="none" w:sz="0" w:space="0" w:color="auto"/>
                                            <w:right w:val="none" w:sz="0" w:space="0" w:color="auto"/>
                                          </w:divBdr>
                                          <w:divsChild>
                                            <w:div w:id="2089686289">
                                              <w:marLeft w:val="0"/>
                                              <w:marRight w:val="0"/>
                                              <w:marTop w:val="0"/>
                                              <w:marBottom w:val="0"/>
                                              <w:divBdr>
                                                <w:top w:val="none" w:sz="0" w:space="0" w:color="auto"/>
                                                <w:left w:val="none" w:sz="0" w:space="0" w:color="auto"/>
                                                <w:bottom w:val="none" w:sz="0" w:space="0" w:color="auto"/>
                                                <w:right w:val="none" w:sz="0" w:space="0" w:color="auto"/>
                                              </w:divBdr>
                                              <w:divsChild>
                                                <w:div w:id="1596329845">
                                                  <w:marLeft w:val="0"/>
                                                  <w:marRight w:val="0"/>
                                                  <w:marTop w:val="0"/>
                                                  <w:marBottom w:val="0"/>
                                                  <w:divBdr>
                                                    <w:top w:val="none" w:sz="0" w:space="0" w:color="auto"/>
                                                    <w:left w:val="none" w:sz="0" w:space="0" w:color="auto"/>
                                                    <w:bottom w:val="none" w:sz="0" w:space="0" w:color="auto"/>
                                                    <w:right w:val="none" w:sz="0" w:space="0" w:color="auto"/>
                                                  </w:divBdr>
                                                  <w:divsChild>
                                                    <w:div w:id="625040686">
                                                      <w:marLeft w:val="0"/>
                                                      <w:marRight w:val="0"/>
                                                      <w:marTop w:val="0"/>
                                                      <w:marBottom w:val="0"/>
                                                      <w:divBdr>
                                                        <w:top w:val="none" w:sz="0" w:space="0" w:color="auto"/>
                                                        <w:left w:val="none" w:sz="0" w:space="0" w:color="auto"/>
                                                        <w:bottom w:val="none" w:sz="0" w:space="0" w:color="auto"/>
                                                        <w:right w:val="none" w:sz="0" w:space="0" w:color="auto"/>
                                                      </w:divBdr>
                                                      <w:divsChild>
                                                        <w:div w:id="420220820">
                                                          <w:marLeft w:val="0"/>
                                                          <w:marRight w:val="0"/>
                                                          <w:marTop w:val="0"/>
                                                          <w:marBottom w:val="0"/>
                                                          <w:divBdr>
                                                            <w:top w:val="none" w:sz="0" w:space="0" w:color="auto"/>
                                                            <w:left w:val="none" w:sz="0" w:space="0" w:color="auto"/>
                                                            <w:bottom w:val="none" w:sz="0" w:space="0" w:color="auto"/>
                                                            <w:right w:val="none" w:sz="0" w:space="0" w:color="auto"/>
                                                          </w:divBdr>
                                                          <w:divsChild>
                                                            <w:div w:id="228000549">
                                                              <w:marLeft w:val="0"/>
                                                              <w:marRight w:val="0"/>
                                                              <w:marTop w:val="0"/>
                                                              <w:marBottom w:val="0"/>
                                                              <w:divBdr>
                                                                <w:top w:val="none" w:sz="0" w:space="0" w:color="auto"/>
                                                                <w:left w:val="none" w:sz="0" w:space="0" w:color="auto"/>
                                                                <w:bottom w:val="none" w:sz="0" w:space="0" w:color="auto"/>
                                                                <w:right w:val="none" w:sz="0" w:space="0" w:color="auto"/>
                                                              </w:divBdr>
                                                              <w:divsChild>
                                                                <w:div w:id="8219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999930">
      <w:bodyDiv w:val="1"/>
      <w:marLeft w:val="0"/>
      <w:marRight w:val="0"/>
      <w:marTop w:val="0"/>
      <w:marBottom w:val="0"/>
      <w:divBdr>
        <w:top w:val="none" w:sz="0" w:space="0" w:color="auto"/>
        <w:left w:val="none" w:sz="0" w:space="0" w:color="auto"/>
        <w:bottom w:val="none" w:sz="0" w:space="0" w:color="auto"/>
        <w:right w:val="none" w:sz="0" w:space="0" w:color="auto"/>
      </w:divBdr>
    </w:div>
    <w:div w:id="297226019">
      <w:bodyDiv w:val="1"/>
      <w:marLeft w:val="0"/>
      <w:marRight w:val="0"/>
      <w:marTop w:val="0"/>
      <w:marBottom w:val="0"/>
      <w:divBdr>
        <w:top w:val="none" w:sz="0" w:space="0" w:color="auto"/>
        <w:left w:val="none" w:sz="0" w:space="0" w:color="auto"/>
        <w:bottom w:val="none" w:sz="0" w:space="0" w:color="auto"/>
        <w:right w:val="none" w:sz="0" w:space="0" w:color="auto"/>
      </w:divBdr>
    </w:div>
    <w:div w:id="374474286">
      <w:bodyDiv w:val="1"/>
      <w:marLeft w:val="0"/>
      <w:marRight w:val="0"/>
      <w:marTop w:val="0"/>
      <w:marBottom w:val="0"/>
      <w:divBdr>
        <w:top w:val="none" w:sz="0" w:space="0" w:color="auto"/>
        <w:left w:val="none" w:sz="0" w:space="0" w:color="auto"/>
        <w:bottom w:val="none" w:sz="0" w:space="0" w:color="auto"/>
        <w:right w:val="none" w:sz="0" w:space="0" w:color="auto"/>
      </w:divBdr>
    </w:div>
    <w:div w:id="430443081">
      <w:bodyDiv w:val="1"/>
      <w:marLeft w:val="0"/>
      <w:marRight w:val="0"/>
      <w:marTop w:val="0"/>
      <w:marBottom w:val="0"/>
      <w:divBdr>
        <w:top w:val="none" w:sz="0" w:space="0" w:color="auto"/>
        <w:left w:val="none" w:sz="0" w:space="0" w:color="auto"/>
        <w:bottom w:val="none" w:sz="0" w:space="0" w:color="auto"/>
        <w:right w:val="none" w:sz="0" w:space="0" w:color="auto"/>
      </w:divBdr>
    </w:div>
    <w:div w:id="520125382">
      <w:bodyDiv w:val="1"/>
      <w:marLeft w:val="0"/>
      <w:marRight w:val="0"/>
      <w:marTop w:val="0"/>
      <w:marBottom w:val="0"/>
      <w:divBdr>
        <w:top w:val="none" w:sz="0" w:space="0" w:color="auto"/>
        <w:left w:val="none" w:sz="0" w:space="0" w:color="auto"/>
        <w:bottom w:val="none" w:sz="0" w:space="0" w:color="auto"/>
        <w:right w:val="none" w:sz="0" w:space="0" w:color="auto"/>
      </w:divBdr>
    </w:div>
    <w:div w:id="548107322">
      <w:bodyDiv w:val="1"/>
      <w:marLeft w:val="0"/>
      <w:marRight w:val="0"/>
      <w:marTop w:val="0"/>
      <w:marBottom w:val="0"/>
      <w:divBdr>
        <w:top w:val="none" w:sz="0" w:space="0" w:color="auto"/>
        <w:left w:val="none" w:sz="0" w:space="0" w:color="auto"/>
        <w:bottom w:val="none" w:sz="0" w:space="0" w:color="auto"/>
        <w:right w:val="none" w:sz="0" w:space="0" w:color="auto"/>
      </w:divBdr>
    </w:div>
    <w:div w:id="559555668">
      <w:bodyDiv w:val="1"/>
      <w:marLeft w:val="0"/>
      <w:marRight w:val="0"/>
      <w:marTop w:val="0"/>
      <w:marBottom w:val="0"/>
      <w:divBdr>
        <w:top w:val="none" w:sz="0" w:space="0" w:color="auto"/>
        <w:left w:val="none" w:sz="0" w:space="0" w:color="auto"/>
        <w:bottom w:val="none" w:sz="0" w:space="0" w:color="auto"/>
        <w:right w:val="none" w:sz="0" w:space="0" w:color="auto"/>
      </w:divBdr>
    </w:div>
    <w:div w:id="724766007">
      <w:bodyDiv w:val="1"/>
      <w:marLeft w:val="0"/>
      <w:marRight w:val="0"/>
      <w:marTop w:val="0"/>
      <w:marBottom w:val="0"/>
      <w:divBdr>
        <w:top w:val="none" w:sz="0" w:space="0" w:color="auto"/>
        <w:left w:val="none" w:sz="0" w:space="0" w:color="auto"/>
        <w:bottom w:val="none" w:sz="0" w:space="0" w:color="auto"/>
        <w:right w:val="none" w:sz="0" w:space="0" w:color="auto"/>
      </w:divBdr>
      <w:divsChild>
        <w:div w:id="1267619844">
          <w:marLeft w:val="0"/>
          <w:marRight w:val="0"/>
          <w:marTop w:val="0"/>
          <w:marBottom w:val="0"/>
          <w:divBdr>
            <w:top w:val="none" w:sz="0" w:space="0" w:color="auto"/>
            <w:left w:val="none" w:sz="0" w:space="0" w:color="auto"/>
            <w:bottom w:val="none" w:sz="0" w:space="0" w:color="auto"/>
            <w:right w:val="none" w:sz="0" w:space="0" w:color="auto"/>
          </w:divBdr>
          <w:divsChild>
            <w:div w:id="381750285">
              <w:marLeft w:val="0"/>
              <w:marRight w:val="0"/>
              <w:marTop w:val="0"/>
              <w:marBottom w:val="0"/>
              <w:divBdr>
                <w:top w:val="none" w:sz="0" w:space="0" w:color="auto"/>
                <w:left w:val="none" w:sz="0" w:space="0" w:color="auto"/>
                <w:bottom w:val="none" w:sz="0" w:space="0" w:color="auto"/>
                <w:right w:val="none" w:sz="0" w:space="0" w:color="auto"/>
              </w:divBdr>
              <w:divsChild>
                <w:div w:id="476264459">
                  <w:marLeft w:val="0"/>
                  <w:marRight w:val="0"/>
                  <w:marTop w:val="0"/>
                  <w:marBottom w:val="0"/>
                  <w:divBdr>
                    <w:top w:val="none" w:sz="0" w:space="0" w:color="auto"/>
                    <w:left w:val="none" w:sz="0" w:space="0" w:color="auto"/>
                    <w:bottom w:val="none" w:sz="0" w:space="0" w:color="auto"/>
                    <w:right w:val="none" w:sz="0" w:space="0" w:color="auto"/>
                  </w:divBdr>
                  <w:divsChild>
                    <w:div w:id="1340084533">
                      <w:marLeft w:val="0"/>
                      <w:marRight w:val="0"/>
                      <w:marTop w:val="0"/>
                      <w:marBottom w:val="0"/>
                      <w:divBdr>
                        <w:top w:val="none" w:sz="0" w:space="0" w:color="auto"/>
                        <w:left w:val="none" w:sz="0" w:space="0" w:color="auto"/>
                        <w:bottom w:val="none" w:sz="0" w:space="0" w:color="auto"/>
                        <w:right w:val="none" w:sz="0" w:space="0" w:color="auto"/>
                      </w:divBdr>
                      <w:divsChild>
                        <w:div w:id="1306278201">
                          <w:marLeft w:val="0"/>
                          <w:marRight w:val="0"/>
                          <w:marTop w:val="0"/>
                          <w:marBottom w:val="0"/>
                          <w:divBdr>
                            <w:top w:val="none" w:sz="0" w:space="0" w:color="auto"/>
                            <w:left w:val="none" w:sz="0" w:space="0" w:color="auto"/>
                            <w:bottom w:val="none" w:sz="0" w:space="0" w:color="auto"/>
                            <w:right w:val="none" w:sz="0" w:space="0" w:color="auto"/>
                          </w:divBdr>
                          <w:divsChild>
                            <w:div w:id="105196022">
                              <w:marLeft w:val="0"/>
                              <w:marRight w:val="0"/>
                              <w:marTop w:val="0"/>
                              <w:marBottom w:val="0"/>
                              <w:divBdr>
                                <w:top w:val="none" w:sz="0" w:space="0" w:color="auto"/>
                                <w:left w:val="none" w:sz="0" w:space="0" w:color="auto"/>
                                <w:bottom w:val="none" w:sz="0" w:space="0" w:color="auto"/>
                                <w:right w:val="none" w:sz="0" w:space="0" w:color="auto"/>
                              </w:divBdr>
                              <w:divsChild>
                                <w:div w:id="279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794040">
      <w:bodyDiv w:val="1"/>
      <w:marLeft w:val="0"/>
      <w:marRight w:val="0"/>
      <w:marTop w:val="0"/>
      <w:marBottom w:val="0"/>
      <w:divBdr>
        <w:top w:val="none" w:sz="0" w:space="0" w:color="auto"/>
        <w:left w:val="none" w:sz="0" w:space="0" w:color="auto"/>
        <w:bottom w:val="none" w:sz="0" w:space="0" w:color="auto"/>
        <w:right w:val="none" w:sz="0" w:space="0" w:color="auto"/>
      </w:divBdr>
    </w:div>
    <w:div w:id="788233598">
      <w:bodyDiv w:val="1"/>
      <w:marLeft w:val="0"/>
      <w:marRight w:val="0"/>
      <w:marTop w:val="0"/>
      <w:marBottom w:val="0"/>
      <w:divBdr>
        <w:top w:val="none" w:sz="0" w:space="0" w:color="auto"/>
        <w:left w:val="none" w:sz="0" w:space="0" w:color="auto"/>
        <w:bottom w:val="none" w:sz="0" w:space="0" w:color="auto"/>
        <w:right w:val="none" w:sz="0" w:space="0" w:color="auto"/>
      </w:divBdr>
    </w:div>
    <w:div w:id="956370246">
      <w:bodyDiv w:val="1"/>
      <w:marLeft w:val="0"/>
      <w:marRight w:val="0"/>
      <w:marTop w:val="0"/>
      <w:marBottom w:val="0"/>
      <w:divBdr>
        <w:top w:val="none" w:sz="0" w:space="0" w:color="auto"/>
        <w:left w:val="none" w:sz="0" w:space="0" w:color="auto"/>
        <w:bottom w:val="none" w:sz="0" w:space="0" w:color="auto"/>
        <w:right w:val="none" w:sz="0" w:space="0" w:color="auto"/>
      </w:divBdr>
    </w:div>
    <w:div w:id="1055272862">
      <w:bodyDiv w:val="1"/>
      <w:marLeft w:val="0"/>
      <w:marRight w:val="0"/>
      <w:marTop w:val="0"/>
      <w:marBottom w:val="0"/>
      <w:divBdr>
        <w:top w:val="none" w:sz="0" w:space="0" w:color="auto"/>
        <w:left w:val="none" w:sz="0" w:space="0" w:color="auto"/>
        <w:bottom w:val="none" w:sz="0" w:space="0" w:color="auto"/>
        <w:right w:val="none" w:sz="0" w:space="0" w:color="auto"/>
      </w:divBdr>
    </w:div>
    <w:div w:id="1092162523">
      <w:bodyDiv w:val="1"/>
      <w:marLeft w:val="0"/>
      <w:marRight w:val="0"/>
      <w:marTop w:val="0"/>
      <w:marBottom w:val="0"/>
      <w:divBdr>
        <w:top w:val="none" w:sz="0" w:space="0" w:color="auto"/>
        <w:left w:val="none" w:sz="0" w:space="0" w:color="auto"/>
        <w:bottom w:val="none" w:sz="0" w:space="0" w:color="auto"/>
        <w:right w:val="none" w:sz="0" w:space="0" w:color="auto"/>
      </w:divBdr>
      <w:divsChild>
        <w:div w:id="1313873790">
          <w:marLeft w:val="0"/>
          <w:marRight w:val="0"/>
          <w:marTop w:val="0"/>
          <w:marBottom w:val="0"/>
          <w:divBdr>
            <w:top w:val="none" w:sz="0" w:space="0" w:color="auto"/>
            <w:left w:val="none" w:sz="0" w:space="0" w:color="auto"/>
            <w:bottom w:val="none" w:sz="0" w:space="0" w:color="auto"/>
            <w:right w:val="none" w:sz="0" w:space="0" w:color="auto"/>
          </w:divBdr>
          <w:divsChild>
            <w:div w:id="1554996639">
              <w:marLeft w:val="0"/>
              <w:marRight w:val="0"/>
              <w:marTop w:val="0"/>
              <w:marBottom w:val="0"/>
              <w:divBdr>
                <w:top w:val="none" w:sz="0" w:space="0" w:color="auto"/>
                <w:left w:val="none" w:sz="0" w:space="0" w:color="auto"/>
                <w:bottom w:val="none" w:sz="0" w:space="0" w:color="auto"/>
                <w:right w:val="none" w:sz="0" w:space="0" w:color="auto"/>
              </w:divBdr>
              <w:divsChild>
                <w:div w:id="12128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996341">
      <w:bodyDiv w:val="1"/>
      <w:marLeft w:val="0"/>
      <w:marRight w:val="0"/>
      <w:marTop w:val="0"/>
      <w:marBottom w:val="0"/>
      <w:divBdr>
        <w:top w:val="none" w:sz="0" w:space="0" w:color="auto"/>
        <w:left w:val="none" w:sz="0" w:space="0" w:color="auto"/>
        <w:bottom w:val="none" w:sz="0" w:space="0" w:color="auto"/>
        <w:right w:val="none" w:sz="0" w:space="0" w:color="auto"/>
      </w:divBdr>
    </w:div>
    <w:div w:id="1490288806">
      <w:bodyDiv w:val="1"/>
      <w:marLeft w:val="0"/>
      <w:marRight w:val="0"/>
      <w:marTop w:val="0"/>
      <w:marBottom w:val="0"/>
      <w:divBdr>
        <w:top w:val="none" w:sz="0" w:space="0" w:color="auto"/>
        <w:left w:val="none" w:sz="0" w:space="0" w:color="auto"/>
        <w:bottom w:val="none" w:sz="0" w:space="0" w:color="auto"/>
        <w:right w:val="none" w:sz="0" w:space="0" w:color="auto"/>
      </w:divBdr>
    </w:div>
    <w:div w:id="1557354372">
      <w:bodyDiv w:val="1"/>
      <w:marLeft w:val="0"/>
      <w:marRight w:val="0"/>
      <w:marTop w:val="0"/>
      <w:marBottom w:val="0"/>
      <w:divBdr>
        <w:top w:val="none" w:sz="0" w:space="0" w:color="auto"/>
        <w:left w:val="none" w:sz="0" w:space="0" w:color="auto"/>
        <w:bottom w:val="none" w:sz="0" w:space="0" w:color="auto"/>
        <w:right w:val="none" w:sz="0" w:space="0" w:color="auto"/>
      </w:divBdr>
      <w:divsChild>
        <w:div w:id="2087413743">
          <w:marLeft w:val="0"/>
          <w:marRight w:val="0"/>
          <w:marTop w:val="0"/>
          <w:marBottom w:val="0"/>
          <w:divBdr>
            <w:top w:val="none" w:sz="0" w:space="0" w:color="auto"/>
            <w:left w:val="none" w:sz="0" w:space="0" w:color="auto"/>
            <w:bottom w:val="none" w:sz="0" w:space="0" w:color="auto"/>
            <w:right w:val="none" w:sz="0" w:space="0" w:color="auto"/>
          </w:divBdr>
          <w:divsChild>
            <w:div w:id="1765682462">
              <w:marLeft w:val="0"/>
              <w:marRight w:val="0"/>
              <w:marTop w:val="0"/>
              <w:marBottom w:val="0"/>
              <w:divBdr>
                <w:top w:val="none" w:sz="0" w:space="0" w:color="auto"/>
                <w:left w:val="none" w:sz="0" w:space="0" w:color="auto"/>
                <w:bottom w:val="none" w:sz="0" w:space="0" w:color="auto"/>
                <w:right w:val="none" w:sz="0" w:space="0" w:color="auto"/>
              </w:divBdr>
              <w:divsChild>
                <w:div w:id="854657664">
                  <w:marLeft w:val="0"/>
                  <w:marRight w:val="0"/>
                  <w:marTop w:val="0"/>
                  <w:marBottom w:val="0"/>
                  <w:divBdr>
                    <w:top w:val="none" w:sz="0" w:space="0" w:color="auto"/>
                    <w:left w:val="none" w:sz="0" w:space="0" w:color="auto"/>
                    <w:bottom w:val="none" w:sz="0" w:space="0" w:color="auto"/>
                    <w:right w:val="none" w:sz="0" w:space="0" w:color="auto"/>
                  </w:divBdr>
                  <w:divsChild>
                    <w:div w:id="5402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998168">
      <w:bodyDiv w:val="1"/>
      <w:marLeft w:val="0"/>
      <w:marRight w:val="0"/>
      <w:marTop w:val="0"/>
      <w:marBottom w:val="0"/>
      <w:divBdr>
        <w:top w:val="none" w:sz="0" w:space="0" w:color="auto"/>
        <w:left w:val="none" w:sz="0" w:space="0" w:color="auto"/>
        <w:bottom w:val="none" w:sz="0" w:space="0" w:color="auto"/>
        <w:right w:val="none" w:sz="0" w:space="0" w:color="auto"/>
      </w:divBdr>
    </w:div>
    <w:div w:id="1727026891">
      <w:bodyDiv w:val="1"/>
      <w:marLeft w:val="0"/>
      <w:marRight w:val="0"/>
      <w:marTop w:val="0"/>
      <w:marBottom w:val="0"/>
      <w:divBdr>
        <w:top w:val="none" w:sz="0" w:space="0" w:color="auto"/>
        <w:left w:val="none" w:sz="0" w:space="0" w:color="auto"/>
        <w:bottom w:val="none" w:sz="0" w:space="0" w:color="auto"/>
        <w:right w:val="none" w:sz="0" w:space="0" w:color="auto"/>
      </w:divBdr>
    </w:div>
    <w:div w:id="1744570094">
      <w:bodyDiv w:val="1"/>
      <w:marLeft w:val="0"/>
      <w:marRight w:val="0"/>
      <w:marTop w:val="0"/>
      <w:marBottom w:val="0"/>
      <w:divBdr>
        <w:top w:val="none" w:sz="0" w:space="0" w:color="auto"/>
        <w:left w:val="none" w:sz="0" w:space="0" w:color="auto"/>
        <w:bottom w:val="none" w:sz="0" w:space="0" w:color="auto"/>
        <w:right w:val="none" w:sz="0" w:space="0" w:color="auto"/>
      </w:divBdr>
    </w:div>
    <w:div w:id="2014331296">
      <w:bodyDiv w:val="1"/>
      <w:marLeft w:val="0"/>
      <w:marRight w:val="0"/>
      <w:marTop w:val="0"/>
      <w:marBottom w:val="0"/>
      <w:divBdr>
        <w:top w:val="none" w:sz="0" w:space="0" w:color="auto"/>
        <w:left w:val="none" w:sz="0" w:space="0" w:color="auto"/>
        <w:bottom w:val="none" w:sz="0" w:space="0" w:color="auto"/>
        <w:right w:val="none" w:sz="0" w:space="0" w:color="auto"/>
      </w:divBdr>
    </w:div>
    <w:div w:id="2031031355">
      <w:bodyDiv w:val="1"/>
      <w:marLeft w:val="0"/>
      <w:marRight w:val="0"/>
      <w:marTop w:val="0"/>
      <w:marBottom w:val="0"/>
      <w:divBdr>
        <w:top w:val="none" w:sz="0" w:space="0" w:color="auto"/>
        <w:left w:val="none" w:sz="0" w:space="0" w:color="auto"/>
        <w:bottom w:val="none" w:sz="0" w:space="0" w:color="auto"/>
        <w:right w:val="none" w:sz="0" w:space="0" w:color="auto"/>
      </w:divBdr>
      <w:divsChild>
        <w:div w:id="255134554">
          <w:marLeft w:val="0"/>
          <w:marRight w:val="0"/>
          <w:marTop w:val="0"/>
          <w:marBottom w:val="0"/>
          <w:divBdr>
            <w:top w:val="none" w:sz="0" w:space="0" w:color="auto"/>
            <w:left w:val="none" w:sz="0" w:space="0" w:color="auto"/>
            <w:bottom w:val="none" w:sz="0" w:space="0" w:color="auto"/>
            <w:right w:val="none" w:sz="0" w:space="0" w:color="auto"/>
          </w:divBdr>
          <w:divsChild>
            <w:div w:id="597175863">
              <w:marLeft w:val="0"/>
              <w:marRight w:val="0"/>
              <w:marTop w:val="0"/>
              <w:marBottom w:val="0"/>
              <w:divBdr>
                <w:top w:val="none" w:sz="0" w:space="0" w:color="auto"/>
                <w:left w:val="none" w:sz="0" w:space="0" w:color="auto"/>
                <w:bottom w:val="none" w:sz="0" w:space="0" w:color="auto"/>
                <w:right w:val="none" w:sz="0" w:space="0" w:color="auto"/>
              </w:divBdr>
              <w:divsChild>
                <w:div w:id="2019230211">
                  <w:marLeft w:val="0"/>
                  <w:marRight w:val="0"/>
                  <w:marTop w:val="0"/>
                  <w:marBottom w:val="0"/>
                  <w:divBdr>
                    <w:top w:val="none" w:sz="0" w:space="0" w:color="auto"/>
                    <w:left w:val="none" w:sz="0" w:space="0" w:color="auto"/>
                    <w:bottom w:val="none" w:sz="0" w:space="0" w:color="auto"/>
                    <w:right w:val="none" w:sz="0" w:space="0" w:color="auto"/>
                  </w:divBdr>
                  <w:divsChild>
                    <w:div w:id="858392850">
                      <w:marLeft w:val="0"/>
                      <w:marRight w:val="0"/>
                      <w:marTop w:val="0"/>
                      <w:marBottom w:val="0"/>
                      <w:divBdr>
                        <w:top w:val="none" w:sz="0" w:space="0" w:color="auto"/>
                        <w:left w:val="none" w:sz="0" w:space="0" w:color="auto"/>
                        <w:bottom w:val="none" w:sz="0" w:space="0" w:color="auto"/>
                        <w:right w:val="none" w:sz="0" w:space="0" w:color="auto"/>
                      </w:divBdr>
                      <w:divsChild>
                        <w:div w:id="169831720">
                          <w:marLeft w:val="0"/>
                          <w:marRight w:val="0"/>
                          <w:marTop w:val="0"/>
                          <w:marBottom w:val="0"/>
                          <w:divBdr>
                            <w:top w:val="none" w:sz="0" w:space="0" w:color="auto"/>
                            <w:left w:val="none" w:sz="0" w:space="0" w:color="auto"/>
                            <w:bottom w:val="none" w:sz="0" w:space="0" w:color="auto"/>
                            <w:right w:val="none" w:sz="0" w:space="0" w:color="auto"/>
                          </w:divBdr>
                          <w:divsChild>
                            <w:div w:id="1664040436">
                              <w:marLeft w:val="0"/>
                              <w:marRight w:val="0"/>
                              <w:marTop w:val="0"/>
                              <w:marBottom w:val="0"/>
                              <w:divBdr>
                                <w:top w:val="none" w:sz="0" w:space="0" w:color="auto"/>
                                <w:left w:val="none" w:sz="0" w:space="0" w:color="auto"/>
                                <w:bottom w:val="none" w:sz="0" w:space="0" w:color="auto"/>
                                <w:right w:val="none" w:sz="0" w:space="0" w:color="auto"/>
                              </w:divBdr>
                            </w:div>
                            <w:div w:id="1426344105">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sChild>
            </w:div>
            <w:div w:id="2046712576">
              <w:marLeft w:val="0"/>
              <w:marRight w:val="0"/>
              <w:marTop w:val="0"/>
              <w:marBottom w:val="0"/>
              <w:divBdr>
                <w:top w:val="none" w:sz="0" w:space="0" w:color="auto"/>
                <w:left w:val="none" w:sz="0" w:space="0" w:color="auto"/>
                <w:bottom w:val="none" w:sz="0" w:space="0" w:color="auto"/>
                <w:right w:val="none" w:sz="0" w:space="0" w:color="auto"/>
              </w:divBdr>
              <w:divsChild>
                <w:div w:id="1890342382">
                  <w:marLeft w:val="0"/>
                  <w:marRight w:val="0"/>
                  <w:marTop w:val="0"/>
                  <w:marBottom w:val="0"/>
                  <w:divBdr>
                    <w:top w:val="none" w:sz="0" w:space="0" w:color="auto"/>
                    <w:left w:val="none" w:sz="0" w:space="0" w:color="auto"/>
                    <w:bottom w:val="none" w:sz="0" w:space="0" w:color="auto"/>
                    <w:right w:val="none" w:sz="0" w:space="0" w:color="auto"/>
                  </w:divBdr>
                  <w:divsChild>
                    <w:div w:id="279184460">
                      <w:marLeft w:val="0"/>
                      <w:marRight w:val="0"/>
                      <w:marTop w:val="0"/>
                      <w:marBottom w:val="0"/>
                      <w:divBdr>
                        <w:top w:val="none" w:sz="0" w:space="0" w:color="auto"/>
                        <w:left w:val="none" w:sz="0" w:space="0" w:color="auto"/>
                        <w:bottom w:val="none" w:sz="0" w:space="0" w:color="auto"/>
                        <w:right w:val="none" w:sz="0" w:space="0" w:color="auto"/>
                      </w:divBdr>
                      <w:divsChild>
                        <w:div w:id="793519117">
                          <w:marLeft w:val="0"/>
                          <w:marRight w:val="0"/>
                          <w:marTop w:val="0"/>
                          <w:marBottom w:val="0"/>
                          <w:divBdr>
                            <w:top w:val="none" w:sz="0" w:space="0" w:color="auto"/>
                            <w:left w:val="none" w:sz="0" w:space="0" w:color="auto"/>
                            <w:bottom w:val="none" w:sz="0" w:space="0" w:color="auto"/>
                            <w:right w:val="none" w:sz="0" w:space="0" w:color="auto"/>
                          </w:divBdr>
                          <w:divsChild>
                            <w:div w:id="1591036734">
                              <w:marLeft w:val="0"/>
                              <w:marRight w:val="0"/>
                              <w:marTop w:val="0"/>
                              <w:marBottom w:val="0"/>
                              <w:divBdr>
                                <w:top w:val="none" w:sz="0" w:space="0" w:color="auto"/>
                                <w:left w:val="none" w:sz="0" w:space="0" w:color="auto"/>
                                <w:bottom w:val="none" w:sz="0" w:space="0" w:color="auto"/>
                                <w:right w:val="none" w:sz="0" w:space="0" w:color="auto"/>
                              </w:divBdr>
                              <w:divsChild>
                                <w:div w:id="1047677494">
                                  <w:marLeft w:val="0"/>
                                  <w:marRight w:val="0"/>
                                  <w:marTop w:val="0"/>
                                  <w:marBottom w:val="960"/>
                                  <w:divBdr>
                                    <w:top w:val="none" w:sz="0" w:space="0" w:color="auto"/>
                                    <w:left w:val="none" w:sz="0" w:space="0" w:color="auto"/>
                                    <w:bottom w:val="none" w:sz="0" w:space="0" w:color="auto"/>
                                    <w:right w:val="none" w:sz="0" w:space="0" w:color="auto"/>
                                  </w:divBdr>
                                  <w:divsChild>
                                    <w:div w:id="1826510749">
                                      <w:marLeft w:val="0"/>
                                      <w:marRight w:val="0"/>
                                      <w:marTop w:val="0"/>
                                      <w:marBottom w:val="0"/>
                                      <w:divBdr>
                                        <w:top w:val="none" w:sz="0" w:space="0" w:color="auto"/>
                                        <w:left w:val="none" w:sz="0" w:space="0" w:color="auto"/>
                                        <w:bottom w:val="none" w:sz="0" w:space="0" w:color="auto"/>
                                        <w:right w:val="none" w:sz="0" w:space="0" w:color="auto"/>
                                      </w:divBdr>
                                      <w:divsChild>
                                        <w:div w:id="942804490">
                                          <w:marLeft w:val="0"/>
                                          <w:marRight w:val="0"/>
                                          <w:marTop w:val="0"/>
                                          <w:marBottom w:val="0"/>
                                          <w:divBdr>
                                            <w:top w:val="none" w:sz="0" w:space="0" w:color="auto"/>
                                            <w:left w:val="none" w:sz="0" w:space="0" w:color="auto"/>
                                            <w:bottom w:val="none" w:sz="0" w:space="0" w:color="auto"/>
                                            <w:right w:val="none" w:sz="0" w:space="0" w:color="auto"/>
                                          </w:divBdr>
                                        </w:div>
                                        <w:div w:id="860361376">
                                          <w:marLeft w:val="0"/>
                                          <w:marRight w:val="0"/>
                                          <w:marTop w:val="0"/>
                                          <w:marBottom w:val="0"/>
                                          <w:divBdr>
                                            <w:top w:val="none" w:sz="0" w:space="0" w:color="auto"/>
                                            <w:left w:val="none" w:sz="0" w:space="0" w:color="auto"/>
                                            <w:bottom w:val="none" w:sz="0" w:space="0" w:color="auto"/>
                                            <w:right w:val="none" w:sz="0" w:space="0" w:color="auto"/>
                                          </w:divBdr>
                                        </w:div>
                                        <w:div w:id="424888808">
                                          <w:marLeft w:val="0"/>
                                          <w:marRight w:val="0"/>
                                          <w:marTop w:val="0"/>
                                          <w:marBottom w:val="0"/>
                                          <w:divBdr>
                                            <w:top w:val="none" w:sz="0" w:space="0" w:color="auto"/>
                                            <w:left w:val="none" w:sz="0" w:space="0" w:color="auto"/>
                                            <w:bottom w:val="none" w:sz="0" w:space="0" w:color="auto"/>
                                            <w:right w:val="none" w:sz="0" w:space="0" w:color="auto"/>
                                          </w:divBdr>
                                        </w:div>
                                        <w:div w:id="1540125107">
                                          <w:marLeft w:val="0"/>
                                          <w:marRight w:val="0"/>
                                          <w:marTop w:val="0"/>
                                          <w:marBottom w:val="0"/>
                                          <w:divBdr>
                                            <w:top w:val="none" w:sz="0" w:space="0" w:color="auto"/>
                                            <w:left w:val="none" w:sz="0" w:space="0" w:color="auto"/>
                                            <w:bottom w:val="none" w:sz="0" w:space="0" w:color="auto"/>
                                            <w:right w:val="none" w:sz="0" w:space="0" w:color="auto"/>
                                          </w:divBdr>
                                        </w:div>
                                        <w:div w:id="402530558">
                                          <w:marLeft w:val="0"/>
                                          <w:marRight w:val="0"/>
                                          <w:marTop w:val="0"/>
                                          <w:marBottom w:val="0"/>
                                          <w:divBdr>
                                            <w:top w:val="none" w:sz="0" w:space="0" w:color="auto"/>
                                            <w:left w:val="none" w:sz="0" w:space="0" w:color="auto"/>
                                            <w:bottom w:val="none" w:sz="0" w:space="0" w:color="auto"/>
                                            <w:right w:val="none" w:sz="0" w:space="0" w:color="auto"/>
                                          </w:divBdr>
                                        </w:div>
                                        <w:div w:id="1003708402">
                                          <w:marLeft w:val="0"/>
                                          <w:marRight w:val="0"/>
                                          <w:marTop w:val="0"/>
                                          <w:marBottom w:val="0"/>
                                          <w:divBdr>
                                            <w:top w:val="none" w:sz="0" w:space="0" w:color="auto"/>
                                            <w:left w:val="none" w:sz="0" w:space="0" w:color="auto"/>
                                            <w:bottom w:val="none" w:sz="0" w:space="0" w:color="auto"/>
                                            <w:right w:val="none" w:sz="0" w:space="0" w:color="auto"/>
                                          </w:divBdr>
                                        </w:div>
                                        <w:div w:id="1644768847">
                                          <w:marLeft w:val="0"/>
                                          <w:marRight w:val="0"/>
                                          <w:marTop w:val="0"/>
                                          <w:marBottom w:val="0"/>
                                          <w:divBdr>
                                            <w:top w:val="none" w:sz="0" w:space="0" w:color="auto"/>
                                            <w:left w:val="none" w:sz="0" w:space="0" w:color="auto"/>
                                            <w:bottom w:val="none" w:sz="0" w:space="0" w:color="auto"/>
                                            <w:right w:val="none" w:sz="0" w:space="0" w:color="auto"/>
                                          </w:divBdr>
                                        </w:div>
                                        <w:div w:id="654527280">
                                          <w:marLeft w:val="0"/>
                                          <w:marRight w:val="0"/>
                                          <w:marTop w:val="0"/>
                                          <w:marBottom w:val="0"/>
                                          <w:divBdr>
                                            <w:top w:val="none" w:sz="0" w:space="0" w:color="auto"/>
                                            <w:left w:val="none" w:sz="0" w:space="0" w:color="auto"/>
                                            <w:bottom w:val="none" w:sz="0" w:space="0" w:color="auto"/>
                                            <w:right w:val="none" w:sz="0" w:space="0" w:color="auto"/>
                                          </w:divBdr>
                                        </w:div>
                                        <w:div w:id="2107849132">
                                          <w:marLeft w:val="0"/>
                                          <w:marRight w:val="0"/>
                                          <w:marTop w:val="0"/>
                                          <w:marBottom w:val="0"/>
                                          <w:divBdr>
                                            <w:top w:val="none" w:sz="0" w:space="0" w:color="auto"/>
                                            <w:left w:val="none" w:sz="0" w:space="0" w:color="auto"/>
                                            <w:bottom w:val="none" w:sz="0" w:space="0" w:color="auto"/>
                                            <w:right w:val="none" w:sz="0" w:space="0" w:color="auto"/>
                                          </w:divBdr>
                                        </w:div>
                                        <w:div w:id="448594245">
                                          <w:marLeft w:val="0"/>
                                          <w:marRight w:val="0"/>
                                          <w:marTop w:val="0"/>
                                          <w:marBottom w:val="0"/>
                                          <w:divBdr>
                                            <w:top w:val="none" w:sz="0" w:space="0" w:color="auto"/>
                                            <w:left w:val="none" w:sz="0" w:space="0" w:color="auto"/>
                                            <w:bottom w:val="none" w:sz="0" w:space="0" w:color="auto"/>
                                            <w:right w:val="none" w:sz="0" w:space="0" w:color="auto"/>
                                          </w:divBdr>
                                        </w:div>
                                        <w:div w:id="1283614022">
                                          <w:marLeft w:val="0"/>
                                          <w:marRight w:val="0"/>
                                          <w:marTop w:val="0"/>
                                          <w:marBottom w:val="0"/>
                                          <w:divBdr>
                                            <w:top w:val="none" w:sz="0" w:space="0" w:color="auto"/>
                                            <w:left w:val="none" w:sz="0" w:space="0" w:color="auto"/>
                                            <w:bottom w:val="none" w:sz="0" w:space="0" w:color="auto"/>
                                            <w:right w:val="none" w:sz="0" w:space="0" w:color="auto"/>
                                          </w:divBdr>
                                        </w:div>
                                        <w:div w:id="1254242807">
                                          <w:marLeft w:val="0"/>
                                          <w:marRight w:val="0"/>
                                          <w:marTop w:val="0"/>
                                          <w:marBottom w:val="0"/>
                                          <w:divBdr>
                                            <w:top w:val="none" w:sz="0" w:space="0" w:color="auto"/>
                                            <w:left w:val="none" w:sz="0" w:space="0" w:color="auto"/>
                                            <w:bottom w:val="none" w:sz="0" w:space="0" w:color="auto"/>
                                            <w:right w:val="none" w:sz="0" w:space="0" w:color="auto"/>
                                          </w:divBdr>
                                        </w:div>
                                        <w:div w:id="1198397911">
                                          <w:marLeft w:val="0"/>
                                          <w:marRight w:val="0"/>
                                          <w:marTop w:val="0"/>
                                          <w:marBottom w:val="0"/>
                                          <w:divBdr>
                                            <w:top w:val="none" w:sz="0" w:space="0" w:color="auto"/>
                                            <w:left w:val="none" w:sz="0" w:space="0" w:color="auto"/>
                                            <w:bottom w:val="none" w:sz="0" w:space="0" w:color="auto"/>
                                            <w:right w:val="none" w:sz="0" w:space="0" w:color="auto"/>
                                          </w:divBdr>
                                        </w:div>
                                        <w:div w:id="1633708697">
                                          <w:marLeft w:val="0"/>
                                          <w:marRight w:val="0"/>
                                          <w:marTop w:val="0"/>
                                          <w:marBottom w:val="0"/>
                                          <w:divBdr>
                                            <w:top w:val="none" w:sz="0" w:space="0" w:color="auto"/>
                                            <w:left w:val="none" w:sz="0" w:space="0" w:color="auto"/>
                                            <w:bottom w:val="none" w:sz="0" w:space="0" w:color="auto"/>
                                            <w:right w:val="none" w:sz="0" w:space="0" w:color="auto"/>
                                          </w:divBdr>
                                        </w:div>
                                        <w:div w:id="610161884">
                                          <w:marLeft w:val="0"/>
                                          <w:marRight w:val="0"/>
                                          <w:marTop w:val="0"/>
                                          <w:marBottom w:val="0"/>
                                          <w:divBdr>
                                            <w:top w:val="none" w:sz="0" w:space="0" w:color="auto"/>
                                            <w:left w:val="none" w:sz="0" w:space="0" w:color="auto"/>
                                            <w:bottom w:val="none" w:sz="0" w:space="0" w:color="auto"/>
                                            <w:right w:val="none" w:sz="0" w:space="0" w:color="auto"/>
                                          </w:divBdr>
                                        </w:div>
                                        <w:div w:id="177040862">
                                          <w:marLeft w:val="0"/>
                                          <w:marRight w:val="0"/>
                                          <w:marTop w:val="0"/>
                                          <w:marBottom w:val="0"/>
                                          <w:divBdr>
                                            <w:top w:val="none" w:sz="0" w:space="0" w:color="auto"/>
                                            <w:left w:val="none" w:sz="0" w:space="0" w:color="auto"/>
                                            <w:bottom w:val="none" w:sz="0" w:space="0" w:color="auto"/>
                                            <w:right w:val="none" w:sz="0" w:space="0" w:color="auto"/>
                                          </w:divBdr>
                                        </w:div>
                                        <w:div w:id="1993673649">
                                          <w:marLeft w:val="0"/>
                                          <w:marRight w:val="0"/>
                                          <w:marTop w:val="0"/>
                                          <w:marBottom w:val="0"/>
                                          <w:divBdr>
                                            <w:top w:val="none" w:sz="0" w:space="0" w:color="auto"/>
                                            <w:left w:val="none" w:sz="0" w:space="0" w:color="auto"/>
                                            <w:bottom w:val="none" w:sz="0" w:space="0" w:color="auto"/>
                                            <w:right w:val="none" w:sz="0" w:space="0" w:color="auto"/>
                                          </w:divBdr>
                                        </w:div>
                                        <w:div w:id="541328443">
                                          <w:marLeft w:val="0"/>
                                          <w:marRight w:val="0"/>
                                          <w:marTop w:val="0"/>
                                          <w:marBottom w:val="0"/>
                                          <w:divBdr>
                                            <w:top w:val="none" w:sz="0" w:space="0" w:color="auto"/>
                                            <w:left w:val="none" w:sz="0" w:space="0" w:color="auto"/>
                                            <w:bottom w:val="none" w:sz="0" w:space="0" w:color="auto"/>
                                            <w:right w:val="none" w:sz="0" w:space="0" w:color="auto"/>
                                          </w:divBdr>
                                        </w:div>
                                        <w:div w:id="1708724562">
                                          <w:marLeft w:val="0"/>
                                          <w:marRight w:val="0"/>
                                          <w:marTop w:val="0"/>
                                          <w:marBottom w:val="0"/>
                                          <w:divBdr>
                                            <w:top w:val="none" w:sz="0" w:space="0" w:color="auto"/>
                                            <w:left w:val="none" w:sz="0" w:space="0" w:color="auto"/>
                                            <w:bottom w:val="none" w:sz="0" w:space="0" w:color="auto"/>
                                            <w:right w:val="none" w:sz="0" w:space="0" w:color="auto"/>
                                          </w:divBdr>
                                        </w:div>
                                        <w:div w:id="1996913792">
                                          <w:marLeft w:val="0"/>
                                          <w:marRight w:val="0"/>
                                          <w:marTop w:val="0"/>
                                          <w:marBottom w:val="0"/>
                                          <w:divBdr>
                                            <w:top w:val="none" w:sz="0" w:space="0" w:color="auto"/>
                                            <w:left w:val="none" w:sz="0" w:space="0" w:color="auto"/>
                                            <w:bottom w:val="none" w:sz="0" w:space="0" w:color="auto"/>
                                            <w:right w:val="none" w:sz="0" w:space="0" w:color="auto"/>
                                          </w:divBdr>
                                        </w:div>
                                        <w:div w:id="1872301102">
                                          <w:marLeft w:val="0"/>
                                          <w:marRight w:val="0"/>
                                          <w:marTop w:val="0"/>
                                          <w:marBottom w:val="0"/>
                                          <w:divBdr>
                                            <w:top w:val="none" w:sz="0" w:space="0" w:color="auto"/>
                                            <w:left w:val="none" w:sz="0" w:space="0" w:color="auto"/>
                                            <w:bottom w:val="none" w:sz="0" w:space="0" w:color="auto"/>
                                            <w:right w:val="none" w:sz="0" w:space="0" w:color="auto"/>
                                          </w:divBdr>
                                        </w:div>
                                        <w:div w:id="1534492063">
                                          <w:marLeft w:val="0"/>
                                          <w:marRight w:val="0"/>
                                          <w:marTop w:val="0"/>
                                          <w:marBottom w:val="0"/>
                                          <w:divBdr>
                                            <w:top w:val="none" w:sz="0" w:space="0" w:color="auto"/>
                                            <w:left w:val="none" w:sz="0" w:space="0" w:color="auto"/>
                                            <w:bottom w:val="none" w:sz="0" w:space="0" w:color="auto"/>
                                            <w:right w:val="none" w:sz="0" w:space="0" w:color="auto"/>
                                          </w:divBdr>
                                        </w:div>
                                        <w:div w:id="1706909276">
                                          <w:marLeft w:val="0"/>
                                          <w:marRight w:val="0"/>
                                          <w:marTop w:val="0"/>
                                          <w:marBottom w:val="0"/>
                                          <w:divBdr>
                                            <w:top w:val="none" w:sz="0" w:space="0" w:color="auto"/>
                                            <w:left w:val="none" w:sz="0" w:space="0" w:color="auto"/>
                                            <w:bottom w:val="none" w:sz="0" w:space="0" w:color="auto"/>
                                            <w:right w:val="none" w:sz="0" w:space="0" w:color="auto"/>
                                          </w:divBdr>
                                        </w:div>
                                        <w:div w:id="63914641">
                                          <w:marLeft w:val="0"/>
                                          <w:marRight w:val="0"/>
                                          <w:marTop w:val="0"/>
                                          <w:marBottom w:val="0"/>
                                          <w:divBdr>
                                            <w:top w:val="none" w:sz="0" w:space="0" w:color="auto"/>
                                            <w:left w:val="none" w:sz="0" w:space="0" w:color="auto"/>
                                            <w:bottom w:val="none" w:sz="0" w:space="0" w:color="auto"/>
                                            <w:right w:val="none" w:sz="0" w:space="0" w:color="auto"/>
                                          </w:divBdr>
                                        </w:div>
                                        <w:div w:id="1354764730">
                                          <w:marLeft w:val="0"/>
                                          <w:marRight w:val="0"/>
                                          <w:marTop w:val="0"/>
                                          <w:marBottom w:val="0"/>
                                          <w:divBdr>
                                            <w:top w:val="none" w:sz="0" w:space="0" w:color="auto"/>
                                            <w:left w:val="none" w:sz="0" w:space="0" w:color="auto"/>
                                            <w:bottom w:val="none" w:sz="0" w:space="0" w:color="auto"/>
                                            <w:right w:val="none" w:sz="0" w:space="0" w:color="auto"/>
                                          </w:divBdr>
                                        </w:div>
                                        <w:div w:id="694186264">
                                          <w:marLeft w:val="0"/>
                                          <w:marRight w:val="0"/>
                                          <w:marTop w:val="0"/>
                                          <w:marBottom w:val="0"/>
                                          <w:divBdr>
                                            <w:top w:val="none" w:sz="0" w:space="0" w:color="auto"/>
                                            <w:left w:val="none" w:sz="0" w:space="0" w:color="auto"/>
                                            <w:bottom w:val="none" w:sz="0" w:space="0" w:color="auto"/>
                                            <w:right w:val="none" w:sz="0" w:space="0" w:color="auto"/>
                                          </w:divBdr>
                                        </w:div>
                                        <w:div w:id="1651977538">
                                          <w:marLeft w:val="0"/>
                                          <w:marRight w:val="0"/>
                                          <w:marTop w:val="0"/>
                                          <w:marBottom w:val="0"/>
                                          <w:divBdr>
                                            <w:top w:val="none" w:sz="0" w:space="0" w:color="auto"/>
                                            <w:left w:val="none" w:sz="0" w:space="0" w:color="auto"/>
                                            <w:bottom w:val="none" w:sz="0" w:space="0" w:color="auto"/>
                                            <w:right w:val="none" w:sz="0" w:space="0" w:color="auto"/>
                                          </w:divBdr>
                                        </w:div>
                                        <w:div w:id="1624340811">
                                          <w:marLeft w:val="0"/>
                                          <w:marRight w:val="0"/>
                                          <w:marTop w:val="0"/>
                                          <w:marBottom w:val="0"/>
                                          <w:divBdr>
                                            <w:top w:val="none" w:sz="0" w:space="0" w:color="auto"/>
                                            <w:left w:val="none" w:sz="0" w:space="0" w:color="auto"/>
                                            <w:bottom w:val="none" w:sz="0" w:space="0" w:color="auto"/>
                                            <w:right w:val="none" w:sz="0" w:space="0" w:color="auto"/>
                                          </w:divBdr>
                                        </w:div>
                                        <w:div w:id="1460608031">
                                          <w:marLeft w:val="0"/>
                                          <w:marRight w:val="0"/>
                                          <w:marTop w:val="0"/>
                                          <w:marBottom w:val="0"/>
                                          <w:divBdr>
                                            <w:top w:val="none" w:sz="0" w:space="0" w:color="auto"/>
                                            <w:left w:val="none" w:sz="0" w:space="0" w:color="auto"/>
                                            <w:bottom w:val="none" w:sz="0" w:space="0" w:color="auto"/>
                                            <w:right w:val="none" w:sz="0" w:space="0" w:color="auto"/>
                                          </w:divBdr>
                                        </w:div>
                                        <w:div w:id="1487630288">
                                          <w:marLeft w:val="0"/>
                                          <w:marRight w:val="0"/>
                                          <w:marTop w:val="0"/>
                                          <w:marBottom w:val="0"/>
                                          <w:divBdr>
                                            <w:top w:val="none" w:sz="0" w:space="0" w:color="auto"/>
                                            <w:left w:val="none" w:sz="0" w:space="0" w:color="auto"/>
                                            <w:bottom w:val="none" w:sz="0" w:space="0" w:color="auto"/>
                                            <w:right w:val="none" w:sz="0" w:space="0" w:color="auto"/>
                                          </w:divBdr>
                                        </w:div>
                                        <w:div w:id="777218719">
                                          <w:marLeft w:val="0"/>
                                          <w:marRight w:val="0"/>
                                          <w:marTop w:val="0"/>
                                          <w:marBottom w:val="0"/>
                                          <w:divBdr>
                                            <w:top w:val="none" w:sz="0" w:space="0" w:color="auto"/>
                                            <w:left w:val="none" w:sz="0" w:space="0" w:color="auto"/>
                                            <w:bottom w:val="none" w:sz="0" w:space="0" w:color="auto"/>
                                            <w:right w:val="none" w:sz="0" w:space="0" w:color="auto"/>
                                          </w:divBdr>
                                        </w:div>
                                      </w:divsChild>
                                    </w:div>
                                    <w:div w:id="93289182">
                                      <w:marLeft w:val="0"/>
                                      <w:marRight w:val="0"/>
                                      <w:marTop w:val="0"/>
                                      <w:marBottom w:val="0"/>
                                      <w:divBdr>
                                        <w:top w:val="none" w:sz="0" w:space="0" w:color="auto"/>
                                        <w:left w:val="none" w:sz="0" w:space="0" w:color="auto"/>
                                        <w:bottom w:val="none" w:sz="0" w:space="0" w:color="auto"/>
                                        <w:right w:val="none" w:sz="0" w:space="0" w:color="auto"/>
                                      </w:divBdr>
                                      <w:divsChild>
                                        <w:div w:id="763720279">
                                          <w:marLeft w:val="0"/>
                                          <w:marRight w:val="0"/>
                                          <w:marTop w:val="0"/>
                                          <w:marBottom w:val="0"/>
                                          <w:divBdr>
                                            <w:top w:val="none" w:sz="0" w:space="0" w:color="auto"/>
                                            <w:left w:val="none" w:sz="0" w:space="0" w:color="auto"/>
                                            <w:bottom w:val="none" w:sz="0" w:space="0" w:color="auto"/>
                                            <w:right w:val="none" w:sz="0" w:space="0" w:color="auto"/>
                                          </w:divBdr>
                                          <w:divsChild>
                                            <w:div w:id="1926567105">
                                              <w:marLeft w:val="0"/>
                                              <w:marRight w:val="0"/>
                                              <w:marTop w:val="120"/>
                                              <w:marBottom w:val="0"/>
                                              <w:divBdr>
                                                <w:top w:val="none" w:sz="0" w:space="0" w:color="auto"/>
                                                <w:left w:val="none" w:sz="0" w:space="0" w:color="auto"/>
                                                <w:bottom w:val="none" w:sz="0" w:space="0" w:color="auto"/>
                                                <w:right w:val="none" w:sz="0" w:space="0" w:color="auto"/>
                                              </w:divBdr>
                                            </w:div>
                                          </w:divsChild>
                                        </w:div>
                                        <w:div w:id="5500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860075">
                  <w:marLeft w:val="0"/>
                  <w:marRight w:val="0"/>
                  <w:marTop w:val="240"/>
                  <w:marBottom w:val="240"/>
                  <w:divBdr>
                    <w:top w:val="none" w:sz="0" w:space="0" w:color="auto"/>
                    <w:left w:val="none" w:sz="0" w:space="0" w:color="auto"/>
                    <w:bottom w:val="none" w:sz="0" w:space="0" w:color="auto"/>
                    <w:right w:val="none" w:sz="0" w:space="0" w:color="auto"/>
                  </w:divBdr>
                </w:div>
                <w:div w:id="1886335743">
                  <w:marLeft w:val="0"/>
                  <w:marRight w:val="0"/>
                  <w:marTop w:val="0"/>
                  <w:marBottom w:val="0"/>
                  <w:divBdr>
                    <w:top w:val="none" w:sz="0" w:space="0" w:color="auto"/>
                    <w:left w:val="none" w:sz="0" w:space="0" w:color="auto"/>
                    <w:bottom w:val="none" w:sz="0" w:space="0" w:color="auto"/>
                    <w:right w:val="none" w:sz="0" w:space="0" w:color="auto"/>
                  </w:divBdr>
                  <w:divsChild>
                    <w:div w:id="1217207491">
                      <w:marLeft w:val="0"/>
                      <w:marRight w:val="0"/>
                      <w:marTop w:val="0"/>
                      <w:marBottom w:val="0"/>
                      <w:divBdr>
                        <w:top w:val="none" w:sz="0" w:space="0" w:color="auto"/>
                        <w:left w:val="none" w:sz="0" w:space="0" w:color="auto"/>
                        <w:bottom w:val="none" w:sz="0" w:space="0" w:color="auto"/>
                        <w:right w:val="none" w:sz="0" w:space="0" w:color="auto"/>
                      </w:divBdr>
                    </w:div>
                  </w:divsChild>
                </w:div>
                <w:div w:id="699744615">
                  <w:marLeft w:val="0"/>
                  <w:marRight w:val="0"/>
                  <w:marTop w:val="0"/>
                  <w:marBottom w:val="0"/>
                  <w:divBdr>
                    <w:top w:val="none" w:sz="0" w:space="0" w:color="auto"/>
                    <w:left w:val="none" w:sz="0" w:space="0" w:color="auto"/>
                    <w:bottom w:val="none" w:sz="0" w:space="0" w:color="auto"/>
                    <w:right w:val="none" w:sz="0" w:space="0" w:color="auto"/>
                  </w:divBdr>
                  <w:divsChild>
                    <w:div w:id="1993024275">
                      <w:marLeft w:val="0"/>
                      <w:marRight w:val="0"/>
                      <w:marTop w:val="0"/>
                      <w:marBottom w:val="0"/>
                      <w:divBdr>
                        <w:top w:val="single" w:sz="6" w:space="3" w:color="FFFFFF"/>
                        <w:left w:val="none" w:sz="0" w:space="0" w:color="auto"/>
                        <w:bottom w:val="none" w:sz="0" w:space="0" w:color="auto"/>
                        <w:right w:val="none" w:sz="0" w:space="0" w:color="auto"/>
                      </w:divBdr>
                      <w:divsChild>
                        <w:div w:id="691415251">
                          <w:marLeft w:val="0"/>
                          <w:marRight w:val="0"/>
                          <w:marTop w:val="0"/>
                          <w:marBottom w:val="0"/>
                          <w:divBdr>
                            <w:top w:val="none" w:sz="0" w:space="0" w:color="auto"/>
                            <w:left w:val="none" w:sz="0" w:space="0" w:color="auto"/>
                            <w:bottom w:val="none" w:sz="0" w:space="0" w:color="auto"/>
                            <w:right w:val="none" w:sz="0" w:space="0" w:color="auto"/>
                          </w:divBdr>
                          <w:divsChild>
                            <w:div w:id="26874699">
                              <w:marLeft w:val="0"/>
                              <w:marRight w:val="0"/>
                              <w:marTop w:val="0"/>
                              <w:marBottom w:val="0"/>
                              <w:divBdr>
                                <w:top w:val="none" w:sz="0" w:space="0" w:color="auto"/>
                                <w:left w:val="none" w:sz="0" w:space="0" w:color="auto"/>
                                <w:bottom w:val="none" w:sz="0" w:space="0" w:color="auto"/>
                                <w:right w:val="none" w:sz="0" w:space="0" w:color="auto"/>
                              </w:divBdr>
                              <w:divsChild>
                                <w:div w:id="9988197">
                                  <w:marLeft w:val="0"/>
                                  <w:marRight w:val="0"/>
                                  <w:marTop w:val="0"/>
                                  <w:marBottom w:val="0"/>
                                  <w:divBdr>
                                    <w:top w:val="none" w:sz="0" w:space="0" w:color="auto"/>
                                    <w:left w:val="none" w:sz="0" w:space="0" w:color="auto"/>
                                    <w:bottom w:val="none" w:sz="0" w:space="0" w:color="auto"/>
                                    <w:right w:val="none" w:sz="0" w:space="0" w:color="auto"/>
                                  </w:divBdr>
                                </w:div>
                                <w:div w:id="2135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8541">
                          <w:marLeft w:val="0"/>
                          <w:marRight w:val="0"/>
                          <w:marTop w:val="0"/>
                          <w:marBottom w:val="0"/>
                          <w:divBdr>
                            <w:top w:val="none" w:sz="0" w:space="0" w:color="auto"/>
                            <w:left w:val="none" w:sz="0" w:space="0" w:color="auto"/>
                            <w:bottom w:val="none" w:sz="0" w:space="0" w:color="auto"/>
                            <w:right w:val="none" w:sz="0" w:space="0" w:color="auto"/>
                          </w:divBdr>
                        </w:div>
                        <w:div w:id="732196815">
                          <w:marLeft w:val="0"/>
                          <w:marRight w:val="0"/>
                          <w:marTop w:val="0"/>
                          <w:marBottom w:val="0"/>
                          <w:divBdr>
                            <w:top w:val="none" w:sz="0" w:space="0" w:color="auto"/>
                            <w:left w:val="none" w:sz="0" w:space="0" w:color="auto"/>
                            <w:bottom w:val="none" w:sz="0" w:space="0" w:color="auto"/>
                            <w:right w:val="none" w:sz="0" w:space="0" w:color="auto"/>
                          </w:divBdr>
                          <w:divsChild>
                            <w:div w:id="328292292">
                              <w:marLeft w:val="0"/>
                              <w:marRight w:val="0"/>
                              <w:marTop w:val="0"/>
                              <w:marBottom w:val="0"/>
                              <w:divBdr>
                                <w:top w:val="none" w:sz="0" w:space="0" w:color="auto"/>
                                <w:left w:val="none" w:sz="0" w:space="0" w:color="auto"/>
                                <w:bottom w:val="none" w:sz="0" w:space="0" w:color="auto"/>
                                <w:right w:val="none" w:sz="0" w:space="0" w:color="auto"/>
                              </w:divBdr>
                              <w:divsChild>
                                <w:div w:id="19689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2494">
                          <w:marLeft w:val="0"/>
                          <w:marRight w:val="0"/>
                          <w:marTop w:val="0"/>
                          <w:marBottom w:val="0"/>
                          <w:divBdr>
                            <w:top w:val="none" w:sz="0" w:space="0" w:color="auto"/>
                            <w:left w:val="none" w:sz="0" w:space="0" w:color="auto"/>
                            <w:bottom w:val="none" w:sz="0" w:space="0" w:color="auto"/>
                            <w:right w:val="none" w:sz="0" w:space="0" w:color="auto"/>
                          </w:divBdr>
                          <w:divsChild>
                            <w:div w:id="679431888">
                              <w:marLeft w:val="0"/>
                              <w:marRight w:val="0"/>
                              <w:marTop w:val="0"/>
                              <w:marBottom w:val="0"/>
                              <w:divBdr>
                                <w:top w:val="none" w:sz="0" w:space="0" w:color="auto"/>
                                <w:left w:val="none" w:sz="0" w:space="0" w:color="auto"/>
                                <w:bottom w:val="none" w:sz="0" w:space="0" w:color="auto"/>
                                <w:right w:val="none" w:sz="0" w:space="0" w:color="auto"/>
                              </w:divBdr>
                              <w:divsChild>
                                <w:div w:id="2027438722">
                                  <w:marLeft w:val="0"/>
                                  <w:marRight w:val="0"/>
                                  <w:marTop w:val="0"/>
                                  <w:marBottom w:val="0"/>
                                  <w:divBdr>
                                    <w:top w:val="none" w:sz="0" w:space="0" w:color="auto"/>
                                    <w:left w:val="none" w:sz="0" w:space="0" w:color="auto"/>
                                    <w:bottom w:val="none" w:sz="0" w:space="0" w:color="auto"/>
                                    <w:right w:val="none" w:sz="0" w:space="0" w:color="auto"/>
                                  </w:divBdr>
                                </w:div>
                                <w:div w:id="455755077">
                                  <w:marLeft w:val="0"/>
                                  <w:marRight w:val="0"/>
                                  <w:marTop w:val="0"/>
                                  <w:marBottom w:val="0"/>
                                  <w:divBdr>
                                    <w:top w:val="none" w:sz="0" w:space="0" w:color="auto"/>
                                    <w:left w:val="none" w:sz="0" w:space="0" w:color="auto"/>
                                    <w:bottom w:val="none" w:sz="0" w:space="0" w:color="auto"/>
                                    <w:right w:val="none" w:sz="0" w:space="0" w:color="auto"/>
                                  </w:divBdr>
                                </w:div>
                                <w:div w:id="81799605">
                                  <w:marLeft w:val="0"/>
                                  <w:marRight w:val="0"/>
                                  <w:marTop w:val="0"/>
                                  <w:marBottom w:val="0"/>
                                  <w:divBdr>
                                    <w:top w:val="none" w:sz="0" w:space="0" w:color="auto"/>
                                    <w:left w:val="none" w:sz="0" w:space="0" w:color="auto"/>
                                    <w:bottom w:val="none" w:sz="0" w:space="0" w:color="auto"/>
                                    <w:right w:val="none" w:sz="0" w:space="0" w:color="auto"/>
                                  </w:divBdr>
                                </w:div>
                                <w:div w:id="371005023">
                                  <w:marLeft w:val="0"/>
                                  <w:marRight w:val="0"/>
                                  <w:marTop w:val="0"/>
                                  <w:marBottom w:val="0"/>
                                  <w:divBdr>
                                    <w:top w:val="none" w:sz="0" w:space="0" w:color="auto"/>
                                    <w:left w:val="none" w:sz="0" w:space="0" w:color="auto"/>
                                    <w:bottom w:val="none" w:sz="0" w:space="0" w:color="auto"/>
                                    <w:right w:val="none" w:sz="0" w:space="0" w:color="auto"/>
                                  </w:divBdr>
                                </w:div>
                                <w:div w:id="15334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0399">
                          <w:marLeft w:val="0"/>
                          <w:marRight w:val="0"/>
                          <w:marTop w:val="0"/>
                          <w:marBottom w:val="0"/>
                          <w:divBdr>
                            <w:top w:val="none" w:sz="0" w:space="0" w:color="auto"/>
                            <w:left w:val="none" w:sz="0" w:space="0" w:color="auto"/>
                            <w:bottom w:val="none" w:sz="0" w:space="0" w:color="auto"/>
                            <w:right w:val="none" w:sz="0" w:space="0" w:color="auto"/>
                          </w:divBdr>
                          <w:divsChild>
                            <w:div w:id="1202590333">
                              <w:marLeft w:val="0"/>
                              <w:marRight w:val="0"/>
                              <w:marTop w:val="0"/>
                              <w:marBottom w:val="0"/>
                              <w:divBdr>
                                <w:top w:val="none" w:sz="0" w:space="0" w:color="auto"/>
                                <w:left w:val="none" w:sz="0" w:space="0" w:color="auto"/>
                                <w:bottom w:val="none" w:sz="0" w:space="0" w:color="auto"/>
                                <w:right w:val="none" w:sz="0" w:space="0" w:color="auto"/>
                              </w:divBdr>
                              <w:divsChild>
                                <w:div w:id="624316493">
                                  <w:marLeft w:val="0"/>
                                  <w:marRight w:val="0"/>
                                  <w:marTop w:val="0"/>
                                  <w:marBottom w:val="0"/>
                                  <w:divBdr>
                                    <w:top w:val="none" w:sz="0" w:space="0" w:color="auto"/>
                                    <w:left w:val="none" w:sz="0" w:space="0" w:color="auto"/>
                                    <w:bottom w:val="none" w:sz="0" w:space="0" w:color="auto"/>
                                    <w:right w:val="none" w:sz="0" w:space="0" w:color="auto"/>
                                  </w:divBdr>
                                </w:div>
                                <w:div w:id="1052726939">
                                  <w:marLeft w:val="0"/>
                                  <w:marRight w:val="0"/>
                                  <w:marTop w:val="0"/>
                                  <w:marBottom w:val="0"/>
                                  <w:divBdr>
                                    <w:top w:val="none" w:sz="0" w:space="0" w:color="auto"/>
                                    <w:left w:val="none" w:sz="0" w:space="0" w:color="auto"/>
                                    <w:bottom w:val="none" w:sz="0" w:space="0" w:color="auto"/>
                                    <w:right w:val="none" w:sz="0" w:space="0" w:color="auto"/>
                                  </w:divBdr>
                                </w:div>
                                <w:div w:id="558513124">
                                  <w:marLeft w:val="0"/>
                                  <w:marRight w:val="0"/>
                                  <w:marTop w:val="0"/>
                                  <w:marBottom w:val="0"/>
                                  <w:divBdr>
                                    <w:top w:val="none" w:sz="0" w:space="0" w:color="auto"/>
                                    <w:left w:val="none" w:sz="0" w:space="0" w:color="auto"/>
                                    <w:bottom w:val="none" w:sz="0" w:space="0" w:color="auto"/>
                                    <w:right w:val="none" w:sz="0" w:space="0" w:color="auto"/>
                                  </w:divBdr>
                                </w:div>
                                <w:div w:id="649410743">
                                  <w:marLeft w:val="0"/>
                                  <w:marRight w:val="0"/>
                                  <w:marTop w:val="0"/>
                                  <w:marBottom w:val="0"/>
                                  <w:divBdr>
                                    <w:top w:val="none" w:sz="0" w:space="0" w:color="auto"/>
                                    <w:left w:val="none" w:sz="0" w:space="0" w:color="auto"/>
                                    <w:bottom w:val="none" w:sz="0" w:space="0" w:color="auto"/>
                                    <w:right w:val="none" w:sz="0" w:space="0" w:color="auto"/>
                                  </w:divBdr>
                                </w:div>
                                <w:div w:id="1357149466">
                                  <w:marLeft w:val="0"/>
                                  <w:marRight w:val="0"/>
                                  <w:marTop w:val="0"/>
                                  <w:marBottom w:val="0"/>
                                  <w:divBdr>
                                    <w:top w:val="none" w:sz="0" w:space="0" w:color="auto"/>
                                    <w:left w:val="none" w:sz="0" w:space="0" w:color="auto"/>
                                    <w:bottom w:val="none" w:sz="0" w:space="0" w:color="auto"/>
                                    <w:right w:val="none" w:sz="0" w:space="0" w:color="auto"/>
                                  </w:divBdr>
                                </w:div>
                                <w:div w:id="178592581">
                                  <w:marLeft w:val="0"/>
                                  <w:marRight w:val="0"/>
                                  <w:marTop w:val="0"/>
                                  <w:marBottom w:val="0"/>
                                  <w:divBdr>
                                    <w:top w:val="none" w:sz="0" w:space="0" w:color="auto"/>
                                    <w:left w:val="none" w:sz="0" w:space="0" w:color="auto"/>
                                    <w:bottom w:val="none" w:sz="0" w:space="0" w:color="auto"/>
                                    <w:right w:val="none" w:sz="0" w:space="0" w:color="auto"/>
                                  </w:divBdr>
                                </w:div>
                                <w:div w:id="738552268">
                                  <w:marLeft w:val="0"/>
                                  <w:marRight w:val="0"/>
                                  <w:marTop w:val="0"/>
                                  <w:marBottom w:val="0"/>
                                  <w:divBdr>
                                    <w:top w:val="none" w:sz="0" w:space="0" w:color="auto"/>
                                    <w:left w:val="none" w:sz="0" w:space="0" w:color="auto"/>
                                    <w:bottom w:val="none" w:sz="0" w:space="0" w:color="auto"/>
                                    <w:right w:val="none" w:sz="0" w:space="0" w:color="auto"/>
                                  </w:divBdr>
                                </w:div>
                                <w:div w:id="1852599574">
                                  <w:marLeft w:val="0"/>
                                  <w:marRight w:val="0"/>
                                  <w:marTop w:val="0"/>
                                  <w:marBottom w:val="0"/>
                                  <w:divBdr>
                                    <w:top w:val="none" w:sz="0" w:space="0" w:color="auto"/>
                                    <w:left w:val="none" w:sz="0" w:space="0" w:color="auto"/>
                                    <w:bottom w:val="none" w:sz="0" w:space="0" w:color="auto"/>
                                    <w:right w:val="none" w:sz="0" w:space="0" w:color="auto"/>
                                  </w:divBdr>
                                </w:div>
                                <w:div w:id="416485554">
                                  <w:marLeft w:val="0"/>
                                  <w:marRight w:val="0"/>
                                  <w:marTop w:val="0"/>
                                  <w:marBottom w:val="0"/>
                                  <w:divBdr>
                                    <w:top w:val="none" w:sz="0" w:space="0" w:color="auto"/>
                                    <w:left w:val="none" w:sz="0" w:space="0" w:color="auto"/>
                                    <w:bottom w:val="none" w:sz="0" w:space="0" w:color="auto"/>
                                    <w:right w:val="none" w:sz="0" w:space="0" w:color="auto"/>
                                  </w:divBdr>
                                </w:div>
                                <w:div w:id="239874313">
                                  <w:marLeft w:val="0"/>
                                  <w:marRight w:val="0"/>
                                  <w:marTop w:val="0"/>
                                  <w:marBottom w:val="0"/>
                                  <w:divBdr>
                                    <w:top w:val="none" w:sz="0" w:space="0" w:color="auto"/>
                                    <w:left w:val="none" w:sz="0" w:space="0" w:color="auto"/>
                                    <w:bottom w:val="none" w:sz="0" w:space="0" w:color="auto"/>
                                    <w:right w:val="none" w:sz="0" w:space="0" w:color="auto"/>
                                  </w:divBdr>
                                </w:div>
                                <w:div w:id="1151142217">
                                  <w:marLeft w:val="0"/>
                                  <w:marRight w:val="0"/>
                                  <w:marTop w:val="0"/>
                                  <w:marBottom w:val="0"/>
                                  <w:divBdr>
                                    <w:top w:val="none" w:sz="0" w:space="0" w:color="auto"/>
                                    <w:left w:val="none" w:sz="0" w:space="0" w:color="auto"/>
                                    <w:bottom w:val="none" w:sz="0" w:space="0" w:color="auto"/>
                                    <w:right w:val="none" w:sz="0" w:space="0" w:color="auto"/>
                                  </w:divBdr>
                                </w:div>
                                <w:div w:id="978655642">
                                  <w:marLeft w:val="0"/>
                                  <w:marRight w:val="0"/>
                                  <w:marTop w:val="0"/>
                                  <w:marBottom w:val="0"/>
                                  <w:divBdr>
                                    <w:top w:val="none" w:sz="0" w:space="0" w:color="auto"/>
                                    <w:left w:val="none" w:sz="0" w:space="0" w:color="auto"/>
                                    <w:bottom w:val="none" w:sz="0" w:space="0" w:color="auto"/>
                                    <w:right w:val="none" w:sz="0" w:space="0" w:color="auto"/>
                                  </w:divBdr>
                                </w:div>
                                <w:div w:id="776826833">
                                  <w:marLeft w:val="0"/>
                                  <w:marRight w:val="0"/>
                                  <w:marTop w:val="0"/>
                                  <w:marBottom w:val="0"/>
                                  <w:divBdr>
                                    <w:top w:val="none" w:sz="0" w:space="0" w:color="auto"/>
                                    <w:left w:val="none" w:sz="0" w:space="0" w:color="auto"/>
                                    <w:bottom w:val="none" w:sz="0" w:space="0" w:color="auto"/>
                                    <w:right w:val="none" w:sz="0" w:space="0" w:color="auto"/>
                                  </w:divBdr>
                                </w:div>
                                <w:div w:id="1382438605">
                                  <w:marLeft w:val="0"/>
                                  <w:marRight w:val="0"/>
                                  <w:marTop w:val="0"/>
                                  <w:marBottom w:val="0"/>
                                  <w:divBdr>
                                    <w:top w:val="none" w:sz="0" w:space="0" w:color="auto"/>
                                    <w:left w:val="none" w:sz="0" w:space="0" w:color="auto"/>
                                    <w:bottom w:val="none" w:sz="0" w:space="0" w:color="auto"/>
                                    <w:right w:val="none" w:sz="0" w:space="0" w:color="auto"/>
                                  </w:divBdr>
                                </w:div>
                                <w:div w:id="5275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5607">
                          <w:marLeft w:val="0"/>
                          <w:marRight w:val="0"/>
                          <w:marTop w:val="0"/>
                          <w:marBottom w:val="0"/>
                          <w:divBdr>
                            <w:top w:val="none" w:sz="0" w:space="0" w:color="auto"/>
                            <w:left w:val="none" w:sz="0" w:space="0" w:color="auto"/>
                            <w:bottom w:val="none" w:sz="0" w:space="0" w:color="auto"/>
                            <w:right w:val="none" w:sz="0" w:space="0" w:color="auto"/>
                          </w:divBdr>
                          <w:divsChild>
                            <w:div w:id="1542135782">
                              <w:marLeft w:val="0"/>
                              <w:marRight w:val="0"/>
                              <w:marTop w:val="0"/>
                              <w:marBottom w:val="0"/>
                              <w:divBdr>
                                <w:top w:val="none" w:sz="0" w:space="0" w:color="auto"/>
                                <w:left w:val="none" w:sz="0" w:space="0" w:color="auto"/>
                                <w:bottom w:val="none" w:sz="0" w:space="0" w:color="auto"/>
                                <w:right w:val="none" w:sz="0" w:space="0" w:color="auto"/>
                              </w:divBdr>
                            </w:div>
                          </w:divsChild>
                        </w:div>
                        <w:div w:id="1495560683">
                          <w:marLeft w:val="0"/>
                          <w:marRight w:val="0"/>
                          <w:marTop w:val="0"/>
                          <w:marBottom w:val="0"/>
                          <w:divBdr>
                            <w:top w:val="none" w:sz="0" w:space="0" w:color="auto"/>
                            <w:left w:val="none" w:sz="0" w:space="0" w:color="auto"/>
                            <w:bottom w:val="none" w:sz="0" w:space="0" w:color="auto"/>
                            <w:right w:val="none" w:sz="0" w:space="0" w:color="auto"/>
                          </w:divBdr>
                          <w:divsChild>
                            <w:div w:id="1819303524">
                              <w:marLeft w:val="0"/>
                              <w:marRight w:val="0"/>
                              <w:marTop w:val="0"/>
                              <w:marBottom w:val="0"/>
                              <w:divBdr>
                                <w:top w:val="none" w:sz="0" w:space="0" w:color="auto"/>
                                <w:left w:val="none" w:sz="0" w:space="0" w:color="auto"/>
                                <w:bottom w:val="none" w:sz="0" w:space="0" w:color="auto"/>
                                <w:right w:val="none" w:sz="0" w:space="0" w:color="auto"/>
                              </w:divBdr>
                            </w:div>
                          </w:divsChild>
                        </w:div>
                        <w:div w:id="696465870">
                          <w:marLeft w:val="0"/>
                          <w:marRight w:val="0"/>
                          <w:marTop w:val="0"/>
                          <w:marBottom w:val="0"/>
                          <w:divBdr>
                            <w:top w:val="none" w:sz="0" w:space="0" w:color="auto"/>
                            <w:left w:val="none" w:sz="0" w:space="0" w:color="auto"/>
                            <w:bottom w:val="none" w:sz="0" w:space="0" w:color="auto"/>
                            <w:right w:val="none" w:sz="0" w:space="0" w:color="auto"/>
                          </w:divBdr>
                          <w:divsChild>
                            <w:div w:id="1709597857">
                              <w:marLeft w:val="0"/>
                              <w:marRight w:val="0"/>
                              <w:marTop w:val="0"/>
                              <w:marBottom w:val="0"/>
                              <w:divBdr>
                                <w:top w:val="none" w:sz="0" w:space="0" w:color="auto"/>
                                <w:left w:val="none" w:sz="0" w:space="0" w:color="auto"/>
                                <w:bottom w:val="none" w:sz="0" w:space="0" w:color="auto"/>
                                <w:right w:val="none" w:sz="0" w:space="0" w:color="auto"/>
                              </w:divBdr>
                            </w:div>
                          </w:divsChild>
                        </w:div>
                        <w:div w:id="2073654443">
                          <w:marLeft w:val="0"/>
                          <w:marRight w:val="0"/>
                          <w:marTop w:val="0"/>
                          <w:marBottom w:val="0"/>
                          <w:divBdr>
                            <w:top w:val="none" w:sz="0" w:space="0" w:color="auto"/>
                            <w:left w:val="none" w:sz="0" w:space="0" w:color="auto"/>
                            <w:bottom w:val="none" w:sz="0" w:space="0" w:color="auto"/>
                            <w:right w:val="none" w:sz="0" w:space="0" w:color="auto"/>
                          </w:divBdr>
                          <w:divsChild>
                            <w:div w:id="383871280">
                              <w:marLeft w:val="0"/>
                              <w:marRight w:val="0"/>
                              <w:marTop w:val="0"/>
                              <w:marBottom w:val="0"/>
                              <w:divBdr>
                                <w:top w:val="none" w:sz="0" w:space="0" w:color="auto"/>
                                <w:left w:val="none" w:sz="0" w:space="0" w:color="auto"/>
                                <w:bottom w:val="none" w:sz="0" w:space="0" w:color="auto"/>
                                <w:right w:val="none" w:sz="0" w:space="0" w:color="auto"/>
                              </w:divBdr>
                              <w:divsChild>
                                <w:div w:id="6307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05143">
                  <w:marLeft w:val="0"/>
                  <w:marRight w:val="0"/>
                  <w:marTop w:val="0"/>
                  <w:marBottom w:val="0"/>
                  <w:divBdr>
                    <w:top w:val="none" w:sz="0" w:space="0" w:color="auto"/>
                    <w:left w:val="none" w:sz="0" w:space="0" w:color="auto"/>
                    <w:bottom w:val="none" w:sz="0" w:space="0" w:color="auto"/>
                    <w:right w:val="none" w:sz="0" w:space="0" w:color="auto"/>
                  </w:divBdr>
                </w:div>
              </w:divsChild>
            </w:div>
            <w:div w:id="1941832010">
              <w:marLeft w:val="0"/>
              <w:marRight w:val="0"/>
              <w:marTop w:val="0"/>
              <w:marBottom w:val="0"/>
              <w:divBdr>
                <w:top w:val="none" w:sz="0" w:space="0" w:color="auto"/>
                <w:left w:val="none" w:sz="0" w:space="0" w:color="auto"/>
                <w:bottom w:val="none" w:sz="0" w:space="0" w:color="auto"/>
                <w:right w:val="none" w:sz="0" w:space="0" w:color="auto"/>
              </w:divBdr>
              <w:divsChild>
                <w:div w:id="1938975044">
                  <w:marLeft w:val="0"/>
                  <w:marRight w:val="0"/>
                  <w:marTop w:val="0"/>
                  <w:marBottom w:val="0"/>
                  <w:divBdr>
                    <w:top w:val="single" w:sz="6" w:space="0" w:color="FFFFFF"/>
                    <w:left w:val="none" w:sz="0" w:space="0" w:color="auto"/>
                    <w:bottom w:val="none" w:sz="0" w:space="0" w:color="auto"/>
                    <w:right w:val="none" w:sz="0" w:space="0" w:color="auto"/>
                  </w:divBdr>
                  <w:divsChild>
                    <w:div w:id="230359373">
                      <w:marLeft w:val="0"/>
                      <w:marRight w:val="0"/>
                      <w:marTop w:val="0"/>
                      <w:marBottom w:val="0"/>
                      <w:divBdr>
                        <w:top w:val="none" w:sz="0" w:space="0" w:color="auto"/>
                        <w:left w:val="none" w:sz="0" w:space="0" w:color="auto"/>
                        <w:bottom w:val="none" w:sz="0" w:space="0" w:color="auto"/>
                        <w:right w:val="none" w:sz="0" w:space="0" w:color="auto"/>
                      </w:divBdr>
                      <w:divsChild>
                        <w:div w:id="6281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175285">
          <w:marLeft w:val="0"/>
          <w:marRight w:val="0"/>
          <w:marTop w:val="0"/>
          <w:marBottom w:val="0"/>
          <w:divBdr>
            <w:top w:val="none" w:sz="0" w:space="0" w:color="auto"/>
            <w:left w:val="none" w:sz="0" w:space="0" w:color="auto"/>
            <w:bottom w:val="none" w:sz="0" w:space="0" w:color="auto"/>
            <w:right w:val="none" w:sz="0" w:space="0" w:color="auto"/>
          </w:divBdr>
        </w:div>
        <w:div w:id="610628602">
          <w:marLeft w:val="0"/>
          <w:marRight w:val="0"/>
          <w:marTop w:val="0"/>
          <w:marBottom w:val="0"/>
          <w:divBdr>
            <w:top w:val="none" w:sz="0" w:space="0" w:color="auto"/>
            <w:left w:val="none" w:sz="0" w:space="0" w:color="auto"/>
            <w:bottom w:val="none" w:sz="0" w:space="0" w:color="auto"/>
            <w:right w:val="none" w:sz="0" w:space="0" w:color="auto"/>
          </w:divBdr>
          <w:divsChild>
            <w:div w:id="342781407">
              <w:marLeft w:val="0"/>
              <w:marRight w:val="0"/>
              <w:marTop w:val="0"/>
              <w:marBottom w:val="0"/>
              <w:divBdr>
                <w:top w:val="none" w:sz="0" w:space="0" w:color="auto"/>
                <w:left w:val="none" w:sz="0" w:space="0" w:color="auto"/>
                <w:bottom w:val="none" w:sz="0" w:space="0" w:color="auto"/>
                <w:right w:val="none" w:sz="0" w:space="0" w:color="auto"/>
              </w:divBdr>
              <w:divsChild>
                <w:div w:id="849298347">
                  <w:marLeft w:val="0"/>
                  <w:marRight w:val="0"/>
                  <w:marTop w:val="0"/>
                  <w:marBottom w:val="0"/>
                  <w:divBdr>
                    <w:top w:val="none" w:sz="0" w:space="0" w:color="auto"/>
                    <w:left w:val="none" w:sz="0" w:space="0" w:color="auto"/>
                    <w:bottom w:val="none" w:sz="0" w:space="0" w:color="auto"/>
                    <w:right w:val="none" w:sz="0" w:space="0" w:color="auto"/>
                  </w:divBdr>
                  <w:divsChild>
                    <w:div w:id="707417649">
                      <w:marLeft w:val="0"/>
                      <w:marRight w:val="0"/>
                      <w:marTop w:val="0"/>
                      <w:marBottom w:val="0"/>
                      <w:divBdr>
                        <w:top w:val="none" w:sz="0" w:space="0" w:color="auto"/>
                        <w:left w:val="none" w:sz="0" w:space="0" w:color="auto"/>
                        <w:bottom w:val="none" w:sz="0" w:space="0" w:color="auto"/>
                        <w:right w:val="none" w:sz="0" w:space="0" w:color="auto"/>
                      </w:divBdr>
                      <w:divsChild>
                        <w:div w:id="359357322">
                          <w:marLeft w:val="0"/>
                          <w:marRight w:val="0"/>
                          <w:marTop w:val="0"/>
                          <w:marBottom w:val="0"/>
                          <w:divBdr>
                            <w:top w:val="none" w:sz="0" w:space="0" w:color="auto"/>
                            <w:left w:val="none" w:sz="0" w:space="0" w:color="auto"/>
                            <w:bottom w:val="none" w:sz="0" w:space="0" w:color="auto"/>
                            <w:right w:val="none" w:sz="0" w:space="0" w:color="auto"/>
                          </w:divBdr>
                        </w:div>
                        <w:div w:id="1286811339">
                          <w:marLeft w:val="0"/>
                          <w:marRight w:val="0"/>
                          <w:marTop w:val="0"/>
                          <w:marBottom w:val="0"/>
                          <w:divBdr>
                            <w:top w:val="none" w:sz="0" w:space="0" w:color="auto"/>
                            <w:left w:val="none" w:sz="0" w:space="0" w:color="auto"/>
                            <w:bottom w:val="none" w:sz="0" w:space="0" w:color="auto"/>
                            <w:right w:val="none" w:sz="0" w:space="0" w:color="auto"/>
                          </w:divBdr>
                          <w:divsChild>
                            <w:div w:id="249047739">
                              <w:marLeft w:val="0"/>
                              <w:marRight w:val="0"/>
                              <w:marTop w:val="0"/>
                              <w:marBottom w:val="0"/>
                              <w:divBdr>
                                <w:top w:val="none" w:sz="0" w:space="0" w:color="auto"/>
                                <w:left w:val="none" w:sz="0" w:space="0" w:color="auto"/>
                                <w:bottom w:val="none" w:sz="0" w:space="0" w:color="auto"/>
                                <w:right w:val="none" w:sz="0" w:space="0" w:color="auto"/>
                              </w:divBdr>
                              <w:divsChild>
                                <w:div w:id="1888907462">
                                  <w:marLeft w:val="0"/>
                                  <w:marRight w:val="0"/>
                                  <w:marTop w:val="0"/>
                                  <w:marBottom w:val="0"/>
                                  <w:divBdr>
                                    <w:top w:val="none" w:sz="0" w:space="0" w:color="auto"/>
                                    <w:left w:val="none" w:sz="0" w:space="0" w:color="auto"/>
                                    <w:bottom w:val="none" w:sz="0" w:space="0" w:color="auto"/>
                                    <w:right w:val="none" w:sz="0" w:space="0" w:color="auto"/>
                                  </w:divBdr>
                                </w:div>
                                <w:div w:id="250939256">
                                  <w:marLeft w:val="0"/>
                                  <w:marRight w:val="0"/>
                                  <w:marTop w:val="0"/>
                                  <w:marBottom w:val="0"/>
                                  <w:divBdr>
                                    <w:top w:val="none" w:sz="0" w:space="0" w:color="auto"/>
                                    <w:left w:val="none" w:sz="0" w:space="0" w:color="auto"/>
                                    <w:bottom w:val="none" w:sz="0" w:space="0" w:color="auto"/>
                                    <w:right w:val="none" w:sz="0" w:space="0" w:color="auto"/>
                                  </w:divBdr>
                                </w:div>
                                <w:div w:id="2128817355">
                                  <w:marLeft w:val="0"/>
                                  <w:marRight w:val="0"/>
                                  <w:marTop w:val="0"/>
                                  <w:marBottom w:val="0"/>
                                  <w:divBdr>
                                    <w:top w:val="none" w:sz="0" w:space="0" w:color="auto"/>
                                    <w:left w:val="none" w:sz="0" w:space="0" w:color="auto"/>
                                    <w:bottom w:val="none" w:sz="0" w:space="0" w:color="auto"/>
                                    <w:right w:val="none" w:sz="0" w:space="0" w:color="auto"/>
                                  </w:divBdr>
                                  <w:divsChild>
                                    <w:div w:id="1567491833">
                                      <w:marLeft w:val="0"/>
                                      <w:marRight w:val="0"/>
                                      <w:marTop w:val="0"/>
                                      <w:marBottom w:val="0"/>
                                      <w:divBdr>
                                        <w:top w:val="none" w:sz="0" w:space="0" w:color="auto"/>
                                        <w:left w:val="none" w:sz="0" w:space="0" w:color="auto"/>
                                        <w:bottom w:val="none" w:sz="0" w:space="0" w:color="auto"/>
                                        <w:right w:val="none" w:sz="0" w:space="0" w:color="auto"/>
                                      </w:divBdr>
                                      <w:divsChild>
                                        <w:div w:id="1974097595">
                                          <w:marLeft w:val="0"/>
                                          <w:marRight w:val="0"/>
                                          <w:marTop w:val="0"/>
                                          <w:marBottom w:val="0"/>
                                          <w:divBdr>
                                            <w:top w:val="none" w:sz="0" w:space="0" w:color="auto"/>
                                            <w:left w:val="none" w:sz="0" w:space="0" w:color="auto"/>
                                            <w:bottom w:val="none" w:sz="0" w:space="0" w:color="auto"/>
                                            <w:right w:val="none" w:sz="0" w:space="0" w:color="auto"/>
                                          </w:divBdr>
                                          <w:divsChild>
                                            <w:div w:id="590548264">
                                              <w:marLeft w:val="0"/>
                                              <w:marRight w:val="0"/>
                                              <w:marTop w:val="0"/>
                                              <w:marBottom w:val="0"/>
                                              <w:divBdr>
                                                <w:top w:val="none" w:sz="0" w:space="0" w:color="auto"/>
                                                <w:left w:val="none" w:sz="0" w:space="0" w:color="auto"/>
                                                <w:bottom w:val="none" w:sz="0" w:space="0" w:color="auto"/>
                                                <w:right w:val="none" w:sz="0" w:space="0" w:color="auto"/>
                                              </w:divBdr>
                                            </w:div>
                                            <w:div w:id="426511101">
                                              <w:marLeft w:val="0"/>
                                              <w:marRight w:val="0"/>
                                              <w:marTop w:val="0"/>
                                              <w:marBottom w:val="0"/>
                                              <w:divBdr>
                                                <w:top w:val="none" w:sz="0" w:space="0" w:color="auto"/>
                                                <w:left w:val="none" w:sz="0" w:space="0" w:color="auto"/>
                                                <w:bottom w:val="none" w:sz="0" w:space="0" w:color="auto"/>
                                                <w:right w:val="none" w:sz="0" w:space="0" w:color="auto"/>
                                              </w:divBdr>
                                              <w:divsChild>
                                                <w:div w:id="1241254357">
                                                  <w:marLeft w:val="0"/>
                                                  <w:marRight w:val="0"/>
                                                  <w:marTop w:val="0"/>
                                                  <w:marBottom w:val="0"/>
                                                  <w:divBdr>
                                                    <w:top w:val="none" w:sz="0" w:space="0" w:color="auto"/>
                                                    <w:left w:val="none" w:sz="0" w:space="0" w:color="auto"/>
                                                    <w:bottom w:val="none" w:sz="0" w:space="0" w:color="auto"/>
                                                    <w:right w:val="none" w:sz="0" w:space="0" w:color="auto"/>
                                                  </w:divBdr>
                                                </w:div>
                                                <w:div w:id="1638024137">
                                                  <w:marLeft w:val="0"/>
                                                  <w:marRight w:val="0"/>
                                                  <w:marTop w:val="0"/>
                                                  <w:marBottom w:val="0"/>
                                                  <w:divBdr>
                                                    <w:top w:val="none" w:sz="0" w:space="0" w:color="auto"/>
                                                    <w:left w:val="none" w:sz="0" w:space="0" w:color="auto"/>
                                                    <w:bottom w:val="none" w:sz="0" w:space="0" w:color="auto"/>
                                                    <w:right w:val="none" w:sz="0" w:space="0" w:color="auto"/>
                                                  </w:divBdr>
                                                  <w:divsChild>
                                                    <w:div w:id="298583156">
                                                      <w:marLeft w:val="0"/>
                                                      <w:marRight w:val="0"/>
                                                      <w:marTop w:val="0"/>
                                                      <w:marBottom w:val="0"/>
                                                      <w:divBdr>
                                                        <w:top w:val="none" w:sz="0" w:space="0" w:color="auto"/>
                                                        <w:left w:val="none" w:sz="0" w:space="0" w:color="auto"/>
                                                        <w:bottom w:val="none" w:sz="0" w:space="0" w:color="auto"/>
                                                        <w:right w:val="none" w:sz="0" w:space="0" w:color="auto"/>
                                                      </w:divBdr>
                                                      <w:divsChild>
                                                        <w:div w:id="1061712656">
                                                          <w:marLeft w:val="2250"/>
                                                          <w:marRight w:val="0"/>
                                                          <w:marTop w:val="2280"/>
                                                          <w:marBottom w:val="0"/>
                                                          <w:divBdr>
                                                            <w:top w:val="none" w:sz="0" w:space="0" w:color="auto"/>
                                                            <w:left w:val="none" w:sz="0" w:space="0" w:color="auto"/>
                                                            <w:bottom w:val="none" w:sz="0" w:space="0" w:color="auto"/>
                                                            <w:right w:val="none" w:sz="0" w:space="0" w:color="auto"/>
                                                          </w:divBdr>
                                                        </w:div>
                                                        <w:div w:id="285237512">
                                                          <w:marLeft w:val="0"/>
                                                          <w:marRight w:val="0"/>
                                                          <w:marTop w:val="0"/>
                                                          <w:marBottom w:val="0"/>
                                                          <w:divBdr>
                                                            <w:top w:val="none" w:sz="0" w:space="0" w:color="auto"/>
                                                            <w:left w:val="none" w:sz="0" w:space="0" w:color="auto"/>
                                                            <w:bottom w:val="none" w:sz="0" w:space="0" w:color="auto"/>
                                                            <w:right w:val="none" w:sz="0" w:space="0" w:color="auto"/>
                                                          </w:divBdr>
                                                          <w:divsChild>
                                                            <w:div w:id="1305505194">
                                                              <w:marLeft w:val="0"/>
                                                              <w:marRight w:val="0"/>
                                                              <w:marTop w:val="2265"/>
                                                              <w:marBottom w:val="0"/>
                                                              <w:divBdr>
                                                                <w:top w:val="none" w:sz="0" w:space="0" w:color="auto"/>
                                                                <w:left w:val="none" w:sz="0" w:space="0" w:color="auto"/>
                                                                <w:bottom w:val="none" w:sz="0" w:space="0" w:color="auto"/>
                                                                <w:right w:val="none" w:sz="0" w:space="0" w:color="auto"/>
                                                              </w:divBdr>
                                                            </w:div>
                                                            <w:div w:id="913394981">
                                                              <w:marLeft w:val="0"/>
                                                              <w:marRight w:val="0"/>
                                                              <w:marTop w:val="0"/>
                                                              <w:marBottom w:val="0"/>
                                                              <w:divBdr>
                                                                <w:top w:val="none" w:sz="0" w:space="0" w:color="auto"/>
                                                                <w:left w:val="none" w:sz="0" w:space="0" w:color="auto"/>
                                                                <w:bottom w:val="none" w:sz="0" w:space="0" w:color="auto"/>
                                                                <w:right w:val="none" w:sz="0" w:space="0" w:color="auto"/>
                                                              </w:divBdr>
                                                            </w:div>
                                                          </w:divsChild>
                                                        </w:div>
                                                        <w:div w:id="93137473">
                                                          <w:marLeft w:val="9045"/>
                                                          <w:marRight w:val="9045"/>
                                                          <w:marTop w:val="0"/>
                                                          <w:marBottom w:val="0"/>
                                                          <w:divBdr>
                                                            <w:top w:val="none" w:sz="0" w:space="0" w:color="auto"/>
                                                            <w:left w:val="none" w:sz="0" w:space="0" w:color="auto"/>
                                                            <w:bottom w:val="none" w:sz="0" w:space="0" w:color="auto"/>
                                                            <w:right w:val="none" w:sz="0" w:space="0" w:color="auto"/>
                                                          </w:divBdr>
                                                          <w:divsChild>
                                                            <w:div w:id="5419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008320">
                                              <w:marLeft w:val="0"/>
                                              <w:marRight w:val="0"/>
                                              <w:marTop w:val="0"/>
                                              <w:marBottom w:val="0"/>
                                              <w:divBdr>
                                                <w:top w:val="none" w:sz="0" w:space="0" w:color="auto"/>
                                                <w:left w:val="none" w:sz="0" w:space="0" w:color="auto"/>
                                                <w:bottom w:val="none" w:sz="0" w:space="0" w:color="auto"/>
                                                <w:right w:val="none" w:sz="0" w:space="0" w:color="auto"/>
                                              </w:divBdr>
                                            </w:div>
                                            <w:div w:id="762188795">
                                              <w:marLeft w:val="0"/>
                                              <w:marRight w:val="0"/>
                                              <w:marTop w:val="0"/>
                                              <w:marBottom w:val="0"/>
                                              <w:divBdr>
                                                <w:top w:val="none" w:sz="0" w:space="0" w:color="auto"/>
                                                <w:left w:val="none" w:sz="0" w:space="0" w:color="auto"/>
                                                <w:bottom w:val="none" w:sz="0" w:space="0" w:color="auto"/>
                                                <w:right w:val="none" w:sz="0" w:space="0" w:color="auto"/>
                                              </w:divBdr>
                                              <w:divsChild>
                                                <w:div w:id="620460552">
                                                  <w:marLeft w:val="0"/>
                                                  <w:marRight w:val="0"/>
                                                  <w:marTop w:val="0"/>
                                                  <w:marBottom w:val="0"/>
                                                  <w:divBdr>
                                                    <w:top w:val="none" w:sz="0" w:space="0" w:color="auto"/>
                                                    <w:left w:val="none" w:sz="0" w:space="0" w:color="auto"/>
                                                    <w:bottom w:val="none" w:sz="0" w:space="0" w:color="auto"/>
                                                    <w:right w:val="none" w:sz="0" w:space="0" w:color="auto"/>
                                                  </w:divBdr>
                                                  <w:divsChild>
                                                    <w:div w:id="1689990412">
                                                      <w:marLeft w:val="0"/>
                                                      <w:marRight w:val="0"/>
                                                      <w:marTop w:val="0"/>
                                                      <w:marBottom w:val="0"/>
                                                      <w:divBdr>
                                                        <w:top w:val="none" w:sz="0" w:space="0" w:color="auto"/>
                                                        <w:left w:val="none" w:sz="0" w:space="0" w:color="auto"/>
                                                        <w:bottom w:val="none" w:sz="0" w:space="0" w:color="auto"/>
                                                        <w:right w:val="none" w:sz="0" w:space="0" w:color="auto"/>
                                                      </w:divBdr>
                                                      <w:divsChild>
                                                        <w:div w:id="9009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0194">
                                              <w:marLeft w:val="0"/>
                                              <w:marRight w:val="0"/>
                                              <w:marTop w:val="0"/>
                                              <w:marBottom w:val="0"/>
                                              <w:divBdr>
                                                <w:top w:val="none" w:sz="0" w:space="0" w:color="auto"/>
                                                <w:left w:val="none" w:sz="0" w:space="0" w:color="auto"/>
                                                <w:bottom w:val="none" w:sz="0" w:space="0" w:color="auto"/>
                                                <w:right w:val="none" w:sz="0" w:space="0" w:color="auto"/>
                                              </w:divBdr>
                                            </w:div>
                                            <w:div w:id="2094350814">
                                              <w:marLeft w:val="0"/>
                                              <w:marRight w:val="0"/>
                                              <w:marTop w:val="0"/>
                                              <w:marBottom w:val="0"/>
                                              <w:divBdr>
                                                <w:top w:val="none" w:sz="0" w:space="0" w:color="auto"/>
                                                <w:left w:val="none" w:sz="0" w:space="0" w:color="auto"/>
                                                <w:bottom w:val="none" w:sz="0" w:space="0" w:color="auto"/>
                                                <w:right w:val="none" w:sz="0" w:space="0" w:color="auto"/>
                                              </w:divBdr>
                                              <w:divsChild>
                                                <w:div w:id="1079013774">
                                                  <w:marLeft w:val="0"/>
                                                  <w:marRight w:val="0"/>
                                                  <w:marTop w:val="0"/>
                                                  <w:marBottom w:val="0"/>
                                                  <w:divBdr>
                                                    <w:top w:val="none" w:sz="0" w:space="0" w:color="auto"/>
                                                    <w:left w:val="none" w:sz="0" w:space="0" w:color="auto"/>
                                                    <w:bottom w:val="none" w:sz="0" w:space="0" w:color="auto"/>
                                                    <w:right w:val="none" w:sz="0" w:space="0" w:color="auto"/>
                                                  </w:divBdr>
                                                  <w:divsChild>
                                                    <w:div w:id="1011831642">
                                                      <w:marLeft w:val="0"/>
                                                      <w:marRight w:val="0"/>
                                                      <w:marTop w:val="0"/>
                                                      <w:marBottom w:val="0"/>
                                                      <w:divBdr>
                                                        <w:top w:val="none" w:sz="0" w:space="0" w:color="auto"/>
                                                        <w:left w:val="none" w:sz="0" w:space="0" w:color="auto"/>
                                                        <w:bottom w:val="none" w:sz="0" w:space="0" w:color="auto"/>
                                                        <w:right w:val="none" w:sz="0" w:space="0" w:color="auto"/>
                                                      </w:divBdr>
                                                      <w:divsChild>
                                                        <w:div w:id="433526171">
                                                          <w:marLeft w:val="0"/>
                                                          <w:marRight w:val="0"/>
                                                          <w:marTop w:val="0"/>
                                                          <w:marBottom w:val="0"/>
                                                          <w:divBdr>
                                                            <w:top w:val="none" w:sz="0" w:space="0" w:color="auto"/>
                                                            <w:left w:val="none" w:sz="0" w:space="0" w:color="auto"/>
                                                            <w:bottom w:val="none" w:sz="0" w:space="0" w:color="auto"/>
                                                            <w:right w:val="none" w:sz="0" w:space="0" w:color="auto"/>
                                                          </w:divBdr>
                                                          <w:divsChild>
                                                            <w:div w:id="945312307">
                                                              <w:marLeft w:val="0"/>
                                                              <w:marRight w:val="0"/>
                                                              <w:marTop w:val="0"/>
                                                              <w:marBottom w:val="0"/>
                                                              <w:divBdr>
                                                                <w:top w:val="none" w:sz="0" w:space="0" w:color="auto"/>
                                                                <w:left w:val="none" w:sz="0" w:space="0" w:color="auto"/>
                                                                <w:bottom w:val="none" w:sz="0" w:space="0" w:color="auto"/>
                                                                <w:right w:val="none" w:sz="0" w:space="0" w:color="auto"/>
                                                              </w:divBdr>
                                                            </w:div>
                                                          </w:divsChild>
                                                        </w:div>
                                                        <w:div w:id="1890068044">
                                                          <w:marLeft w:val="0"/>
                                                          <w:marRight w:val="0"/>
                                                          <w:marTop w:val="0"/>
                                                          <w:marBottom w:val="0"/>
                                                          <w:divBdr>
                                                            <w:top w:val="none" w:sz="0" w:space="0" w:color="auto"/>
                                                            <w:left w:val="none" w:sz="0" w:space="0" w:color="auto"/>
                                                            <w:bottom w:val="none" w:sz="0" w:space="0" w:color="auto"/>
                                                            <w:right w:val="none" w:sz="0" w:space="0" w:color="auto"/>
                                                          </w:divBdr>
                                                          <w:divsChild>
                                                            <w:div w:id="1502743963">
                                                              <w:marLeft w:val="0"/>
                                                              <w:marRight w:val="0"/>
                                                              <w:marTop w:val="0"/>
                                                              <w:marBottom w:val="0"/>
                                                              <w:divBdr>
                                                                <w:top w:val="none" w:sz="0" w:space="0" w:color="auto"/>
                                                                <w:left w:val="none" w:sz="0" w:space="0" w:color="auto"/>
                                                                <w:bottom w:val="none" w:sz="0" w:space="0" w:color="auto"/>
                                                                <w:right w:val="none" w:sz="0" w:space="0" w:color="auto"/>
                                                              </w:divBdr>
                                                            </w:div>
                                                          </w:divsChild>
                                                        </w:div>
                                                        <w:div w:id="685399136">
                                                          <w:marLeft w:val="0"/>
                                                          <w:marRight w:val="0"/>
                                                          <w:marTop w:val="0"/>
                                                          <w:marBottom w:val="0"/>
                                                          <w:divBdr>
                                                            <w:top w:val="none" w:sz="0" w:space="0" w:color="auto"/>
                                                            <w:left w:val="none" w:sz="0" w:space="0" w:color="auto"/>
                                                            <w:bottom w:val="none" w:sz="0" w:space="0" w:color="auto"/>
                                                            <w:right w:val="none" w:sz="0" w:space="0" w:color="auto"/>
                                                          </w:divBdr>
                                                          <w:divsChild>
                                                            <w:div w:id="965626706">
                                                              <w:marLeft w:val="0"/>
                                                              <w:marRight w:val="0"/>
                                                              <w:marTop w:val="0"/>
                                                              <w:marBottom w:val="0"/>
                                                              <w:divBdr>
                                                                <w:top w:val="none" w:sz="0" w:space="0" w:color="auto"/>
                                                                <w:left w:val="none" w:sz="0" w:space="0" w:color="auto"/>
                                                                <w:bottom w:val="none" w:sz="0" w:space="0" w:color="auto"/>
                                                                <w:right w:val="none" w:sz="0" w:space="0" w:color="auto"/>
                                                              </w:divBdr>
                                                            </w:div>
                                                          </w:divsChild>
                                                        </w:div>
                                                        <w:div w:id="1361853897">
                                                          <w:marLeft w:val="0"/>
                                                          <w:marRight w:val="0"/>
                                                          <w:marTop w:val="0"/>
                                                          <w:marBottom w:val="0"/>
                                                          <w:divBdr>
                                                            <w:top w:val="none" w:sz="0" w:space="0" w:color="auto"/>
                                                            <w:left w:val="none" w:sz="0" w:space="0" w:color="auto"/>
                                                            <w:bottom w:val="none" w:sz="0" w:space="0" w:color="auto"/>
                                                            <w:right w:val="none" w:sz="0" w:space="0" w:color="auto"/>
                                                          </w:divBdr>
                                                          <w:divsChild>
                                                            <w:div w:id="1954169929">
                                                              <w:marLeft w:val="0"/>
                                                              <w:marRight w:val="0"/>
                                                              <w:marTop w:val="0"/>
                                                              <w:marBottom w:val="0"/>
                                                              <w:divBdr>
                                                                <w:top w:val="none" w:sz="0" w:space="0" w:color="auto"/>
                                                                <w:left w:val="none" w:sz="0" w:space="0" w:color="auto"/>
                                                                <w:bottom w:val="none" w:sz="0" w:space="0" w:color="auto"/>
                                                                <w:right w:val="none" w:sz="0" w:space="0" w:color="auto"/>
                                                              </w:divBdr>
                                                            </w:div>
                                                          </w:divsChild>
                                                        </w:div>
                                                        <w:div w:id="1704400619">
                                                          <w:marLeft w:val="0"/>
                                                          <w:marRight w:val="0"/>
                                                          <w:marTop w:val="0"/>
                                                          <w:marBottom w:val="0"/>
                                                          <w:divBdr>
                                                            <w:top w:val="none" w:sz="0" w:space="0" w:color="auto"/>
                                                            <w:left w:val="none" w:sz="0" w:space="0" w:color="auto"/>
                                                            <w:bottom w:val="none" w:sz="0" w:space="0" w:color="auto"/>
                                                            <w:right w:val="none" w:sz="0" w:space="0" w:color="auto"/>
                                                          </w:divBdr>
                                                          <w:divsChild>
                                                            <w:div w:id="1623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0585750">
      <w:bodyDiv w:val="1"/>
      <w:marLeft w:val="0"/>
      <w:marRight w:val="0"/>
      <w:marTop w:val="0"/>
      <w:marBottom w:val="0"/>
      <w:divBdr>
        <w:top w:val="none" w:sz="0" w:space="0" w:color="auto"/>
        <w:left w:val="none" w:sz="0" w:space="0" w:color="auto"/>
        <w:bottom w:val="none" w:sz="0" w:space="0" w:color="auto"/>
        <w:right w:val="none" w:sz="0" w:space="0" w:color="auto"/>
      </w:divBdr>
      <w:divsChild>
        <w:div w:id="1158039043">
          <w:marLeft w:val="0"/>
          <w:marRight w:val="0"/>
          <w:marTop w:val="0"/>
          <w:marBottom w:val="0"/>
          <w:divBdr>
            <w:top w:val="none" w:sz="0" w:space="0" w:color="auto"/>
            <w:left w:val="none" w:sz="0" w:space="0" w:color="auto"/>
            <w:bottom w:val="none" w:sz="0" w:space="0" w:color="auto"/>
            <w:right w:val="none" w:sz="0" w:space="0" w:color="auto"/>
          </w:divBdr>
          <w:divsChild>
            <w:div w:id="884103026">
              <w:marLeft w:val="0"/>
              <w:marRight w:val="0"/>
              <w:marTop w:val="0"/>
              <w:marBottom w:val="0"/>
              <w:divBdr>
                <w:top w:val="none" w:sz="0" w:space="0" w:color="auto"/>
                <w:left w:val="none" w:sz="0" w:space="0" w:color="auto"/>
                <w:bottom w:val="none" w:sz="0" w:space="0" w:color="auto"/>
                <w:right w:val="none" w:sz="0" w:space="0" w:color="auto"/>
              </w:divBdr>
              <w:divsChild>
                <w:div w:id="183567004">
                  <w:marLeft w:val="0"/>
                  <w:marRight w:val="0"/>
                  <w:marTop w:val="0"/>
                  <w:marBottom w:val="0"/>
                  <w:divBdr>
                    <w:top w:val="none" w:sz="0" w:space="0" w:color="auto"/>
                    <w:left w:val="none" w:sz="0" w:space="0" w:color="auto"/>
                    <w:bottom w:val="none" w:sz="0" w:space="0" w:color="auto"/>
                    <w:right w:val="none" w:sz="0" w:space="0" w:color="auto"/>
                  </w:divBdr>
                  <w:divsChild>
                    <w:div w:id="1575970466">
                      <w:marLeft w:val="0"/>
                      <w:marRight w:val="0"/>
                      <w:marTop w:val="0"/>
                      <w:marBottom w:val="0"/>
                      <w:divBdr>
                        <w:top w:val="none" w:sz="0" w:space="0" w:color="auto"/>
                        <w:left w:val="none" w:sz="0" w:space="0" w:color="auto"/>
                        <w:bottom w:val="none" w:sz="0" w:space="0" w:color="auto"/>
                        <w:right w:val="none" w:sz="0" w:space="0" w:color="auto"/>
                      </w:divBdr>
                      <w:divsChild>
                        <w:div w:id="1912037005">
                          <w:marLeft w:val="0"/>
                          <w:marRight w:val="0"/>
                          <w:marTop w:val="0"/>
                          <w:marBottom w:val="0"/>
                          <w:divBdr>
                            <w:top w:val="none" w:sz="0" w:space="0" w:color="auto"/>
                            <w:left w:val="none" w:sz="0" w:space="0" w:color="auto"/>
                            <w:bottom w:val="none" w:sz="0" w:space="0" w:color="auto"/>
                            <w:right w:val="none" w:sz="0" w:space="0" w:color="auto"/>
                          </w:divBdr>
                          <w:divsChild>
                            <w:div w:id="9984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90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c.europa.eu/ireland/news/key-eu-policy-areas/economy_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29C56-0722-4B43-98E2-93EED9AAF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The Royal Bank of Scotland</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kennenk</dc:creator>
  <cp:lastModifiedBy>Mcneill, James (Risk Analytics, Ulster Bank)</cp:lastModifiedBy>
  <cp:revision>5</cp:revision>
  <cp:lastPrinted>2017-06-14T13:10:00Z</cp:lastPrinted>
  <dcterms:created xsi:type="dcterms:W3CDTF">2017-06-16T11:39:00Z</dcterms:created>
  <dcterms:modified xsi:type="dcterms:W3CDTF">2022-05-25T15:26:00Z</dcterms:modified>
</cp:coreProperties>
</file>