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KoreanToyWorld.com 사업 제안서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평가 및 실행 권고 보고서</w:t>
      </w:r>
    </w:p>
    <w:p>
      <w:pPr>
        <w:spacing w:after="0" w:before="20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Strategic Advisory Report</w:t>
      </w:r>
    </w:p>
    <w:p>
      <w:pPr>
        <w:spacing w:after="0" w:before="1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 · K-Toy 그로스 디렉터 (Advisory)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분석 방식 · 멀티에이전트(A1~A8) + 그로스 디렉터 합성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작성일 · 2026-06-22</w:t>
      </w:r>
    </w:p>
    <w:p>
      <w:pPr>
        <w:spacing w:after="0" w:before="20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종합 결론 (Executive Summary)</w:t>
      </w:r>
    </w:p>
    <w:p>
      <w:pPr>
        <w:pBdr>
          <w:left w:val="single" w:color="C00000" w:sz="24" w:space="8"/>
        </w:pBdr>
        <w:shd w:fill="F2F2F2" w:color="auto" w:val="clear"/>
        <w:spacing w:after="120" w:before="60"/>
      </w:pPr>
      <w:r>
        <w:rPr>
          <w:rFonts w:ascii="맑은 고딕" w:cs="맑은 고딕" w:eastAsia="맑은 고딕" w:hAnsi="맑은 고딕"/>
          <w:b/>
          <w:bCs/>
          <w:color w:val="C00000"/>
          <w:sz w:val="26"/>
          <w:szCs w:val="26"/>
        </w:rPr>
        <w:t xml:space="preserve">판정: 보류 (Conditional Hold) — 구조 재설계 전제 시 조건부 추천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현재 제안서 형태로는 비추천에 가까운 보류다. 사업 가설의 방향(커머스 자산을 미디어·공급측 광고로 확장)은 타당하나, 광고 사업을 성립시키는 4대 급소 — 공급측 광고주 수요·성과 측정·트래픽의 질·단위경제 — 가 통째로 비어 있고, 핵심 설계 결정(별도 도메인)이 유일하게 검증된 자산(SEO 권위)을 스스로 폐기하는 구조다. 후술하는 7대 처방(서브폴더 승계 + 성과형 수익 재설계 + 광고주 LOI 선확보)을 수용하면 조건부 추천으로 전환 가능하다.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핵심 근거 3가지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트래픽 전제가 외부 데이터로 반증됨 — koreantoyshop.com 외부 추정 트래픽은 월 약 14.1K 방문·전월比 -32.6%, organic이 상위 3채널에 부재, 체류 12초·bounce 58.1%(Similarweb). 구매 트래픽조차 빈약·하향세이며, 이는 광고가 팔리는 고관여 트래픽이 아니다.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상위 단가가 시장가 대비 6~130배인데 노출수가 0건 제시됨 — Top Ranking Gold(월 1,000만)는 추정 노출에서 실효 CPM 3.3만~33만원으로 시장 디스플레이 CPM의 수배~수십 배. 단가는 노출 분모 없이는 호가일 뿐이다.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BEP 안전마진 0 + 매출계획 내부모순 — 연 고정비 3,000만 대비 BEP ≈ 광고주 15곳으로 2027 목표와 동일(안전마진 0). 2029 ‘1,500+ 광고주’는 같은 문장의 ‘전년比 40% 성장(28개)’과 53배 충돌하고 SAM(추정 60개사)을 25배 초과하는 물리적 불가능 수치.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성공하려면 반드시 필요한 것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이 사업은 ‘콘텐츠를 만들면 트래픽이 오고 광고가 팔린다’가 아니라, 공급측(제조사) 광고주 수요를 선검증하고, 그 광고의 성과를 closed-loop으로 증명하는 측정 인프라를 먼저 깐 뒤, 검증된 SEO 자산을 서브폴더로 승계해 트래픽 공백을 없애는 ‘역순 설계’로만 성공한다. ① 구축 전 광고주 LOI 10곳+ 선확보, ② koreantoyshop.com/world 서브디렉터리로 도메인 권위 상속, ③ 광고→커머스 전환을 추적하는 셀프서브 대시보드 + 노출보장·미달보상 약관 — 이 셋이 충족되지 않으면 매출계획 전체가 공중에 뜬다.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제안서가 치명적으로 놓친 것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광고 사업 성립의 7대 증빙(실측 트래픽, 광고주 LOI, CPM 정당화, BEP·단위경제, 연간 운영비·인력, 노출보장·환불정책, 어트리뷰션·성과 리포팅)이 전부 부재하다. 더 근본적으로, 제안서가 입증한 자산(SEO·CS 9.7·87K SKU·제조사 관계)은 전부 수요측(커머스) 자산인데 과금 대상은 공급측(제조사 광고예산)이라, 입증한 것과 팔려는 것 사이 논리 사슬이 한 곳도 연결되지 않았다. 그리고 그 사슬을 이을 유일한 다리(자기 커머스 연계 closed-loop 증명)를 별도 도메인 결정으로 스스로 끊었다.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성공 필수 요소 (CSF) 및 충족도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 / 조건</w:t>
            </w:r>
          </w:p>
        </w:tc>
        <w:tc>
          <w:tcPr>
            <w:tcW w:type="pct" w:w="3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필수인가</w:t>
            </w:r>
          </w:p>
        </w:tc>
        <w:tc>
          <w:tcPr>
            <w:tcW w:type="pct" w:w="14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충족도</w:t>
            </w:r>
          </w:p>
        </w:tc>
        <w:tc>
          <w:tcPr>
            <w:tcW w:type="pct" w:w="3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처방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CSF-1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공급측 광고주 수요 사전검증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광고 플랫폼의 급소는 콘텐츠가 아니라 광고주 수요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미충족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구축 전 LOI 10곳+ 선확보를 게이트로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CSF-2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SEO 권위의 신규 매체 승계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도메인은 권위 0에서 재시작, 전제 붕괴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미충족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/world 서브디렉터리 승계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CSF-3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성과 measurement·closed-loop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측정 못 하는 광고는 1회성으로 죽는다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미충족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전환추적 셀프서브 대시보드 MVP화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CSF-4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단가의 CPM 정당화·노출보장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노출수 없는 정액은 호가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미충족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보장노출 공시 + 미달 크레딧 보상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CSF-5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대체재 대비 단위경제 우위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제조사는 ROAS 증명된 채널을 우선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8860B"/>
                <w:sz w:val="18"/>
                <w:szCs w:val="18"/>
              </w:rPr>
              <w:t xml:space="preserve">부분충족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자기 커머스 closed-loop을 차별점으로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CSF-6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6개월 이후 지속운영 자금·인력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콘텐츠 미디어는 인건비 사업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미충족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연간 운영비·인력 명시, 3년 P&amp;L 재작성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CSF-7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현실적 매출계획(SAM 정합)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1,500 광고주는 SAM 25배·내부 53배 모순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미충족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2029 목표 28~30개로 재작성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충족도 집계: 충족 0 / 부분 1(CSF-5) / 미충족 6 — 현 제안서는 광고 사업 성립의 최소 요건을 갖추지 못했다.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강점 — 자산의 ‘이전 가능성’ 판정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강점 자산</w:t>
            </w:r>
          </w:p>
        </w:tc>
        <w:tc>
          <w:tcPr>
            <w:tcW w:type="pct" w:w="2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등급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미디어 이전 가능성</w:t>
            </w:r>
          </w:p>
        </w:tc>
        <w:tc>
          <w:tcPr>
            <w:tcW w:type="pct" w:w="32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 근거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2011 설립·15년 운영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검증된 사실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높음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신뢰·legit 자본은 도메인 무관 이전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87,000 SKU 데이터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부분검증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높음(단 미활용)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한계비용 0 재가공 자산이나 배너에만 의존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제조사 15년 거래선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부분검증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8860B"/>
                <w:sz w:val="18"/>
                <w:szCs w:val="18"/>
              </w:rPr>
              <w:t xml:space="preserve">중(방향 주의)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매입처(을)≠광고주(갑), LOI 0건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‘Korean Toy’ SEO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출처불명 자기주장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낮음(별도도메인 0)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서브폴더 승계 시에만 이전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 9.7/10·배송 2~5일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부분검증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낮음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커머스 운영지표, 광고가치와 직접연결 안됨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핵심 통찰: 이전 가능성이 가장 높은 자산(87K SKU 데이터)은 방치했고, 셀링포인트로 내세운 자산(SEO 권위)은 별도 도메인 결정으로 이전 경로를 스스로 끊었다. 강점의 배치가 정확히 거꾸로다.</w:t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약점·리스크 (Weaknesses &amp; Risks)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pct" w:w="12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pct" w:w="3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 영향</w:t>
            </w:r>
          </w:p>
        </w:tc>
        <w:tc>
          <w:tcPr>
            <w:tcW w:type="pct" w:w="18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대응책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광고주 수요 미검증(LOI 0건)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매출계획 전제 붕괴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도메인 → SEO 권위 0 재시작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6~12개월 트래픽 공백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트래픽 미달(실측 14.1K·하락세)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광고 미판매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성과 측정·리포팅 부재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광고주 리텐션 붕괴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단가 CPM 시장가 6~130배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고가 상품 판매 불가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BEP 안전마진 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1~2곳 이탈 시 즉시 적자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‘수수료 3.5%’ 정의 충돌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take-rate면 단위경제 붕괴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6개월 후 운영중단 리스크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콘텐츠·SEO 트래픽 즉락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대체재 예산이탈(Amazon ROAS 3.66x)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측정 닫힌 채널로 예산 이동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매출계획 내부모순(2029)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8860B"/>
                <w:sz w:val="18"/>
                <w:szCs w:val="18"/>
              </w:rPr>
              <w:t xml:space="preserve">중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계획 신뢰도 훼손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압도적 패턴: 심각도 ‘상’ 리스크 9건 전부 대응책 없음. 제안서는 리스크를 식별·대응하는 섹션 자체가 부재하다.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관점별 상세 분석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5-1. 비즈니스 시야 확장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유통(커머스)에서 미디어(공급측 게이트키퍼)로 거슬러 올라가 공급측(제조사 마케팅 예산)을 과금하는 B2B 미디어 전환이다. 방향은 영리하나 급소에 정확히 걸린다 — 검증한 자산은 전부 수요측인데 파는 건 공급측이다. 광고주 SAM은 한국 완구·캐릭터 제조·브랜드 300~600개사 중 글로벌 마케팅 의향+예산 보유 약 60개사, SOM 3년차 18~30개사가 현실적 상한이다. 시장은 있으나 제안서가 입증한 자산이 그 시장에 닿는 다리가 없다.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5-2. 설득력 (레드팀)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설립연도만 검증된 사실, SKU·CS·배송은 부분검증(자기신고), ‘Google 1위’는 출처불명 자기주장(organic 상위채널 부재로 사실상 반증), ‘AI 노출’은 검증·과금 불가. 결정적 논리비약 두 곳 — (1) 형용사 ‘1위’가 수치로 입증 안 됨, (2) 커머스 트래픽이 광고 가치로 연결 안 됨(구매자≠광고 클릭자, 신규 도메인 트래픽 0 출발).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5-3. 보완 필요 (갭·리스크)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현 제안서는 ‘팔 수 있다’가 아니라 ‘팔고 싶다’ 수준이다. 신규 도메인 SEO 리드타임(톱10 9~12개월)을 인정하지 않아 2027 매출은 ‘트래픽 0인 채 광고를 파는’ 구조다. 가장 날카로운 지점은 검증된 자산을 별도 도메인으로 흘려보내는 설계 모순 — 이건 갭이 아니라 전제 붕괴다.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5-4. 혁신적 개선 (수익 다각화)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정액 배너 14종은 광고주에게 증명 불가능한 구매라 갱신을 끊는다. 가장 임팩트 큰 한 수: 87K SKU 데이터를 제조사·해외바이어 대상 월 구독형 트렌드 인텔리전스(월 50~150만)로 패키징 — 한계비용 0, 갱신 동인 내장, ROI 증명성 우월. 어필리에이트·CPC·B2B 도매중개로 다각화.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5-5. 경쟁사 분석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핵심 질문은 하나 — ‘제조사가 ROAS 3.66x 증명된 Amazon Ads와 도달 검증된 토이 유튜브를 두고, 도달·전환 미공개 신규 매체에 정액을 쓸 단 하나의 이유는?’ 세 경쟁군 모두 진입장벽 약함. 유일한 차별 무기는 자기 커머스 연계 closed-loop 어트리뷰션인데 제안서가 방치했다.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5-6. 정량 검증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단가표는 분모(노출수)를 단 한 번도 명시하지 않았다. Gold는 시장가 6~130배, BEP ≈ 15명(2027 목표와 동일·안전마진 0), 2029 ‘1,500+’는 SAM 초과·내부 53배 모순. ‘수수료 3.5%’가 take-rate라면 2027 회수율 4.7%로 사업 붕괴 — 단어 하나가 단위경제를 가른다.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5-7. 온라인 마케팅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‘기존 SEO 권위가 신규 도메인으로 자동 이전된다’는 가정은 SEO 원리상 성립 불가(권위는 도메인 단위 귀속). 신규 도메인 1년 내 톱10 진입 1.74%. 사실상 SEO 단일 채널 100% 베팅 → 초기 1.5년 인벤토리 공백. 처방: 서브디렉터리 승계 + 언박서·뉴스레터·소액 퍼포먼스 채널믹스 + GA4/UTM/대시보드 MVP화. AARRR상 Retention이 최대 공백.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정량 검증 표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6-1. 실효 CPM 역산 — 시장 벤치마크 대비 (월 노출 가정)</w:t>
      </w:r>
    </w:p>
    <w:p>
      <w:pPr>
        <w:spacing w:after="120" w:line="276"/>
        <w:rPr>
          <w:i/>
          <w:iCs/>
          <w:color w:val="808080"/>
          <w:sz w:val="18"/>
          <w:szCs w:val="18"/>
        </w:rPr>
      </w:pPr>
      <w:r>
        <w:rPr>
          <w:rFonts w:ascii="맑은 고딕" w:cs="맑은 고딕" w:eastAsia="맑은 고딕" w:hAnsi="맑은 고딕"/>
          <w:i/>
          <w:iCs/>
          <w:color w:val="808080"/>
          <w:sz w:val="18"/>
          <w:szCs w:val="18"/>
        </w:rPr>
        <w:t xml:space="preserve">벤치마크: 네이버 배너 CPM ~2,500원 / 국내 DSP 5,000~15,000원 / 글로벌 B2B 디스플레이 약 11,000~55,000원.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상품(월단가)</w:t>
            </w:r>
          </w:p>
        </w:tc>
        <w:tc>
          <w:tcPr>
            <w:tcW w:type="pct" w:w="16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노출 3만</w:t>
            </w:r>
          </w:p>
        </w:tc>
        <w:tc>
          <w:tcPr>
            <w:tcW w:type="pct" w:w="16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노출 10만</w:t>
            </w:r>
          </w:p>
        </w:tc>
        <w:tc>
          <w:tcPr>
            <w:tcW w:type="pct" w:w="16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노출 30만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Featured Product(10만)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3,333원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1,000원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333원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방어 가능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Homepage Featured(100만)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33,333원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10,000원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3,333원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10만+ 노출 시 가능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Top Ranking Gold(1,000만)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333,333원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100,000원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33,333원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판매 불가(6~130배)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6-2. BEP·3개년 매출계획 역산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pct" w:w="16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광고주</w:t>
            </w:r>
          </w:p>
        </w:tc>
        <w:tc>
          <w:tcPr>
            <w:tcW w:type="pct" w:w="22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매출(만원)</w:t>
            </w:r>
          </w:p>
        </w:tc>
        <w:tc>
          <w:tcPr>
            <w:tcW w:type="pct" w:w="18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광고주당 월</w:t>
            </w:r>
          </w:p>
        </w:tc>
        <w:tc>
          <w:tcPr>
            <w:tcW w:type="pct" w:w="32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2,000~4,000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11~22만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현실적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6,000~9,600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25~40만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18"/>
                <w:szCs w:val="18"/>
              </w:rPr>
              <w:t xml:space="preserve">ARPU 2배 점프 근거 필요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1,500+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전년比 +40%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물리적 불가능(SAM 25배·내부 53배)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BEP ≈ 광고주 15곳(연 고정비 3,000만 ÷ 광고주당 연 200만) = 2027 목표와 동일, 안전마진 0. ‘수수료 3.5%’가 take-rate면 2027 매출 4,000만×3.5%=140만으로 회수율 4.7% → 사업 붕괴.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성공 시나리오 설계 (How to Win)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7-1. 도메인 — 서브폴더 승계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별도 도메인 폐기, koreantoyshop.com/world 서브디렉터리로 구축. 기존 도메인 권위·백링크 상속으로 SEO 리드타임 6~12개월 단축, 트래픽 공백 제거. 불가피 시 301+canonical+내부링크로 권위 이전 명문화.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7-2. 수익모델 — 성과형 + 데이터 구독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정액 배너를 ‘CPC 옵션 + 노출보장 + 미달 크레딧 보상’으로 재설계. 87K SKU 데이터를 월 구독형 트렌드 인텔리전스(월 50~150만)로 주력화. 어필리에이트(매출 8~15%)·B2B 도매중개(거래액 3~5%) 병행.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7-3. 측정 — closed-loop 대시보드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미디어→KoreanToyShop 전환을 추적하는 광고주 셀프서브 대시보드(노출·CTR·기여매출)를 MVP 필수기능으로. Amazon·유튜브가 못 주는 유일한 무기. 없으면 콘텐츠 매체는 1회성으로 죽는다.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7-4. 채널믹스 — SEO 단일 의존 탈피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초기 6~18개월 공백을 언박싱 크리에이터 + 뉴스레터(보장도달) + 소액 퍼포먼스로 메움. hreflang 다국어(영·중·일) 현지화로 글로벌 검색 TAM 확장.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7-5. 광고주 LOI 선확보 (게이트)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‘선 LOI → 후 구축’ 순서 강제. 구축비 3,000만 집행 전 LOI 10곳+ 서면 확보를 의사결정 게이트로. 요구 KPI를 단가표에 반영.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실행 우선순위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90일: GA4/GSC 원본 추출 · 제조사 LOI 10곳+ 영업 · 서브폴더 시뮬레이션 · ‘수수료 3.5%’ 정의 확정 · 데이터구독 MVP 검증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12개월: /world 서브폴더 구축 + closed-loop 대시보드 · 데이터구독 주력 + 정액→CPM보장형 · 채널믹스 가동 · 갱신율 측정 · 다국어 · 3년 P&amp;L 재작성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보완 권고 사항 (Action Items)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pct" w:w="50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pct" w:w="22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해소 CSF</w:t>
            </w:r>
          </w:p>
        </w:tc>
        <w:tc>
          <w:tcPr>
            <w:tcW w:type="pct" w:w="18%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광고주 LOI 10곳+ 선확보 (구축 게이트)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도메인 → /world 서브폴더 전환 결정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‘수수료 3.5%’ 정의 확정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단위경제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GA4/GSC 실측 트래픽·랭킹 제출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CSF-1·4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closed-loop 광고주 대시보드 MVP 명세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CSF-3·5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상품별 월 보장노출 공시 + 미달보상 약관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구독 상품 설계·파일럿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CSF-5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120일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3년 P&amp;L 재작성(2029→28~30개)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CSF-6·7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120일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</w:rPr>
              <w:t xml:space="preserve">P2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채널믹스(언박서·뉴스레터·퍼포먼스) 가동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12개월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</w:rPr>
              <w:t xml:space="preserve">P2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hreflang 다국어 현지화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CSF-2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12개월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핵심 질문 리스트 (Due-diligence)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Q1. </w:t>
      </w:r>
      <w:r>
        <w:rPr>
          <w:rFonts w:ascii="맑은 고딕" w:cs="맑은 고딕" w:eastAsia="맑은 고딕" w:hAnsi="맑은 고딕"/>
        </w:rPr>
        <w:t xml:space="preserve">트래픽 귀속: GA4/GSC 실측 UV/PV·채널믹스·키워드 랭킹은? 외부 추정 14.1K·하락세·organic 부재를 어떻게 설명하나?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Q2. </w:t>
      </w:r>
      <w:r>
        <w:rPr>
          <w:rFonts w:ascii="맑은 고딕" w:cs="맑은 고딕" w:eastAsia="맑은 고딕" w:hAnsi="맑은 고딕"/>
        </w:rPr>
        <w:t xml:space="preserve">신규 도메인 콜드스타트: KoreanToyWorld.com 12개월 트래픽 곡선 베이스라인·가정과 권위 이전율 증명은?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Q3. </w:t>
      </w:r>
      <w:r>
        <w:rPr>
          <w:rFonts w:ascii="맑은 고딕" w:cs="맑은 고딕" w:eastAsia="맑은 고딕" w:hAnsi="맑은 고딕"/>
        </w:rPr>
        <w:t xml:space="preserve">도메인 결정: 별도 도메인을 고집하는 이유는? /world 서브폴더 승계 시 SEO·매출 시뮬레이션을 제시할 수 있나?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Q4. </w:t>
      </w:r>
      <w:r>
        <w:rPr>
          <w:rFonts w:ascii="맑은 고딕" w:cs="맑은 고딕" w:eastAsia="맑은 고딕" w:hAnsi="맑은 고딕"/>
        </w:rPr>
        <w:t xml:space="preserve">광고주 LOI: 2027 광고주 15곳 중 서면 LOI/구두확약은 몇 곳이며 최소 성과 KPI는?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Q5. </w:t>
      </w:r>
      <w:r>
        <w:rPr>
          <w:rFonts w:ascii="맑은 고딕" w:cs="맑은 고딕" w:eastAsia="맑은 고딕" w:hAnsi="맑은 고딕"/>
        </w:rPr>
        <w:t xml:space="preserve">단가 정당화: 각 상품의 월 보장/예상 노출수와 산출 근거는?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Q6. </w:t>
      </w:r>
      <w:r>
        <w:rPr>
          <w:rFonts w:ascii="맑은 고딕" w:cs="맑은 고딕" w:eastAsia="맑은 고딕" w:hAnsi="맑은 고딕"/>
        </w:rPr>
        <w:t xml:space="preserve">Gold CPM: 시장가 6~130배인데 지불의향 광고주가 실재하나?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Q7. </w:t>
      </w:r>
      <w:r>
        <w:rPr>
          <w:rFonts w:ascii="맑은 고딕" w:cs="맑은 고딕" w:eastAsia="맑은 고딕" w:hAnsi="맑은 고딕"/>
        </w:rPr>
        <w:t xml:space="preserve">‘수수료 3.5%’: take-rate인가 PG 처리수수료인가? take-rate면 연 고정비 3,000만을 어떻게 회수하나?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Q8. </w:t>
      </w:r>
      <w:r>
        <w:rPr>
          <w:rFonts w:ascii="맑은 고딕" w:cs="맑은 고딕" w:eastAsia="맑은 고딕" w:hAnsi="맑은 고딕"/>
        </w:rPr>
        <w:t xml:space="preserve">성과 증명: 광고주에게 노출·CTR·기여매출을 어떤 수단으로 증명하나? closed-loop이 있나?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Q9. </w:t>
      </w:r>
      <w:r>
        <w:rPr>
          <w:rFonts w:ascii="맑은 고딕" w:cs="맑은 고딕" w:eastAsia="맑은 고딕" w:hAnsi="맑은 고딕"/>
        </w:rPr>
        <w:t xml:space="preserve">운영 지속성: 6개월 이후 연간 운영비·전담 인력 계획과 운영중단 시 SEO 트래픽 대응은?</w:t>
      </w:r>
    </w:p>
    <w:p>
      <w:pPr>
        <w:spacing w:after="80" w:line="27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Q10. </w:t>
      </w:r>
      <w:r>
        <w:rPr>
          <w:rFonts w:ascii="맑은 고딕" w:cs="맑은 고딕" w:eastAsia="맑은 고딕" w:hAnsi="맑은 고딕"/>
        </w:rPr>
        <w:t xml:space="preserve">2029 모순: ‘1,500+’는 ‘40% 성장(28개)’과 53배·SAM 25배 모순인데 정확한 수치와 SAM 산정 근거는?</w:t>
      </w:r>
    </w:p>
    <w:p>
      <w:pPr>
        <w:pStyle w:val="Heading1"/>
        <w:pBdr>
          <w:bottom w:val="single" w:color="1F3864" w:sz="12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부록. 검증 출처 (A8 팩트체크)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트래픽 실측: Similarweb — koreantoyshop.com (14.1K visits, -32.6% MoM, 체류 12초, bounce 58.1%, organic 상위채널 부재)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신규 도메인 SEO 리드타임: Ahrefs / Analyze.ai (1년 내 톱10 진입 1.74%, 고볼륨 0.3%)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광고 단가 벤치마크: Triple Whale(Amazon Toys ROAS 3.66x·CPC $1.41·CPM $6.33), XPREAD(네이버 디스플레이), digitalapplied, InfluenceFlow(유튜브), osmos.ai(리테일미디어)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맑은 고딕" w:cs="맑은 고딕" w:eastAsia="맑은 고딕" w:hAnsi="맑은 고딕"/>
        </w:rPr>
        <w:t xml:space="preserve">시장규모(편차 큼, 참고용): DataIntelo character licensing ($32B vs 타 출처 $130B)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276"/>
        <w:rPr>
          <w:i/>
          <w:iCs/>
          <w:color w:val="808080"/>
          <w:sz w:val="18"/>
          <w:szCs w:val="18"/>
        </w:rPr>
      </w:pPr>
      <w:r>
        <w:rPr>
          <w:rFonts w:ascii="맑은 고딕" w:cs="맑은 고딕" w:eastAsia="맑은 고딕" w:hAnsi="맑은 고딕"/>
          <w:i/>
          <w:iCs/>
          <w:color w:val="808080"/>
          <w:sz w:val="18"/>
          <w:szCs w:val="18"/>
        </w:rPr>
        <w:t xml:space="preserve">데이터 한계 고지: 제안서 한글 본문은 PDF 폰트 인코딩 문제로 직접 재현 불가하여, 추출 검증된 수치와 요약을 전제로 분석함. Similarweb는 패널 추정치로 소규모 사이트는 오차가 크므로, 트래픽 관련 결론은 제안사의 GA4/GSC 원본으로 최종 확인 필요.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2026-06-21T17:43:05.759Z</dcterms:created>
  <dcterms:modified xsi:type="dcterms:W3CDTF">2026-06-21T17:43:05.760Z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