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F7F0" w14:textId="1DA66FC8" w:rsidR="00CA1695" w:rsidRDefault="00065D5F">
      <w:pPr>
        <w:jc w:val="center"/>
        <w:rPr>
          <w:rFonts w:asciiTheme="minorHAnsi" w:hAnsiTheme="minorHAnsi" w:cstheme="minorHAnsi"/>
          <w:b/>
          <w:sz w:val="36"/>
          <w:szCs w:val="36"/>
        </w:rPr>
      </w:pPr>
      <w:r w:rsidRPr="00065D5F">
        <w:rPr>
          <w:rFonts w:asciiTheme="minorHAnsi" w:hAnsiTheme="minorHAnsi" w:cstheme="minorHAnsi"/>
          <w:b/>
          <w:color w:val="000000"/>
          <w:sz w:val="36"/>
          <w:szCs w:val="36"/>
        </w:rPr>
        <w:t xml:space="preserve">Do-It-Yourself information with </w:t>
      </w:r>
      <w:proofErr w:type="spellStart"/>
      <w:r w:rsidRPr="00065D5F">
        <w:rPr>
          <w:rFonts w:asciiTheme="minorHAnsi" w:hAnsiTheme="minorHAnsi" w:cstheme="minorHAnsi"/>
          <w:b/>
          <w:color w:val="000000"/>
          <w:sz w:val="36"/>
          <w:szCs w:val="36"/>
        </w:rPr>
        <w:t>mobilityHubTools</w:t>
      </w:r>
      <w:proofErr w:type="spellEnd"/>
      <w:r w:rsidR="00B4232A">
        <w:rPr>
          <w:rFonts w:asciiTheme="minorHAnsi" w:hAnsiTheme="minorHAnsi" w:cstheme="minorHAnsi"/>
          <w:b/>
          <w:color w:val="000000"/>
          <w:sz w:val="36"/>
          <w:szCs w:val="36"/>
        </w:rPr>
        <w:t xml:space="preserve"> </w:t>
      </w:r>
      <w:r w:rsidR="00B4232A">
        <w:rPr>
          <w:rFonts w:asciiTheme="minorHAnsi" w:hAnsiTheme="minorHAnsi" w:cstheme="minorHAnsi"/>
          <w:b/>
          <w:color w:val="000000"/>
          <w:sz w:val="36"/>
          <w:szCs w:val="36"/>
        </w:rPr>
        <w:br/>
      </w:r>
    </w:p>
    <w:p w14:paraId="748EF7F5" w14:textId="569631FE" w:rsidR="00CA1695" w:rsidRPr="00763950" w:rsidRDefault="00E47FB2" w:rsidP="00763950">
      <w:pPr>
        <w:pStyle w:val="Affiliation"/>
        <w:spacing w:after="0" w:line="240" w:lineRule="auto"/>
      </w:pPr>
      <w:r w:rsidRPr="00912B2E">
        <w:rPr>
          <w:rFonts w:ascii="Calibri" w:hAnsi="Calibri" w:cstheme="minorHAnsi"/>
          <w:color w:val="000000"/>
          <w:sz w:val="24"/>
          <w:szCs w:val="24"/>
        </w:rPr>
        <w:t>James</w:t>
      </w:r>
      <w:r w:rsidR="00B4232A" w:rsidRPr="00912B2E">
        <w:rPr>
          <w:rFonts w:ascii="Calibri" w:hAnsi="Calibri" w:cstheme="minorHAnsi"/>
          <w:color w:val="000000"/>
          <w:sz w:val="24"/>
          <w:szCs w:val="24"/>
        </w:rPr>
        <w:t xml:space="preserve">, </w:t>
      </w:r>
      <w:r w:rsidRPr="00912B2E">
        <w:rPr>
          <w:rFonts w:ascii="Calibri" w:hAnsi="Calibri" w:cstheme="minorHAnsi"/>
          <w:color w:val="000000"/>
          <w:sz w:val="24"/>
          <w:szCs w:val="24"/>
        </w:rPr>
        <w:t>Reynolds</w:t>
      </w:r>
      <w:r w:rsidR="00B4232A" w:rsidRPr="00912B2E">
        <w:rPr>
          <w:rFonts w:ascii="Calibri" w:hAnsi="Calibri" w:cstheme="minorHAnsi"/>
          <w:color w:val="000000"/>
          <w:sz w:val="24"/>
          <w:szCs w:val="24"/>
        </w:rPr>
        <w:t xml:space="preserve"> (</w:t>
      </w:r>
      <w:hyperlink r:id="rId7" w:history="1">
        <w:r w:rsidR="00466846" w:rsidRPr="0065100E">
          <w:rPr>
            <w:rStyle w:val="Hyperlink"/>
            <w:rFonts w:ascii="Calibri" w:hAnsi="Calibri" w:cstheme="minorHAnsi"/>
            <w:sz w:val="24"/>
            <w:szCs w:val="24"/>
          </w:rPr>
          <w:t>james.reynolds@atu.ie)</w:t>
        </w:r>
        <w:r w:rsidR="00466846" w:rsidRPr="0065100E">
          <w:rPr>
            <w:rStyle w:val="Hyperlink"/>
            <w:rFonts w:ascii="Calibri" w:hAnsi="Calibri" w:cstheme="minorHAnsi"/>
            <w:sz w:val="24"/>
            <w:szCs w:val="24"/>
            <w:vertAlign w:val="superscript"/>
            <w:lang w:val="en-GB"/>
          </w:rPr>
          <w:t>1</w:t>
        </w:r>
      </w:hyperlink>
      <w:r w:rsidR="00466846">
        <w:rPr>
          <w:rFonts w:ascii="Calibri" w:hAnsi="Calibri" w:cstheme="minorHAnsi"/>
          <w:color w:val="000000"/>
          <w:sz w:val="24"/>
          <w:szCs w:val="24"/>
        </w:rPr>
        <w:t xml:space="preserve">; </w:t>
      </w:r>
      <w:r w:rsidR="003804F6" w:rsidRPr="00912B2E">
        <w:rPr>
          <w:rFonts w:ascii="Calibri" w:hAnsi="Calibri" w:cstheme="minorHAnsi"/>
          <w:color w:val="000000"/>
          <w:sz w:val="24"/>
          <w:szCs w:val="24"/>
        </w:rPr>
        <w:t>Brian</w:t>
      </w:r>
      <w:r w:rsidR="00912B2E">
        <w:rPr>
          <w:rFonts w:ascii="Calibri" w:hAnsi="Calibri" w:cstheme="minorHAnsi"/>
          <w:color w:val="000000"/>
          <w:sz w:val="24"/>
          <w:szCs w:val="24"/>
        </w:rPr>
        <w:t>,</w:t>
      </w:r>
      <w:r w:rsidR="003804F6" w:rsidRPr="00912B2E">
        <w:rPr>
          <w:rFonts w:ascii="Calibri" w:hAnsi="Calibri" w:cstheme="minorHAnsi"/>
          <w:color w:val="000000"/>
          <w:sz w:val="24"/>
          <w:szCs w:val="24"/>
        </w:rPr>
        <w:t xml:space="preserve"> M</w:t>
      </w:r>
      <w:r w:rsidR="00912B2E" w:rsidRPr="00912B2E">
        <w:rPr>
          <w:rFonts w:ascii="Calibri" w:hAnsi="Calibri" w:cstheme="minorHAnsi"/>
          <w:color w:val="000000"/>
          <w:sz w:val="24"/>
          <w:szCs w:val="24"/>
        </w:rPr>
        <w:t>cCan</w:t>
      </w:r>
      <w:r w:rsidR="00912B2E">
        <w:rPr>
          <w:rFonts w:ascii="Calibri" w:hAnsi="Calibri" w:cstheme="minorHAnsi"/>
          <w:color w:val="000000"/>
          <w:sz w:val="24"/>
          <w:szCs w:val="24"/>
        </w:rPr>
        <w:t>n</w:t>
      </w:r>
      <w:r w:rsidR="002D634A">
        <w:rPr>
          <w:rFonts w:ascii="Calibri" w:hAnsi="Calibri" w:cstheme="minorHAnsi"/>
          <w:color w:val="000000"/>
          <w:sz w:val="24"/>
          <w:szCs w:val="24"/>
          <w:vertAlign w:val="superscript"/>
          <w:lang w:val="en-GB"/>
        </w:rPr>
        <w:t>2</w:t>
      </w:r>
      <w:r w:rsidR="00466846">
        <w:t>;</w:t>
      </w:r>
      <w:r w:rsidR="00912B2E">
        <w:t xml:space="preserve"> </w:t>
      </w:r>
      <w:r w:rsidR="00912B2E">
        <w:rPr>
          <w:rFonts w:ascii="Calibri" w:hAnsi="Calibri" w:cstheme="minorHAnsi"/>
          <w:color w:val="000000"/>
          <w:sz w:val="24"/>
          <w:szCs w:val="24"/>
          <w:lang w:val="en-GB"/>
        </w:rPr>
        <w:t>Noreen Armstrong</w:t>
      </w:r>
      <w:r w:rsidR="009A72BE">
        <w:rPr>
          <w:rFonts w:ascii="Calibri" w:hAnsi="Calibri" w:cstheme="minorHAnsi"/>
          <w:color w:val="000000"/>
          <w:sz w:val="24"/>
          <w:szCs w:val="24"/>
          <w:vertAlign w:val="superscript"/>
          <w:lang w:val="en-GB"/>
        </w:rPr>
        <w:t>1</w:t>
      </w:r>
      <w:r w:rsidR="00466846">
        <w:rPr>
          <w:rFonts w:ascii="Calibri" w:hAnsi="Calibri" w:cstheme="minorHAnsi"/>
          <w:color w:val="000000"/>
          <w:sz w:val="24"/>
          <w:szCs w:val="24"/>
          <w:lang w:val="en-GB"/>
        </w:rPr>
        <w:t>;</w:t>
      </w:r>
      <w:r w:rsidR="00912B2E">
        <w:rPr>
          <w:rFonts w:ascii="Calibri" w:hAnsi="Calibri" w:cstheme="minorHAnsi"/>
          <w:color w:val="000000"/>
          <w:sz w:val="24"/>
          <w:szCs w:val="24"/>
          <w:lang w:val="en-GB"/>
        </w:rPr>
        <w:t xml:space="preserve"> Sar</w:t>
      </w:r>
      <w:r w:rsidR="00466846">
        <w:rPr>
          <w:rFonts w:ascii="Calibri" w:hAnsi="Calibri" w:cstheme="minorHAnsi"/>
          <w:color w:val="000000"/>
          <w:sz w:val="24"/>
          <w:szCs w:val="24"/>
          <w:lang w:val="en-GB"/>
        </w:rPr>
        <w:t>bast, Moslem</w:t>
      </w:r>
      <w:r w:rsidR="009A72BE">
        <w:rPr>
          <w:rFonts w:ascii="Calibri" w:hAnsi="Calibri" w:cstheme="minorHAnsi"/>
          <w:color w:val="000000"/>
          <w:sz w:val="24"/>
          <w:szCs w:val="24"/>
          <w:vertAlign w:val="superscript"/>
          <w:lang w:val="en-GB"/>
        </w:rPr>
        <w:t>3</w:t>
      </w:r>
      <w:r w:rsidR="00466846">
        <w:rPr>
          <w:rFonts w:ascii="Calibri" w:hAnsi="Calibri" w:cstheme="minorHAnsi"/>
          <w:color w:val="000000"/>
          <w:sz w:val="24"/>
          <w:szCs w:val="24"/>
          <w:lang w:val="en-GB"/>
        </w:rPr>
        <w:t>;</w:t>
      </w:r>
      <w:r w:rsidR="00B4232A">
        <w:rPr>
          <w:rFonts w:ascii="Calibri" w:hAnsi="Calibri" w:cstheme="minorHAnsi"/>
          <w:color w:val="000000"/>
          <w:sz w:val="24"/>
          <w:szCs w:val="24"/>
          <w:lang w:val="en-GB"/>
        </w:rPr>
        <w:t xml:space="preserve"> </w:t>
      </w:r>
      <w:r w:rsidR="003F3EFB" w:rsidRPr="003F3EFB">
        <w:rPr>
          <w:rFonts w:ascii="Calibri" w:hAnsi="Calibri" w:cstheme="minorHAnsi"/>
          <w:color w:val="000000"/>
          <w:sz w:val="24"/>
          <w:szCs w:val="24"/>
          <w:lang w:val="en-GB"/>
        </w:rPr>
        <w:t>Agnieszka</w:t>
      </w:r>
      <w:r w:rsidR="003F3EFB">
        <w:rPr>
          <w:rFonts w:ascii="Calibri" w:hAnsi="Calibri" w:cstheme="minorHAnsi"/>
          <w:color w:val="000000"/>
          <w:sz w:val="24"/>
          <w:szCs w:val="24"/>
          <w:lang w:val="en-GB"/>
        </w:rPr>
        <w:t>,</w:t>
      </w:r>
      <w:r w:rsidR="003F3EFB" w:rsidRPr="003F3EFB">
        <w:rPr>
          <w:rFonts w:ascii="Calibri" w:hAnsi="Calibri" w:cstheme="minorHAnsi"/>
          <w:color w:val="000000"/>
          <w:sz w:val="24"/>
          <w:szCs w:val="24"/>
          <w:lang w:val="en-GB"/>
        </w:rPr>
        <w:t xml:space="preserve"> Stefaniec</w:t>
      </w:r>
      <w:r w:rsidR="009A72BE">
        <w:rPr>
          <w:rFonts w:ascii="Calibri" w:hAnsi="Calibri" w:cstheme="minorHAnsi"/>
          <w:color w:val="000000"/>
          <w:sz w:val="24"/>
          <w:szCs w:val="24"/>
          <w:vertAlign w:val="superscript"/>
          <w:lang w:val="en-GB"/>
        </w:rPr>
        <w:t>4</w:t>
      </w:r>
      <w:r w:rsidR="003F3EFB">
        <w:rPr>
          <w:rFonts w:ascii="Calibri" w:hAnsi="Calibri" w:cstheme="minorHAnsi"/>
          <w:color w:val="000000"/>
          <w:sz w:val="24"/>
          <w:szCs w:val="24"/>
          <w:lang w:val="en-GB"/>
        </w:rPr>
        <w:t xml:space="preserve">; </w:t>
      </w:r>
      <w:r w:rsidR="00763950">
        <w:rPr>
          <w:rFonts w:ascii="Calibri" w:hAnsi="Calibri" w:cstheme="minorHAnsi"/>
          <w:color w:val="000000"/>
          <w:sz w:val="24"/>
          <w:szCs w:val="24"/>
          <w:lang w:val="en-GB"/>
        </w:rPr>
        <w:t>Brian, Caulfield</w:t>
      </w:r>
      <w:r w:rsidR="009A72BE">
        <w:rPr>
          <w:rFonts w:ascii="Calibri" w:hAnsi="Calibri" w:cstheme="minorHAnsi"/>
          <w:color w:val="000000"/>
          <w:sz w:val="24"/>
          <w:szCs w:val="24"/>
          <w:vertAlign w:val="superscript"/>
          <w:lang w:val="en-GB"/>
        </w:rPr>
        <w:t>3</w:t>
      </w:r>
      <w:r w:rsidR="00763950" w:rsidRPr="008F0F77">
        <w:rPr>
          <w:rFonts w:ascii="Calibri" w:hAnsi="Calibri" w:cstheme="minorHAnsi"/>
          <w:color w:val="000000"/>
          <w:sz w:val="24"/>
          <w:szCs w:val="24"/>
        </w:rPr>
        <w:t>; Amaya</w:t>
      </w:r>
      <w:r w:rsidR="00E76FF9">
        <w:rPr>
          <w:rFonts w:ascii="Calibri" w:hAnsi="Calibri" w:cstheme="minorHAnsi"/>
          <w:color w:val="000000"/>
          <w:sz w:val="24"/>
          <w:szCs w:val="24"/>
        </w:rPr>
        <w:t>,</w:t>
      </w:r>
      <w:r w:rsidR="00763950" w:rsidRPr="008F0F77">
        <w:rPr>
          <w:rFonts w:ascii="Calibri" w:hAnsi="Calibri" w:cstheme="minorHAnsi"/>
          <w:color w:val="000000"/>
          <w:sz w:val="24"/>
          <w:szCs w:val="24"/>
        </w:rPr>
        <w:t xml:space="preserve"> Vega</w:t>
      </w:r>
      <w:r w:rsidR="002D634A" w:rsidRPr="008F0F77">
        <w:rPr>
          <w:rFonts w:ascii="Calibri" w:hAnsi="Calibri" w:cstheme="minorHAnsi"/>
          <w:color w:val="000000"/>
          <w:sz w:val="24"/>
          <w:szCs w:val="24"/>
          <w:vertAlign w:val="superscript"/>
        </w:rPr>
        <w:t>1</w:t>
      </w:r>
    </w:p>
    <w:p w14:paraId="748EF7F6" w14:textId="41AEAA1B" w:rsidR="00CA1695" w:rsidRDefault="00CA1695">
      <w:pPr>
        <w:pStyle w:val="Affiliation"/>
        <w:spacing w:after="0" w:line="240" w:lineRule="auto"/>
        <w:rPr>
          <w:rFonts w:asciiTheme="minorHAnsi" w:hAnsiTheme="minorHAnsi" w:cstheme="minorHAnsi"/>
          <w:color w:val="1F497D" w:themeColor="text2"/>
          <w:sz w:val="24"/>
          <w:szCs w:val="24"/>
          <w:lang w:val="en-GB"/>
        </w:rPr>
      </w:pPr>
    </w:p>
    <w:p w14:paraId="748EF7F7" w14:textId="4B38054B" w:rsidR="00CA1695" w:rsidRDefault="00B4232A">
      <w:pPr>
        <w:pStyle w:val="Affiliation"/>
        <w:spacing w:after="0" w:line="240" w:lineRule="auto"/>
      </w:pPr>
      <w:r>
        <w:rPr>
          <w:rFonts w:ascii="Calibri" w:hAnsi="Calibri" w:cstheme="minorHAnsi"/>
          <w:color w:val="000000"/>
          <w:vertAlign w:val="superscript"/>
          <w:lang w:val="en-GB"/>
        </w:rPr>
        <w:t>1</w:t>
      </w:r>
      <w:r>
        <w:rPr>
          <w:rFonts w:ascii="Calibri" w:hAnsi="Calibri" w:cstheme="minorHAnsi"/>
          <w:color w:val="000000"/>
          <w:lang w:val="en-GB"/>
        </w:rPr>
        <w:t xml:space="preserve"> </w:t>
      </w:r>
      <w:r w:rsidR="002D634A">
        <w:rPr>
          <w:rFonts w:ascii="Calibri" w:hAnsi="Calibri" w:cstheme="minorHAnsi"/>
          <w:color w:val="000000"/>
          <w:lang w:val="en-GB"/>
        </w:rPr>
        <w:t>Faculty</w:t>
      </w:r>
      <w:r w:rsidR="00F71DD6">
        <w:rPr>
          <w:rFonts w:ascii="Calibri" w:hAnsi="Calibri" w:cstheme="minorHAnsi"/>
          <w:color w:val="000000"/>
          <w:lang w:val="en-GB"/>
        </w:rPr>
        <w:t xml:space="preserve"> of Business, </w:t>
      </w:r>
      <w:r w:rsidR="003804F6" w:rsidRPr="003804F6">
        <w:rPr>
          <w:rFonts w:ascii="Calibri" w:hAnsi="Calibri" w:cstheme="minorHAnsi"/>
          <w:color w:val="000000"/>
          <w:lang w:val="en-GB"/>
        </w:rPr>
        <w:t>Atlantic Technological University, Ireland</w:t>
      </w:r>
    </w:p>
    <w:p w14:paraId="45A1A6E5" w14:textId="01D5BD57" w:rsidR="00F56DEA" w:rsidRDefault="00862A47" w:rsidP="00F56DEA">
      <w:pPr>
        <w:pStyle w:val="Affiliation"/>
        <w:spacing w:after="0" w:line="240" w:lineRule="auto"/>
      </w:pPr>
      <w:r>
        <w:rPr>
          <w:rFonts w:ascii="Calibri" w:hAnsi="Calibri" w:cstheme="minorHAnsi"/>
          <w:color w:val="000000"/>
          <w:vertAlign w:val="superscript"/>
          <w:lang w:val="en-GB"/>
        </w:rPr>
        <w:t>2</w:t>
      </w:r>
      <w:r w:rsidR="00F56DEA">
        <w:rPr>
          <w:rFonts w:ascii="Calibri" w:hAnsi="Calibri" w:cstheme="minorHAnsi"/>
          <w:color w:val="000000"/>
          <w:lang w:val="en-GB"/>
        </w:rPr>
        <w:t xml:space="preserve"> </w:t>
      </w:r>
      <w:r w:rsidR="009A72BE">
        <w:rPr>
          <w:rFonts w:ascii="Calibri" w:hAnsi="Calibri" w:cstheme="minorHAnsi"/>
          <w:color w:val="000000"/>
          <w:lang w:val="en-GB"/>
        </w:rPr>
        <w:t xml:space="preserve">Faculty of Engineering and Computing, </w:t>
      </w:r>
      <w:r w:rsidR="001C6A0D" w:rsidRPr="001C6A0D">
        <w:rPr>
          <w:rFonts w:ascii="Calibri" w:hAnsi="Calibri" w:cstheme="minorHAnsi"/>
          <w:color w:val="000000"/>
          <w:lang w:val="en-GB"/>
        </w:rPr>
        <w:t>Atlantic Technological University, Ireland</w:t>
      </w:r>
    </w:p>
    <w:p w14:paraId="795269A6" w14:textId="4C138551" w:rsidR="00862A47" w:rsidRPr="00862A47" w:rsidRDefault="00862A47" w:rsidP="00862A47">
      <w:pPr>
        <w:pStyle w:val="Affiliation"/>
        <w:spacing w:after="0" w:line="240" w:lineRule="auto"/>
        <w:rPr>
          <w:rFonts w:ascii="Calibri" w:hAnsi="Calibri" w:cstheme="minorHAnsi"/>
          <w:color w:val="000000"/>
          <w:lang w:val="en-GB"/>
        </w:rPr>
      </w:pPr>
      <w:r>
        <w:rPr>
          <w:rFonts w:ascii="Calibri" w:hAnsi="Calibri" w:cstheme="minorHAnsi"/>
          <w:color w:val="000000"/>
          <w:vertAlign w:val="superscript"/>
          <w:lang w:val="en-GB"/>
        </w:rPr>
        <w:t xml:space="preserve">3 </w:t>
      </w:r>
      <w:r w:rsidR="001C6A0D" w:rsidRPr="001C6A0D">
        <w:rPr>
          <w:rFonts w:ascii="Calibri" w:hAnsi="Calibri" w:cstheme="minorHAnsi"/>
          <w:color w:val="000000"/>
          <w:lang w:val="en-GB"/>
        </w:rPr>
        <w:t xml:space="preserve">Centre for Transport Research, Dept of Civil, Structural and Environmental Engineering, </w:t>
      </w:r>
      <w:r>
        <w:rPr>
          <w:rFonts w:ascii="Calibri" w:hAnsi="Calibri" w:cstheme="minorHAnsi"/>
          <w:color w:val="000000"/>
          <w:lang w:val="en-GB"/>
        </w:rPr>
        <w:br/>
      </w:r>
      <w:r w:rsidR="001C6A0D" w:rsidRPr="001C6A0D">
        <w:rPr>
          <w:rFonts w:ascii="Calibri" w:hAnsi="Calibri" w:cstheme="minorHAnsi"/>
          <w:color w:val="000000"/>
          <w:lang w:val="en-GB"/>
        </w:rPr>
        <w:t xml:space="preserve">Trinity College Dublin, </w:t>
      </w:r>
      <w:r w:rsidR="001C6A0D">
        <w:rPr>
          <w:rFonts w:ascii="Calibri" w:hAnsi="Calibri" w:cstheme="minorHAnsi"/>
          <w:color w:val="000000"/>
          <w:lang w:val="en-GB"/>
        </w:rPr>
        <w:t>Ireland</w:t>
      </w:r>
    </w:p>
    <w:p w14:paraId="325EB045" w14:textId="7196A03D" w:rsidR="00F56DEA" w:rsidRDefault="00862A47" w:rsidP="00F56DEA">
      <w:pPr>
        <w:pStyle w:val="Affiliation"/>
        <w:spacing w:after="0" w:line="240" w:lineRule="auto"/>
      </w:pPr>
      <w:r>
        <w:rPr>
          <w:rFonts w:ascii="Calibri" w:hAnsi="Calibri" w:cstheme="minorHAnsi"/>
          <w:color w:val="000000"/>
          <w:vertAlign w:val="superscript"/>
          <w:lang w:val="en-GB"/>
        </w:rPr>
        <w:t>4</w:t>
      </w:r>
      <w:r w:rsidR="00F56DEA">
        <w:rPr>
          <w:rFonts w:ascii="Calibri" w:hAnsi="Calibri" w:cstheme="minorHAnsi"/>
          <w:color w:val="000000"/>
          <w:lang w:val="en-GB"/>
        </w:rPr>
        <w:t xml:space="preserve"> </w:t>
      </w:r>
      <w:r w:rsidRPr="00862A47">
        <w:rPr>
          <w:rFonts w:ascii="Calibri" w:hAnsi="Calibri" w:cstheme="minorHAnsi"/>
          <w:color w:val="000000"/>
          <w:lang w:val="en-GB"/>
        </w:rPr>
        <w:t xml:space="preserve">Department of Decision Analytics and Risk at Southampton Business School, </w:t>
      </w:r>
      <w:r>
        <w:rPr>
          <w:rFonts w:ascii="Calibri" w:hAnsi="Calibri" w:cstheme="minorHAnsi"/>
          <w:color w:val="000000"/>
          <w:lang w:val="en-GB"/>
        </w:rPr>
        <w:br/>
      </w:r>
      <w:r w:rsidRPr="00862A47">
        <w:rPr>
          <w:rFonts w:ascii="Calibri" w:hAnsi="Calibri" w:cstheme="minorHAnsi"/>
          <w:color w:val="000000"/>
          <w:lang w:val="en-GB"/>
        </w:rPr>
        <w:t>University of Southampton, UK</w:t>
      </w:r>
    </w:p>
    <w:p w14:paraId="748EF7FB" w14:textId="77777777" w:rsidR="00CA1695" w:rsidRDefault="00CA1695">
      <w:pPr>
        <w:pStyle w:val="Affiliation"/>
        <w:spacing w:after="0" w:line="240" w:lineRule="auto"/>
        <w:jc w:val="left"/>
        <w:rPr>
          <w:rFonts w:asciiTheme="minorHAnsi" w:hAnsiTheme="minorHAnsi" w:cstheme="minorHAnsi"/>
          <w:color w:val="1F497D" w:themeColor="text2"/>
          <w:sz w:val="24"/>
          <w:szCs w:val="24"/>
          <w:lang w:val="en-GB"/>
        </w:rPr>
      </w:pPr>
    </w:p>
    <w:p w14:paraId="748EF7FC" w14:textId="77777777" w:rsidR="00CA1695" w:rsidRDefault="00CA1695">
      <w:pPr>
        <w:pStyle w:val="Affiliation"/>
        <w:spacing w:after="0" w:line="240" w:lineRule="auto"/>
        <w:jc w:val="left"/>
        <w:rPr>
          <w:rFonts w:asciiTheme="minorHAnsi" w:hAnsiTheme="minorHAnsi" w:cstheme="minorHAnsi"/>
          <w:color w:val="1F497D" w:themeColor="text2"/>
          <w:sz w:val="24"/>
          <w:szCs w:val="24"/>
          <w:lang w:val="en-GB"/>
        </w:rPr>
      </w:pPr>
    </w:p>
    <w:p w14:paraId="6CA733A5" w14:textId="77777777" w:rsidR="00862A47" w:rsidRDefault="00862A47">
      <w:pPr>
        <w:pStyle w:val="Affiliation"/>
        <w:spacing w:after="0" w:line="240" w:lineRule="auto"/>
        <w:jc w:val="left"/>
        <w:rPr>
          <w:rFonts w:asciiTheme="minorHAnsi" w:hAnsiTheme="minorHAnsi" w:cstheme="minorHAnsi"/>
          <w:color w:val="1F497D" w:themeColor="text2"/>
          <w:sz w:val="24"/>
          <w:szCs w:val="24"/>
          <w:lang w:val="en-GB"/>
        </w:rPr>
      </w:pPr>
    </w:p>
    <w:p w14:paraId="5A20CA80" w14:textId="77777777" w:rsidR="00862A47" w:rsidRDefault="00862A47">
      <w:pPr>
        <w:pStyle w:val="Affiliation"/>
        <w:spacing w:after="0" w:line="240" w:lineRule="auto"/>
        <w:jc w:val="left"/>
        <w:rPr>
          <w:rFonts w:asciiTheme="minorHAnsi" w:hAnsiTheme="minorHAnsi" w:cstheme="minorHAnsi"/>
          <w:color w:val="1F497D" w:themeColor="text2"/>
          <w:sz w:val="24"/>
          <w:szCs w:val="24"/>
          <w:lang w:val="en-GB"/>
        </w:rPr>
      </w:pPr>
    </w:p>
    <w:p w14:paraId="748EF7FE" w14:textId="1D971830" w:rsidR="00CA1695" w:rsidRDefault="00B4232A">
      <w:pPr>
        <w:pStyle w:val="Heading6"/>
        <w:spacing w:before="0" w:after="0"/>
        <w:rPr>
          <w:rFonts w:asciiTheme="minorHAnsi" w:hAnsiTheme="minorHAnsi" w:cstheme="minorHAnsi"/>
          <w:sz w:val="28"/>
          <w:szCs w:val="28"/>
        </w:rPr>
      </w:pPr>
      <w:r>
        <w:rPr>
          <w:rFonts w:cstheme="minorHAnsi"/>
          <w:sz w:val="28"/>
          <w:szCs w:val="28"/>
        </w:rPr>
        <w:t>Abstract</w:t>
      </w:r>
    </w:p>
    <w:p w14:paraId="748EF7FF" w14:textId="77777777" w:rsidR="00CA1695" w:rsidRDefault="00CA1695">
      <w:pPr>
        <w:pStyle w:val="Affiliation"/>
        <w:spacing w:after="0" w:line="240" w:lineRule="auto"/>
        <w:jc w:val="both"/>
        <w:rPr>
          <w:rFonts w:asciiTheme="minorHAnsi" w:hAnsiTheme="minorHAnsi" w:cstheme="minorHAnsi"/>
          <w:color w:val="1F497D" w:themeColor="text2"/>
          <w:sz w:val="24"/>
          <w:szCs w:val="24"/>
          <w:lang w:val="en-GB"/>
        </w:rPr>
      </w:pPr>
    </w:p>
    <w:p w14:paraId="748EF801" w14:textId="05960FA9" w:rsidR="00CA1695" w:rsidRDefault="00B32714" w:rsidP="00B32714">
      <w:pPr>
        <w:pStyle w:val="BodyText"/>
        <w:rPr>
          <w:rFonts w:asciiTheme="minorHAnsi" w:hAnsiTheme="minorHAnsi" w:cstheme="minorHAnsi"/>
          <w:lang w:eastAsia="en-IE"/>
        </w:rPr>
      </w:pPr>
      <w:r w:rsidRPr="00B32714">
        <w:rPr>
          <w:rFonts w:asciiTheme="minorHAnsi" w:hAnsiTheme="minorHAnsi" w:cstheme="minorHAnsi"/>
          <w:lang w:eastAsia="en-IE"/>
        </w:rPr>
        <w:t>Mobility hubs are places where shared bikes/e-bikes, cars, e-scooters or similar modes are co-</w:t>
      </w:r>
      <w:r w:rsidR="00E76FF9" w:rsidRPr="00B32714">
        <w:rPr>
          <w:rFonts w:asciiTheme="minorHAnsi" w:hAnsiTheme="minorHAnsi" w:cstheme="minorHAnsi"/>
          <w:lang w:eastAsia="en-IE"/>
        </w:rPr>
        <w:t>locat</w:t>
      </w:r>
      <w:r w:rsidR="00E76FF9">
        <w:rPr>
          <w:rFonts w:asciiTheme="minorHAnsi" w:hAnsiTheme="minorHAnsi" w:cstheme="minorHAnsi"/>
          <w:lang w:eastAsia="en-IE"/>
        </w:rPr>
        <w:t>ed</w:t>
      </w:r>
      <w:r w:rsidRPr="00B32714">
        <w:rPr>
          <w:rFonts w:asciiTheme="minorHAnsi" w:hAnsiTheme="minorHAnsi" w:cstheme="minorHAnsi"/>
          <w:lang w:eastAsia="en-IE"/>
        </w:rPr>
        <w:t>, often</w:t>
      </w:r>
      <w:r>
        <w:rPr>
          <w:rFonts w:asciiTheme="minorHAnsi" w:hAnsiTheme="minorHAnsi" w:cstheme="minorHAnsi"/>
          <w:lang w:eastAsia="en-IE"/>
        </w:rPr>
        <w:t xml:space="preserve"> </w:t>
      </w:r>
      <w:r w:rsidRPr="00B32714">
        <w:rPr>
          <w:rFonts w:asciiTheme="minorHAnsi" w:hAnsiTheme="minorHAnsi" w:cstheme="minorHAnsi"/>
          <w:lang w:eastAsia="en-IE"/>
        </w:rPr>
        <w:t>close to transit and facilities such as charging stations or parcel lockers. The aim is to provide a combined</w:t>
      </w:r>
      <w:r>
        <w:rPr>
          <w:rFonts w:asciiTheme="minorHAnsi" w:hAnsiTheme="minorHAnsi" w:cstheme="minorHAnsi"/>
          <w:lang w:eastAsia="en-IE"/>
        </w:rPr>
        <w:t xml:space="preserve"> </w:t>
      </w:r>
      <w:r w:rsidRPr="00B32714">
        <w:rPr>
          <w:rFonts w:asciiTheme="minorHAnsi" w:hAnsiTheme="minorHAnsi" w:cstheme="minorHAnsi"/>
          <w:lang w:eastAsia="en-IE"/>
        </w:rPr>
        <w:t xml:space="preserve">alternative to </w:t>
      </w:r>
      <w:r w:rsidR="00E76FF9">
        <w:rPr>
          <w:rFonts w:asciiTheme="minorHAnsi" w:hAnsiTheme="minorHAnsi" w:cstheme="minorHAnsi"/>
          <w:lang w:eastAsia="en-IE"/>
        </w:rPr>
        <w:t>Internal Combustion Engine (ICE) vehicle</w:t>
      </w:r>
      <w:r w:rsidR="00E76FF9" w:rsidRPr="00B32714">
        <w:rPr>
          <w:rFonts w:asciiTheme="minorHAnsi" w:hAnsiTheme="minorHAnsi" w:cstheme="minorHAnsi"/>
          <w:lang w:eastAsia="en-IE"/>
        </w:rPr>
        <w:t xml:space="preserve"> </w:t>
      </w:r>
      <w:r w:rsidRPr="00B32714">
        <w:rPr>
          <w:rFonts w:asciiTheme="minorHAnsi" w:hAnsiTheme="minorHAnsi" w:cstheme="minorHAnsi"/>
          <w:lang w:eastAsia="en-IE"/>
        </w:rPr>
        <w:t>ownership and to support more sustainable travel behaviours. Signage,</w:t>
      </w:r>
      <w:r>
        <w:rPr>
          <w:rFonts w:asciiTheme="minorHAnsi" w:hAnsiTheme="minorHAnsi" w:cstheme="minorHAnsi"/>
          <w:lang w:eastAsia="en-IE"/>
        </w:rPr>
        <w:t xml:space="preserve"> </w:t>
      </w:r>
      <w:r w:rsidRPr="00B32714">
        <w:rPr>
          <w:rFonts w:asciiTheme="minorHAnsi" w:hAnsiTheme="minorHAnsi" w:cstheme="minorHAnsi"/>
          <w:lang w:eastAsia="en-IE"/>
        </w:rPr>
        <w:t>information displays an</w:t>
      </w:r>
      <w:r>
        <w:rPr>
          <w:rFonts w:asciiTheme="minorHAnsi" w:hAnsiTheme="minorHAnsi" w:cstheme="minorHAnsi"/>
          <w:lang w:eastAsia="en-IE"/>
        </w:rPr>
        <w:t>d</w:t>
      </w:r>
      <w:r w:rsidRPr="00B32714">
        <w:rPr>
          <w:rFonts w:asciiTheme="minorHAnsi" w:hAnsiTheme="minorHAnsi" w:cstheme="minorHAnsi"/>
          <w:lang w:eastAsia="en-IE"/>
        </w:rPr>
        <w:t xml:space="preserve"> user guidance will likely be important at such hubs, but not much is known about</w:t>
      </w:r>
      <w:r>
        <w:rPr>
          <w:rFonts w:asciiTheme="minorHAnsi" w:hAnsiTheme="minorHAnsi" w:cstheme="minorHAnsi"/>
          <w:lang w:eastAsia="en-IE"/>
        </w:rPr>
        <w:t xml:space="preserve"> </w:t>
      </w:r>
      <w:r w:rsidRPr="00B32714">
        <w:rPr>
          <w:rFonts w:asciiTheme="minorHAnsi" w:hAnsiTheme="minorHAnsi" w:cstheme="minorHAnsi"/>
          <w:lang w:eastAsia="en-IE"/>
        </w:rPr>
        <w:t>industry best practices. There do not appear to be tools available to help mobility hub implementers,</w:t>
      </w:r>
      <w:r>
        <w:rPr>
          <w:rFonts w:asciiTheme="minorHAnsi" w:hAnsiTheme="minorHAnsi" w:cstheme="minorHAnsi"/>
          <w:lang w:eastAsia="en-IE"/>
        </w:rPr>
        <w:t xml:space="preserve"> </w:t>
      </w:r>
      <w:r w:rsidRPr="00B32714">
        <w:rPr>
          <w:rFonts w:asciiTheme="minorHAnsi" w:hAnsiTheme="minorHAnsi" w:cstheme="minorHAnsi"/>
          <w:lang w:eastAsia="en-IE"/>
        </w:rPr>
        <w:t>including for creating hubs where existing services are already co-located. This paper reports case studies of</w:t>
      </w:r>
      <w:r>
        <w:rPr>
          <w:rFonts w:asciiTheme="minorHAnsi" w:hAnsiTheme="minorHAnsi" w:cstheme="minorHAnsi"/>
          <w:lang w:eastAsia="en-IE"/>
        </w:rPr>
        <w:t xml:space="preserve"> </w:t>
      </w:r>
      <w:r w:rsidRPr="00B32714">
        <w:rPr>
          <w:rFonts w:asciiTheme="minorHAnsi" w:hAnsiTheme="minorHAnsi" w:cstheme="minorHAnsi"/>
          <w:lang w:eastAsia="en-IE"/>
        </w:rPr>
        <w:t>existing practices, and the development of software tools for creating maps and informational displays for</w:t>
      </w:r>
      <w:r>
        <w:rPr>
          <w:rFonts w:asciiTheme="minorHAnsi" w:hAnsiTheme="minorHAnsi" w:cstheme="minorHAnsi"/>
          <w:lang w:eastAsia="en-IE"/>
        </w:rPr>
        <w:t xml:space="preserve"> </w:t>
      </w:r>
      <w:r w:rsidRPr="00B32714">
        <w:rPr>
          <w:rFonts w:asciiTheme="minorHAnsi" w:hAnsiTheme="minorHAnsi" w:cstheme="minorHAnsi"/>
          <w:lang w:eastAsia="en-IE"/>
        </w:rPr>
        <w:t xml:space="preserve">mobility hubs in any location. Are there multiple mobility offerings in </w:t>
      </w:r>
      <w:proofErr w:type="gramStart"/>
      <w:r w:rsidRPr="00B32714">
        <w:rPr>
          <w:rFonts w:asciiTheme="minorHAnsi" w:hAnsiTheme="minorHAnsi" w:cstheme="minorHAnsi"/>
          <w:lang w:eastAsia="en-IE"/>
        </w:rPr>
        <w:t>close proximity</w:t>
      </w:r>
      <w:proofErr w:type="gramEnd"/>
      <w:r w:rsidRPr="00B32714">
        <w:rPr>
          <w:rFonts w:asciiTheme="minorHAnsi" w:hAnsiTheme="minorHAnsi" w:cstheme="minorHAnsi"/>
          <w:lang w:eastAsia="en-IE"/>
        </w:rPr>
        <w:t xml:space="preserve"> in your community?</w:t>
      </w:r>
      <w:r>
        <w:rPr>
          <w:rFonts w:asciiTheme="minorHAnsi" w:hAnsiTheme="minorHAnsi" w:cstheme="minorHAnsi"/>
          <w:lang w:eastAsia="en-IE"/>
        </w:rPr>
        <w:t xml:space="preserve"> </w:t>
      </w:r>
      <w:r w:rsidRPr="00B32714">
        <w:rPr>
          <w:rFonts w:asciiTheme="minorHAnsi" w:hAnsiTheme="minorHAnsi" w:cstheme="minorHAnsi"/>
          <w:lang w:eastAsia="en-IE"/>
        </w:rPr>
        <w:t xml:space="preserve">These tools, a printer and somewhere </w:t>
      </w:r>
      <w:r w:rsidR="00E76FF9">
        <w:rPr>
          <w:rFonts w:asciiTheme="minorHAnsi" w:hAnsiTheme="minorHAnsi" w:cstheme="minorHAnsi"/>
          <w:lang w:eastAsia="en-IE"/>
        </w:rPr>
        <w:t xml:space="preserve">to </w:t>
      </w:r>
      <w:r w:rsidRPr="00B32714">
        <w:rPr>
          <w:rFonts w:asciiTheme="minorHAnsi" w:hAnsiTheme="minorHAnsi" w:cstheme="minorHAnsi"/>
          <w:lang w:eastAsia="en-IE"/>
        </w:rPr>
        <w:t>hang a poster might be all that is needed to spread the word.</w:t>
      </w:r>
    </w:p>
    <w:p w14:paraId="748EF802" w14:textId="77777777" w:rsidR="00CA1695" w:rsidRDefault="00CA1695">
      <w:pPr>
        <w:pStyle w:val="Affiliation"/>
        <w:spacing w:after="0" w:line="240" w:lineRule="auto"/>
        <w:jc w:val="both"/>
        <w:rPr>
          <w:rFonts w:asciiTheme="minorHAnsi" w:hAnsiTheme="minorHAnsi" w:cstheme="minorHAnsi"/>
          <w:color w:val="1F497D" w:themeColor="text2"/>
          <w:sz w:val="24"/>
          <w:szCs w:val="24"/>
          <w:lang w:val="en-GB"/>
        </w:rPr>
      </w:pPr>
    </w:p>
    <w:p w14:paraId="748EF804" w14:textId="304A5BAA" w:rsidR="00CA1695" w:rsidRDefault="00B4232A">
      <w:pPr>
        <w:pStyle w:val="BodyText"/>
        <w:rPr>
          <w:rFonts w:asciiTheme="minorHAnsi" w:hAnsiTheme="minorHAnsi" w:cstheme="minorHAnsi"/>
          <w:b/>
        </w:rPr>
      </w:pPr>
      <w:r>
        <w:rPr>
          <w:rFonts w:asciiTheme="minorHAnsi" w:hAnsiTheme="minorHAnsi" w:cstheme="minorHAnsi"/>
          <w:b/>
        </w:rPr>
        <w:t xml:space="preserve">Keywords: </w:t>
      </w:r>
      <w:r w:rsidR="00697FED" w:rsidRPr="00697FED">
        <w:rPr>
          <w:rFonts w:asciiTheme="minorHAnsi" w:hAnsiTheme="minorHAnsi" w:cstheme="minorHAnsi"/>
        </w:rPr>
        <w:t>Mobility hub, informational displays, shared modes, electric mobility</w:t>
      </w:r>
      <w:r w:rsidR="00697FED">
        <w:rPr>
          <w:rFonts w:asciiTheme="minorHAnsi" w:hAnsiTheme="minorHAnsi" w:cstheme="minorHAnsi"/>
        </w:rPr>
        <w:t>.</w:t>
      </w:r>
    </w:p>
    <w:p w14:paraId="748EF805" w14:textId="77777777" w:rsidR="00CA1695" w:rsidRDefault="00CA1695">
      <w:pPr>
        <w:pStyle w:val="BodyText"/>
        <w:rPr>
          <w:rFonts w:asciiTheme="minorHAnsi" w:hAnsiTheme="minorHAnsi" w:cstheme="minorHAnsi"/>
        </w:rPr>
      </w:pPr>
    </w:p>
    <w:p w14:paraId="748EF806" w14:textId="77777777" w:rsidR="00CA1695" w:rsidRDefault="00CA1695">
      <w:pPr>
        <w:pStyle w:val="BodyText"/>
        <w:rPr>
          <w:rFonts w:asciiTheme="minorHAnsi" w:hAnsiTheme="minorHAnsi" w:cstheme="minorHAnsi"/>
        </w:rPr>
      </w:pPr>
    </w:p>
    <w:p w14:paraId="748EF808" w14:textId="42331C42" w:rsidR="00CA1695" w:rsidRDefault="00B4232A">
      <w:pPr>
        <w:pStyle w:val="BodyText"/>
      </w:pPr>
      <w:r>
        <w:rPr>
          <w:rFonts w:asciiTheme="minorHAnsi" w:hAnsiTheme="minorHAnsi" w:cstheme="minorHAnsi"/>
          <w:b/>
          <w:bCs/>
        </w:rPr>
        <w:t>Introduction</w:t>
      </w:r>
    </w:p>
    <w:p w14:paraId="748EF809" w14:textId="0F30A61B" w:rsidR="00CA1695" w:rsidRPr="00D90CAC" w:rsidRDefault="00030423" w:rsidP="00030423">
      <w:pPr>
        <w:pStyle w:val="BodyText"/>
        <w:rPr>
          <w:rFonts w:asciiTheme="minorHAnsi" w:hAnsiTheme="minorHAnsi" w:cstheme="minorHAnsi"/>
        </w:rPr>
      </w:pPr>
      <w:r w:rsidRPr="00D90CAC">
        <w:rPr>
          <w:rFonts w:asciiTheme="minorHAnsi" w:hAnsiTheme="minorHAnsi" w:cstheme="minorHAnsi"/>
        </w:rPr>
        <w:t>Shared mobility hubs are places where a range of modes and other facilities may be provided to support more sustainable travel. They often include shared</w:t>
      </w:r>
      <w:r w:rsidR="00E76FF9">
        <w:rPr>
          <w:rFonts w:asciiTheme="minorHAnsi" w:hAnsiTheme="minorHAnsi" w:cstheme="minorHAnsi"/>
        </w:rPr>
        <w:t xml:space="preserve"> b</w:t>
      </w:r>
      <w:r w:rsidRPr="00D90CAC">
        <w:rPr>
          <w:rFonts w:asciiTheme="minorHAnsi" w:hAnsiTheme="minorHAnsi" w:cstheme="minorHAnsi"/>
        </w:rPr>
        <w:t xml:space="preserve">ikes, </w:t>
      </w:r>
      <w:proofErr w:type="spellStart"/>
      <w:r w:rsidRPr="00D90CAC">
        <w:rPr>
          <w:rFonts w:asciiTheme="minorHAnsi" w:hAnsiTheme="minorHAnsi" w:cstheme="minorHAnsi"/>
        </w:rPr>
        <w:t>cargobikes</w:t>
      </w:r>
      <w:proofErr w:type="spellEnd"/>
      <w:r w:rsidRPr="00D90CAC">
        <w:rPr>
          <w:rFonts w:asciiTheme="minorHAnsi" w:hAnsiTheme="minorHAnsi" w:cstheme="minorHAnsi"/>
        </w:rPr>
        <w:t xml:space="preserve">, e-bikes, e-scooters or other micromobility vehicles, as well as car share, public car charging and other services. Together, these might help support shifts towards more walking, cycling and </w:t>
      </w:r>
      <w:r w:rsidR="00E76FF9">
        <w:rPr>
          <w:rFonts w:asciiTheme="minorHAnsi" w:hAnsiTheme="minorHAnsi" w:cstheme="minorHAnsi"/>
        </w:rPr>
        <w:t xml:space="preserve">public transport </w:t>
      </w:r>
      <w:r w:rsidRPr="00D90CAC">
        <w:rPr>
          <w:rFonts w:asciiTheme="minorHAnsi" w:hAnsiTheme="minorHAnsi" w:cstheme="minorHAnsi"/>
        </w:rPr>
        <w:t>transit use, and otherwise improve the sustainability of transport systems through providing options for those (more occasional) trips that are difficult without a private car</w:t>
      </w:r>
      <w:r w:rsidR="00050A70">
        <w:rPr>
          <w:rFonts w:asciiTheme="minorHAnsi" w:hAnsiTheme="minorHAnsi" w:cstheme="minorHAnsi"/>
        </w:rPr>
        <w:t xml:space="preserve"> (</w:t>
      </w:r>
      <w:proofErr w:type="spellStart"/>
      <w:r w:rsidR="00050A70">
        <w:rPr>
          <w:rFonts w:asciiTheme="minorHAnsi" w:hAnsiTheme="minorHAnsi" w:cstheme="minorHAnsi"/>
        </w:rPr>
        <w:t>Geurs</w:t>
      </w:r>
      <w:proofErr w:type="spellEnd"/>
      <w:r w:rsidR="00050A70">
        <w:rPr>
          <w:rFonts w:asciiTheme="minorHAnsi" w:hAnsiTheme="minorHAnsi" w:cstheme="minorHAnsi"/>
        </w:rPr>
        <w:t xml:space="preserve"> et al., </w:t>
      </w:r>
      <w:r w:rsidR="0049297E">
        <w:rPr>
          <w:rFonts w:asciiTheme="minorHAnsi" w:hAnsiTheme="minorHAnsi" w:cstheme="minorHAnsi"/>
        </w:rPr>
        <w:t>2024)</w:t>
      </w:r>
      <w:r w:rsidRPr="00D90CAC">
        <w:rPr>
          <w:rFonts w:asciiTheme="minorHAnsi" w:hAnsiTheme="minorHAnsi" w:cstheme="minorHAnsi"/>
        </w:rPr>
        <w:t xml:space="preserve">. </w:t>
      </w:r>
    </w:p>
    <w:p w14:paraId="748EF80A" w14:textId="77777777" w:rsidR="00CA1695" w:rsidRDefault="00B4232A">
      <w:pPr>
        <w:pStyle w:val="FootnoteText"/>
      </w:pPr>
      <w:r>
        <w:t xml:space="preserve">____________________________________________________________________                                                                                                                                                                                                                               </w:t>
      </w:r>
    </w:p>
    <w:tbl>
      <w:tblPr>
        <w:tblStyle w:val="TableGrid"/>
        <w:tblpPr w:vertAnchor="text" w:tblpXSpec="center" w:tblpYSpec="top"/>
        <w:tblW w:w="9221" w:type="dxa"/>
        <w:tblLayout w:type="fixed"/>
        <w:tblLook w:val="04A0" w:firstRow="1" w:lastRow="0" w:firstColumn="1" w:lastColumn="0" w:noHBand="0" w:noVBand="1"/>
      </w:tblPr>
      <w:tblGrid>
        <w:gridCol w:w="851"/>
        <w:gridCol w:w="8370"/>
      </w:tblGrid>
      <w:tr w:rsidR="00CA1695" w14:paraId="748EF80E" w14:textId="77777777">
        <w:trPr>
          <w:trHeight w:val="89"/>
        </w:trPr>
        <w:tc>
          <w:tcPr>
            <w:tcW w:w="851" w:type="dxa"/>
            <w:tcBorders>
              <w:top w:val="nil"/>
              <w:left w:val="nil"/>
              <w:bottom w:val="nil"/>
              <w:right w:val="nil"/>
            </w:tcBorders>
          </w:tcPr>
          <w:p w14:paraId="748EF80B" w14:textId="77777777" w:rsidR="00CA1695" w:rsidRDefault="00CA1695">
            <w:pPr>
              <w:pStyle w:val="FootnoteText"/>
              <w:ind w:left="-113" w:right="201"/>
              <w:rPr>
                <w:lang w:val="en-US"/>
              </w:rPr>
            </w:pPr>
          </w:p>
        </w:tc>
        <w:tc>
          <w:tcPr>
            <w:tcW w:w="8369" w:type="dxa"/>
            <w:tcBorders>
              <w:top w:val="nil"/>
              <w:left w:val="nil"/>
              <w:bottom w:val="nil"/>
              <w:right w:val="nil"/>
            </w:tcBorders>
          </w:tcPr>
          <w:p w14:paraId="748EF80C" w14:textId="77777777" w:rsidR="00CA1695" w:rsidRDefault="00B4232A">
            <w:pPr>
              <w:pStyle w:val="FootnoteText"/>
              <w:rPr>
                <w:sz w:val="12"/>
                <w:szCs w:val="12"/>
              </w:rPr>
            </w:pPr>
            <w:r>
              <w:rPr>
                <w:sz w:val="12"/>
                <w:szCs w:val="12"/>
                <w:lang w:val="en-US"/>
              </w:rPr>
              <w:t>©</w:t>
            </w:r>
            <w:proofErr w:type="gramStart"/>
            <w:r>
              <w:rPr>
                <w:sz w:val="12"/>
                <w:szCs w:val="12"/>
                <w:lang w:val="en-US"/>
              </w:rPr>
              <w:t>️  2026</w:t>
            </w:r>
            <w:proofErr w:type="gramEnd"/>
            <w:r>
              <w:rPr>
                <w:sz w:val="12"/>
                <w:szCs w:val="12"/>
                <w:lang w:val="en-US"/>
              </w:rPr>
              <w:t xml:space="preserve"> Copyright for this paper is by its authors.</w:t>
            </w:r>
            <w:r>
              <w:rPr>
                <w:sz w:val="12"/>
                <w:szCs w:val="12"/>
                <w:lang w:val="en-US"/>
              </w:rPr>
              <w:br/>
              <w:t>Use permitted under Creative Commons License Attribution 4.0 International (CC BY 4.0).</w:t>
            </w:r>
          </w:p>
          <w:p w14:paraId="748EF80D" w14:textId="77777777" w:rsidR="00CA1695" w:rsidRDefault="00B4232A">
            <w:pPr>
              <w:pStyle w:val="FootnoteText"/>
            </w:pPr>
            <w:r>
              <w:rPr>
                <w:sz w:val="12"/>
                <w:szCs w:val="12"/>
              </w:rPr>
              <w:t xml:space="preserve">Proceedings </w:t>
            </w:r>
            <w:proofErr w:type="gramStart"/>
            <w:r>
              <w:rPr>
                <w:sz w:val="12"/>
                <w:szCs w:val="12"/>
              </w:rPr>
              <w:t>of  the</w:t>
            </w:r>
            <w:proofErr w:type="gramEnd"/>
            <w:r>
              <w:rPr>
                <w:sz w:val="12"/>
                <w:szCs w:val="12"/>
              </w:rPr>
              <w:t xml:space="preserve"> CERC 2026 </w:t>
            </w:r>
            <w:proofErr w:type="gramStart"/>
            <w:r>
              <w:rPr>
                <w:sz w:val="12"/>
                <w:szCs w:val="12"/>
              </w:rPr>
              <w:t>Conference  16</w:t>
            </w:r>
            <w:proofErr w:type="gramEnd"/>
            <w:r>
              <w:rPr>
                <w:sz w:val="12"/>
                <w:szCs w:val="12"/>
              </w:rPr>
              <w:t>-17 October, Galway, Ireland</w:t>
            </w:r>
          </w:p>
        </w:tc>
      </w:tr>
      <w:tr w:rsidR="00CA1695" w14:paraId="748EF811" w14:textId="77777777">
        <w:trPr>
          <w:trHeight w:val="52"/>
        </w:trPr>
        <w:tc>
          <w:tcPr>
            <w:tcW w:w="851" w:type="dxa"/>
            <w:tcBorders>
              <w:top w:val="nil"/>
              <w:left w:val="nil"/>
              <w:bottom w:val="nil"/>
              <w:right w:val="nil"/>
            </w:tcBorders>
          </w:tcPr>
          <w:p w14:paraId="748EF80F" w14:textId="77777777" w:rsidR="00CA1695" w:rsidRDefault="00CA1695">
            <w:pPr>
              <w:pStyle w:val="FootnoteText"/>
              <w:ind w:left="-113" w:right="201"/>
              <w:rPr>
                <w:lang w:val="en-US"/>
              </w:rPr>
            </w:pPr>
          </w:p>
        </w:tc>
        <w:tc>
          <w:tcPr>
            <w:tcW w:w="8369" w:type="dxa"/>
            <w:tcBorders>
              <w:top w:val="nil"/>
              <w:left w:val="nil"/>
              <w:bottom w:val="nil"/>
              <w:right w:val="nil"/>
            </w:tcBorders>
          </w:tcPr>
          <w:p w14:paraId="748EF810" w14:textId="77777777" w:rsidR="00CA1695" w:rsidRDefault="00CA1695">
            <w:pPr>
              <w:pStyle w:val="FootnoteText"/>
              <w:rPr>
                <w:lang w:val="en-US"/>
              </w:rPr>
            </w:pPr>
          </w:p>
        </w:tc>
      </w:tr>
    </w:tbl>
    <w:p w14:paraId="748EF812" w14:textId="77777777" w:rsidR="00CA1695" w:rsidRDefault="00CA1695">
      <w:pPr>
        <w:pStyle w:val="FootnoteText"/>
        <w:rPr>
          <w:rFonts w:ascii="Calibre" w:hAnsi="Calibre"/>
        </w:rPr>
      </w:pPr>
    </w:p>
    <w:p w14:paraId="54F55914" w14:textId="517FC278" w:rsidR="00437FAD" w:rsidRPr="00437FAD" w:rsidRDefault="00437FAD" w:rsidP="00437FAD">
      <w:pPr>
        <w:pStyle w:val="BodyText"/>
        <w:rPr>
          <w:rFonts w:ascii="Calibri" w:hAnsi="Calibri"/>
        </w:rPr>
      </w:pPr>
      <w:r w:rsidRPr="00437FAD">
        <w:rPr>
          <w:rFonts w:ascii="Calibri" w:hAnsi="Calibri"/>
        </w:rPr>
        <w:lastRenderedPageBreak/>
        <w:t>Many mobility hubs have already been implemented, but with signage, maps and other informational</w:t>
      </w:r>
      <w:r>
        <w:rPr>
          <w:rFonts w:ascii="Calibri" w:hAnsi="Calibri"/>
        </w:rPr>
        <w:t xml:space="preserve"> </w:t>
      </w:r>
      <w:r w:rsidRPr="00437FAD">
        <w:rPr>
          <w:rFonts w:ascii="Calibri" w:hAnsi="Calibri"/>
        </w:rPr>
        <w:t xml:space="preserve">material created by individual agencies on a site-by-site basis. </w:t>
      </w:r>
      <w:r w:rsidR="004B70EA">
        <w:rPr>
          <w:rFonts w:ascii="Calibri" w:hAnsi="Calibri"/>
        </w:rPr>
        <w:t>S</w:t>
      </w:r>
      <w:r w:rsidR="00931F9F">
        <w:rPr>
          <w:rFonts w:ascii="Calibri" w:hAnsi="Calibri"/>
        </w:rPr>
        <w:t xml:space="preserve">ome guidance </w:t>
      </w:r>
      <w:r w:rsidR="004B70EA">
        <w:rPr>
          <w:rFonts w:ascii="Calibri" w:hAnsi="Calibri"/>
        </w:rPr>
        <w:t xml:space="preserve">and examples are </w:t>
      </w:r>
      <w:r w:rsidR="00931F9F">
        <w:rPr>
          <w:rFonts w:ascii="Calibri" w:hAnsi="Calibri"/>
        </w:rPr>
        <w:t xml:space="preserve">provided by </w:t>
      </w:r>
      <w:proofErr w:type="spellStart"/>
      <w:r w:rsidR="004B70EA" w:rsidRPr="004B70EA">
        <w:rPr>
          <w:rFonts w:ascii="Calibri" w:hAnsi="Calibri"/>
        </w:rPr>
        <w:t>CoMoUK</w:t>
      </w:r>
      <w:proofErr w:type="spellEnd"/>
      <w:r w:rsidR="004B70EA" w:rsidRPr="004B70EA">
        <w:rPr>
          <w:rFonts w:ascii="Calibri" w:hAnsi="Calibri"/>
        </w:rPr>
        <w:t xml:space="preserve"> </w:t>
      </w:r>
      <w:r w:rsidR="004B70EA">
        <w:rPr>
          <w:rFonts w:ascii="Calibri" w:hAnsi="Calibri"/>
        </w:rPr>
        <w:t>(2024</w:t>
      </w:r>
      <w:r w:rsidR="00882953">
        <w:rPr>
          <w:rFonts w:ascii="Calibri" w:hAnsi="Calibri"/>
        </w:rPr>
        <w:t>)</w:t>
      </w:r>
      <w:r w:rsidR="004B70EA">
        <w:rPr>
          <w:rFonts w:ascii="Calibri" w:hAnsi="Calibri"/>
        </w:rPr>
        <w:t xml:space="preserve">, but </w:t>
      </w:r>
      <w:r w:rsidRPr="00437FAD">
        <w:rPr>
          <w:rFonts w:ascii="Calibri" w:hAnsi="Calibri"/>
        </w:rPr>
        <w:t>best practices for information</w:t>
      </w:r>
      <w:r>
        <w:rPr>
          <w:rFonts w:ascii="Calibri" w:hAnsi="Calibri"/>
        </w:rPr>
        <w:t xml:space="preserve"> </w:t>
      </w:r>
      <w:r w:rsidRPr="00437FAD">
        <w:rPr>
          <w:rFonts w:ascii="Calibri" w:hAnsi="Calibri"/>
        </w:rPr>
        <w:t xml:space="preserve">provision and user guidance at mobility hubs </w:t>
      </w:r>
      <w:r w:rsidR="00882953">
        <w:rPr>
          <w:rFonts w:ascii="Calibri" w:hAnsi="Calibri"/>
        </w:rPr>
        <w:t>may be unclear</w:t>
      </w:r>
      <w:r w:rsidR="004B70EA">
        <w:rPr>
          <w:rStyle w:val="FootnoteReference"/>
          <w:rFonts w:ascii="Calibri" w:hAnsi="Calibri"/>
        </w:rPr>
        <w:footnoteReference w:id="1"/>
      </w:r>
      <w:r w:rsidRPr="00437FAD">
        <w:rPr>
          <w:rFonts w:ascii="Calibri" w:hAnsi="Calibri"/>
        </w:rPr>
        <w:t>. As well, the graphic design, mapping and similar</w:t>
      </w:r>
      <w:r>
        <w:rPr>
          <w:rFonts w:ascii="Calibri" w:hAnsi="Calibri"/>
        </w:rPr>
        <w:t xml:space="preserve"> </w:t>
      </w:r>
      <w:r w:rsidRPr="00437FAD">
        <w:rPr>
          <w:rFonts w:ascii="Calibri" w:hAnsi="Calibri"/>
        </w:rPr>
        <w:t xml:space="preserve">effort needed to </w:t>
      </w:r>
      <w:r w:rsidR="004B70EA">
        <w:rPr>
          <w:rFonts w:ascii="Calibri" w:hAnsi="Calibri"/>
        </w:rPr>
        <w:t xml:space="preserve">create </w:t>
      </w:r>
      <w:r w:rsidRPr="00437FAD">
        <w:rPr>
          <w:rFonts w:ascii="Calibri" w:hAnsi="Calibri"/>
        </w:rPr>
        <w:t>such material for each site may limit the ability for practitioners to keep information</w:t>
      </w:r>
      <w:r>
        <w:rPr>
          <w:rFonts w:ascii="Calibri" w:hAnsi="Calibri"/>
        </w:rPr>
        <w:t xml:space="preserve"> </w:t>
      </w:r>
      <w:r w:rsidRPr="00437FAD">
        <w:rPr>
          <w:rFonts w:ascii="Calibri" w:hAnsi="Calibri"/>
        </w:rPr>
        <w:t>up to date, to trial new hubs, or to use bottom-up implementation approaches to create hubs where shared</w:t>
      </w:r>
      <w:r>
        <w:rPr>
          <w:rFonts w:ascii="Calibri" w:hAnsi="Calibri"/>
        </w:rPr>
        <w:t xml:space="preserve"> </w:t>
      </w:r>
      <w:r w:rsidRPr="00437FAD">
        <w:rPr>
          <w:rFonts w:ascii="Calibri" w:hAnsi="Calibri"/>
        </w:rPr>
        <w:t>or other modes are already in close proximity.</w:t>
      </w:r>
    </w:p>
    <w:p w14:paraId="748EF815" w14:textId="0351696D" w:rsidR="00CA1695" w:rsidRDefault="00437FAD" w:rsidP="00437FAD">
      <w:pPr>
        <w:pStyle w:val="BodyText"/>
        <w:rPr>
          <w:rFonts w:ascii="Calibri" w:hAnsi="Calibri"/>
        </w:rPr>
      </w:pPr>
      <w:r w:rsidRPr="00437FAD">
        <w:rPr>
          <w:rFonts w:ascii="Calibri" w:hAnsi="Calibri"/>
        </w:rPr>
        <w:t>This paper aims to explore and better understand mobility hub information provision, and to develop</w:t>
      </w:r>
      <w:r>
        <w:rPr>
          <w:rFonts w:ascii="Calibri" w:hAnsi="Calibri"/>
        </w:rPr>
        <w:t xml:space="preserve"> </w:t>
      </w:r>
      <w:r w:rsidRPr="00437FAD">
        <w:rPr>
          <w:rFonts w:ascii="Calibri" w:hAnsi="Calibri"/>
        </w:rPr>
        <w:t>tools to support practitioners. It reports findings from case research examining existing practices at a</w:t>
      </w:r>
      <w:r>
        <w:rPr>
          <w:rFonts w:ascii="Calibri" w:hAnsi="Calibri"/>
        </w:rPr>
        <w:t xml:space="preserve"> </w:t>
      </w:r>
      <w:r w:rsidRPr="00437FAD">
        <w:rPr>
          <w:rFonts w:ascii="Calibri" w:hAnsi="Calibri"/>
        </w:rPr>
        <w:t>selection of mobility hubs. Also reported are findings from design-based research that develops software for</w:t>
      </w:r>
      <w:r>
        <w:rPr>
          <w:rFonts w:ascii="Calibri" w:hAnsi="Calibri"/>
        </w:rPr>
        <w:t xml:space="preserve"> </w:t>
      </w:r>
      <w:r w:rsidRPr="00437FAD">
        <w:rPr>
          <w:rFonts w:ascii="Calibri" w:hAnsi="Calibri"/>
        </w:rPr>
        <w:t>producing maps and information displays at other mobility hubs, based on both replication and synthesis of</w:t>
      </w:r>
      <w:r>
        <w:rPr>
          <w:rFonts w:ascii="Calibri" w:hAnsi="Calibri"/>
        </w:rPr>
        <w:t xml:space="preserve"> </w:t>
      </w:r>
      <w:r w:rsidRPr="00437FAD">
        <w:rPr>
          <w:rFonts w:ascii="Calibri" w:hAnsi="Calibri"/>
        </w:rPr>
        <w:t>industry practices. The rest of this paper is structured as follows: the next section outlines the context for</w:t>
      </w:r>
      <w:r>
        <w:rPr>
          <w:rFonts w:ascii="Calibri" w:hAnsi="Calibri"/>
        </w:rPr>
        <w:t xml:space="preserve"> </w:t>
      </w:r>
      <w:r w:rsidRPr="00437FAD">
        <w:rPr>
          <w:rFonts w:ascii="Calibri" w:hAnsi="Calibri"/>
        </w:rPr>
        <w:t>this study. The research methodology is then described, followed by presentation of the results. These are</w:t>
      </w:r>
      <w:r>
        <w:rPr>
          <w:rFonts w:ascii="Calibri" w:hAnsi="Calibri"/>
        </w:rPr>
        <w:t xml:space="preserve"> </w:t>
      </w:r>
      <w:r w:rsidRPr="00437FAD">
        <w:rPr>
          <w:rFonts w:ascii="Calibri" w:hAnsi="Calibri"/>
        </w:rPr>
        <w:t>then briefly discussed in a concluding section that also identifies directions for future research.</w:t>
      </w:r>
    </w:p>
    <w:p w14:paraId="7A8111D7" w14:textId="77777777" w:rsidR="00437FAD" w:rsidRDefault="00437FAD">
      <w:pPr>
        <w:pStyle w:val="BodyText"/>
        <w:rPr>
          <w:rFonts w:asciiTheme="minorHAnsi" w:hAnsiTheme="minorHAnsi" w:cstheme="minorHAnsi"/>
          <w:color w:val="1F497D" w:themeColor="text2"/>
        </w:rPr>
      </w:pPr>
    </w:p>
    <w:p w14:paraId="748EF817" w14:textId="4D4B8A9E" w:rsidR="00CA1695" w:rsidRDefault="005B56D7">
      <w:pPr>
        <w:pStyle w:val="BodyText"/>
        <w:rPr>
          <w:b/>
          <w:bCs/>
        </w:rPr>
      </w:pPr>
      <w:r>
        <w:rPr>
          <w:rFonts w:ascii="Calibri" w:hAnsi="Calibri" w:cstheme="minorHAnsi"/>
          <w:b/>
          <w:bCs/>
        </w:rPr>
        <w:t>Research context</w:t>
      </w:r>
    </w:p>
    <w:p w14:paraId="798FC6F2" w14:textId="1BDED925" w:rsidR="005B56D7" w:rsidRPr="005B56D7" w:rsidRDefault="005B56D7" w:rsidP="005B56D7">
      <w:pPr>
        <w:pStyle w:val="BodyText"/>
        <w:rPr>
          <w:rFonts w:ascii="Calibri" w:hAnsi="Calibri" w:cstheme="minorHAnsi"/>
        </w:rPr>
      </w:pPr>
      <w:r w:rsidRPr="005B56D7">
        <w:rPr>
          <w:rFonts w:ascii="Calibri" w:hAnsi="Calibri" w:cstheme="minorHAnsi"/>
        </w:rPr>
        <w:t>An early version of the mobility hub concept was developed in Toronto’s “Big Move” transport plan</w:t>
      </w:r>
      <w:r>
        <w:rPr>
          <w:rFonts w:ascii="Calibri" w:hAnsi="Calibri" w:cstheme="minorHAnsi"/>
        </w:rPr>
        <w:t xml:space="preserve"> </w:t>
      </w:r>
      <w:r w:rsidRPr="005B56D7">
        <w:rPr>
          <w:rFonts w:ascii="Calibri" w:hAnsi="Calibri" w:cstheme="minorHAnsi"/>
        </w:rPr>
        <w:t>(</w:t>
      </w:r>
      <w:proofErr w:type="spellStart"/>
      <w:r w:rsidRPr="005B56D7">
        <w:rPr>
          <w:rFonts w:ascii="Calibri" w:hAnsi="Calibri" w:cstheme="minorHAnsi"/>
        </w:rPr>
        <w:t>Metrolinx</w:t>
      </w:r>
      <w:proofErr w:type="spellEnd"/>
      <w:r w:rsidRPr="005B56D7">
        <w:rPr>
          <w:rFonts w:ascii="Calibri" w:hAnsi="Calibri" w:cstheme="minorHAnsi"/>
        </w:rPr>
        <w:t>, 2008) in the late 2000s. There the term was used to designate selected major regional transit</w:t>
      </w:r>
      <w:r w:rsidR="00DA3D14">
        <w:rPr>
          <w:rFonts w:ascii="Calibri" w:hAnsi="Calibri" w:cstheme="minorHAnsi"/>
        </w:rPr>
        <w:t xml:space="preserve"> </w:t>
      </w:r>
      <w:r w:rsidRPr="005B56D7">
        <w:rPr>
          <w:rFonts w:ascii="Calibri" w:hAnsi="Calibri" w:cstheme="minorHAnsi"/>
        </w:rPr>
        <w:t>s</w:t>
      </w:r>
      <w:r w:rsidR="00DA3D14">
        <w:rPr>
          <w:rFonts w:ascii="Calibri" w:hAnsi="Calibri" w:cstheme="minorHAnsi"/>
        </w:rPr>
        <w:t>ta</w:t>
      </w:r>
      <w:r w:rsidRPr="005B56D7">
        <w:rPr>
          <w:rFonts w:ascii="Calibri" w:hAnsi="Calibri" w:cstheme="minorHAnsi"/>
        </w:rPr>
        <w:t>tions around which land</w:t>
      </w:r>
      <w:r w:rsidR="00882953">
        <w:rPr>
          <w:rFonts w:ascii="Calibri" w:hAnsi="Calibri" w:cstheme="minorHAnsi"/>
        </w:rPr>
        <w:t xml:space="preserve"> </w:t>
      </w:r>
      <w:r w:rsidRPr="005B56D7">
        <w:rPr>
          <w:rFonts w:ascii="Calibri" w:hAnsi="Calibri" w:cstheme="minorHAnsi"/>
        </w:rPr>
        <w:t>uses would be intensified and where intermodal transfers would be facilitated</w:t>
      </w:r>
      <w:r w:rsidR="00DA3D14">
        <w:rPr>
          <w:rFonts w:ascii="Calibri" w:hAnsi="Calibri" w:cstheme="minorHAnsi"/>
        </w:rPr>
        <w:t xml:space="preserve"> </w:t>
      </w:r>
      <w:r w:rsidRPr="005B56D7">
        <w:rPr>
          <w:rFonts w:ascii="Calibri" w:hAnsi="Calibri" w:cstheme="minorHAnsi"/>
        </w:rPr>
        <w:t>(Salsberg et al., 2010, Engel-Yan and Leonard (2012)). Since then, the mobility hub concept has expanded</w:t>
      </w:r>
      <w:r w:rsidR="00DA3D14">
        <w:rPr>
          <w:rFonts w:ascii="Calibri" w:hAnsi="Calibri" w:cstheme="minorHAnsi"/>
        </w:rPr>
        <w:t xml:space="preserve"> </w:t>
      </w:r>
      <w:r w:rsidRPr="005B56D7">
        <w:rPr>
          <w:rFonts w:ascii="Calibri" w:hAnsi="Calibri" w:cstheme="minorHAnsi"/>
        </w:rPr>
        <w:t xml:space="preserve">towards co-locating shared and/or micro-mobility services often, but not always, close to </w:t>
      </w:r>
      <w:r w:rsidR="00882953">
        <w:rPr>
          <w:rFonts w:ascii="Calibri" w:hAnsi="Calibri" w:cstheme="minorHAnsi"/>
        </w:rPr>
        <w:t>public transport</w:t>
      </w:r>
      <w:r w:rsidRPr="005B56D7">
        <w:rPr>
          <w:rFonts w:ascii="Calibri" w:hAnsi="Calibri" w:cstheme="minorHAnsi"/>
        </w:rPr>
        <w:t>. They might</w:t>
      </w:r>
      <w:r w:rsidR="00DA3D14">
        <w:rPr>
          <w:rFonts w:ascii="Calibri" w:hAnsi="Calibri" w:cstheme="minorHAnsi"/>
        </w:rPr>
        <w:t xml:space="preserve"> </w:t>
      </w:r>
      <w:r w:rsidRPr="005B56D7">
        <w:rPr>
          <w:rFonts w:ascii="Calibri" w:hAnsi="Calibri" w:cstheme="minorHAnsi"/>
        </w:rPr>
        <w:t xml:space="preserve">also incorporate </w:t>
      </w:r>
      <w:r w:rsidR="00882953">
        <w:rPr>
          <w:rFonts w:ascii="Calibri" w:hAnsi="Calibri" w:cstheme="minorHAnsi"/>
        </w:rPr>
        <w:t xml:space="preserve">other </w:t>
      </w:r>
      <w:r w:rsidRPr="005B56D7">
        <w:rPr>
          <w:rFonts w:ascii="Calibri" w:hAnsi="Calibri" w:cstheme="minorHAnsi"/>
        </w:rPr>
        <w:t>facilities and “should be considered not just a transfer node but as a place where a variety of</w:t>
      </w:r>
      <w:r w:rsidR="00DA3D14">
        <w:rPr>
          <w:rFonts w:ascii="Calibri" w:hAnsi="Calibri" w:cstheme="minorHAnsi"/>
        </w:rPr>
        <w:t xml:space="preserve"> </w:t>
      </w:r>
      <w:r w:rsidRPr="005B56D7">
        <w:rPr>
          <w:rFonts w:ascii="Calibri" w:hAnsi="Calibri" w:cstheme="minorHAnsi"/>
        </w:rPr>
        <w:t>services come together, such as logistics services or restaurants” (</w:t>
      </w:r>
      <w:proofErr w:type="spellStart"/>
      <w:r w:rsidRPr="005B56D7">
        <w:rPr>
          <w:rFonts w:ascii="Calibri" w:hAnsi="Calibri" w:cstheme="minorHAnsi"/>
        </w:rPr>
        <w:t>Roukouni</w:t>
      </w:r>
      <w:proofErr w:type="spellEnd"/>
      <w:r w:rsidRPr="005B56D7">
        <w:rPr>
          <w:rFonts w:ascii="Calibri" w:hAnsi="Calibri" w:cstheme="minorHAnsi"/>
        </w:rPr>
        <w:t xml:space="preserve"> et al., 2023). This definition from</w:t>
      </w:r>
      <w:r w:rsidR="00DA3D14">
        <w:rPr>
          <w:rFonts w:ascii="Calibri" w:hAnsi="Calibri" w:cstheme="minorHAnsi"/>
        </w:rPr>
        <w:t xml:space="preserve"> </w:t>
      </w:r>
      <w:proofErr w:type="spellStart"/>
      <w:r w:rsidRPr="005B56D7">
        <w:rPr>
          <w:rFonts w:ascii="Calibri" w:hAnsi="Calibri" w:cstheme="minorHAnsi"/>
        </w:rPr>
        <w:t>Roukouni</w:t>
      </w:r>
      <w:proofErr w:type="spellEnd"/>
      <w:r w:rsidRPr="005B56D7">
        <w:rPr>
          <w:rFonts w:ascii="Calibri" w:hAnsi="Calibri" w:cstheme="minorHAnsi"/>
        </w:rPr>
        <w:t xml:space="preserve"> et al. (2023) is based on a review of the literature, and also highlights the need for “integration”,</w:t>
      </w:r>
      <w:r w:rsidR="00DA3D14">
        <w:rPr>
          <w:rFonts w:ascii="Calibri" w:hAnsi="Calibri" w:cstheme="minorHAnsi"/>
        </w:rPr>
        <w:t xml:space="preserve"> </w:t>
      </w:r>
      <w:r w:rsidRPr="005B56D7">
        <w:rPr>
          <w:rFonts w:ascii="Calibri" w:hAnsi="Calibri" w:cstheme="minorHAnsi"/>
        </w:rPr>
        <w:t xml:space="preserve">“seamless, flexible connection” and “. . . an enjoyable experience for </w:t>
      </w:r>
      <w:proofErr w:type="spellStart"/>
      <w:r w:rsidRPr="005B56D7">
        <w:rPr>
          <w:rFonts w:ascii="Calibri" w:hAnsi="Calibri" w:cstheme="minorHAnsi"/>
        </w:rPr>
        <w:t>travelers</w:t>
      </w:r>
      <w:proofErr w:type="spellEnd"/>
      <w:r w:rsidRPr="005B56D7">
        <w:rPr>
          <w:rFonts w:ascii="Calibri" w:hAnsi="Calibri" w:cstheme="minorHAnsi"/>
        </w:rPr>
        <w:t>” . How this might be achieved,</w:t>
      </w:r>
      <w:r w:rsidR="00DA3D14">
        <w:rPr>
          <w:rFonts w:ascii="Calibri" w:hAnsi="Calibri" w:cstheme="minorHAnsi"/>
        </w:rPr>
        <w:t xml:space="preserve"> </w:t>
      </w:r>
      <w:r w:rsidRPr="005B56D7">
        <w:rPr>
          <w:rFonts w:ascii="Calibri" w:hAnsi="Calibri" w:cstheme="minorHAnsi"/>
        </w:rPr>
        <w:t>implemented and maintained by practitioners remains unclear, but signs, maps and information displays</w:t>
      </w:r>
      <w:r w:rsidR="00DA3D14">
        <w:rPr>
          <w:rFonts w:ascii="Calibri" w:hAnsi="Calibri" w:cstheme="minorHAnsi"/>
        </w:rPr>
        <w:t xml:space="preserve"> </w:t>
      </w:r>
      <w:r w:rsidRPr="005B56D7">
        <w:rPr>
          <w:rFonts w:ascii="Calibri" w:hAnsi="Calibri" w:cstheme="minorHAnsi"/>
        </w:rPr>
        <w:t xml:space="preserve">may be an important </w:t>
      </w:r>
      <w:r w:rsidR="00882953">
        <w:rPr>
          <w:rFonts w:ascii="Calibri" w:hAnsi="Calibri" w:cstheme="minorHAnsi"/>
        </w:rPr>
        <w:t xml:space="preserve">communication </w:t>
      </w:r>
      <w:r w:rsidRPr="005B56D7">
        <w:rPr>
          <w:rFonts w:ascii="Calibri" w:hAnsi="Calibri" w:cstheme="minorHAnsi"/>
        </w:rPr>
        <w:t>tool.</w:t>
      </w:r>
    </w:p>
    <w:p w14:paraId="4FEBD240" w14:textId="3BD7139A" w:rsidR="003F157D" w:rsidRDefault="005B56D7" w:rsidP="003F157D">
      <w:pPr>
        <w:pStyle w:val="BodyText"/>
        <w:rPr>
          <w:rFonts w:ascii="Calibri" w:hAnsi="Calibri" w:cstheme="minorHAnsi"/>
        </w:rPr>
      </w:pPr>
      <w:r w:rsidRPr="005B56D7">
        <w:rPr>
          <w:rFonts w:ascii="Calibri" w:hAnsi="Calibri" w:cstheme="minorHAnsi"/>
        </w:rPr>
        <w:t>More broadly, ‘Movement and Place’ and ‘Complete Streets’ (</w:t>
      </w:r>
      <w:proofErr w:type="spellStart"/>
      <w:r w:rsidRPr="005B56D7">
        <w:rPr>
          <w:rFonts w:ascii="Calibri" w:hAnsi="Calibri" w:cstheme="minorHAnsi"/>
        </w:rPr>
        <w:t>Delbosc</w:t>
      </w:r>
      <w:proofErr w:type="spellEnd"/>
      <w:r w:rsidRPr="005B56D7">
        <w:rPr>
          <w:rFonts w:ascii="Calibri" w:hAnsi="Calibri" w:cstheme="minorHAnsi"/>
        </w:rPr>
        <w:t xml:space="preserve"> et al., 2018), and tactical urbanism</w:t>
      </w:r>
      <w:r w:rsidR="00DA3D14">
        <w:rPr>
          <w:rFonts w:ascii="Calibri" w:hAnsi="Calibri" w:cstheme="minorHAnsi"/>
        </w:rPr>
        <w:t xml:space="preserve"> </w:t>
      </w:r>
      <w:r w:rsidRPr="005B56D7">
        <w:rPr>
          <w:rFonts w:ascii="Calibri" w:hAnsi="Calibri" w:cstheme="minorHAnsi"/>
        </w:rPr>
        <w:t>approaches (Lydon and Garcia, 2015) suggest way</w:t>
      </w:r>
      <w:r w:rsidR="00882953">
        <w:rPr>
          <w:rFonts w:ascii="Calibri" w:hAnsi="Calibri" w:cstheme="minorHAnsi"/>
        </w:rPr>
        <w:t>s</w:t>
      </w:r>
      <w:r w:rsidRPr="005B56D7">
        <w:rPr>
          <w:rFonts w:ascii="Calibri" w:hAnsi="Calibri" w:cstheme="minorHAnsi"/>
        </w:rPr>
        <w:t xml:space="preserve"> to challenge prevailing </w:t>
      </w:r>
      <w:r w:rsidR="00DA3D14" w:rsidRPr="005B56D7">
        <w:rPr>
          <w:rFonts w:ascii="Calibri" w:hAnsi="Calibri" w:cstheme="minorHAnsi"/>
        </w:rPr>
        <w:t>narratives</w:t>
      </w:r>
      <w:r w:rsidRPr="005B56D7">
        <w:rPr>
          <w:rFonts w:ascii="Calibri" w:hAnsi="Calibri" w:cstheme="minorHAnsi"/>
        </w:rPr>
        <w:t xml:space="preserve"> about road space allocation,</w:t>
      </w:r>
      <w:r w:rsidR="00DA3D14">
        <w:rPr>
          <w:rFonts w:ascii="Calibri" w:hAnsi="Calibri" w:cstheme="minorHAnsi"/>
        </w:rPr>
        <w:t xml:space="preserve"> </w:t>
      </w:r>
      <w:r w:rsidRPr="005B56D7">
        <w:rPr>
          <w:rFonts w:ascii="Calibri" w:hAnsi="Calibri" w:cstheme="minorHAnsi"/>
        </w:rPr>
        <w:t>give communities greater power over (their own) urban environments, and demonstrate the potential of</w:t>
      </w:r>
      <w:r w:rsidR="00DA3D14">
        <w:rPr>
          <w:rFonts w:ascii="Calibri" w:hAnsi="Calibri" w:cstheme="minorHAnsi"/>
        </w:rPr>
        <w:t xml:space="preserve"> </w:t>
      </w:r>
      <w:r w:rsidRPr="005B56D7">
        <w:rPr>
          <w:rFonts w:ascii="Calibri" w:hAnsi="Calibri" w:cstheme="minorHAnsi"/>
        </w:rPr>
        <w:t>change. Bottom-up and incremental approaches, ‘pop-ups’ and more formal trials have also been found to be</w:t>
      </w:r>
      <w:r w:rsidR="00DA3D14">
        <w:rPr>
          <w:rFonts w:ascii="Calibri" w:hAnsi="Calibri" w:cstheme="minorHAnsi"/>
        </w:rPr>
        <w:t xml:space="preserve"> </w:t>
      </w:r>
      <w:r w:rsidRPr="005B56D7">
        <w:rPr>
          <w:rFonts w:ascii="Calibri" w:hAnsi="Calibri" w:cstheme="minorHAnsi"/>
        </w:rPr>
        <w:t>pragmatic strategies for building legitimacy through implementation (Reynolds and Currie, 2021). In the</w:t>
      </w:r>
      <w:r w:rsidR="00DA3D14">
        <w:rPr>
          <w:rFonts w:ascii="Calibri" w:hAnsi="Calibri" w:cstheme="minorHAnsi"/>
        </w:rPr>
        <w:t xml:space="preserve"> </w:t>
      </w:r>
      <w:r w:rsidR="003F157D" w:rsidRPr="003F157D">
        <w:rPr>
          <w:rFonts w:ascii="Calibri" w:hAnsi="Calibri" w:cstheme="minorHAnsi"/>
        </w:rPr>
        <w:t>context of mobility hubs these might rely on rapid prototyping, iterative co-design or similar approaches and</w:t>
      </w:r>
      <w:r w:rsidR="003F157D">
        <w:rPr>
          <w:rFonts w:ascii="Calibri" w:hAnsi="Calibri" w:cstheme="minorHAnsi"/>
        </w:rPr>
        <w:t xml:space="preserve"> </w:t>
      </w:r>
      <w:r w:rsidR="003F157D" w:rsidRPr="003F157D">
        <w:rPr>
          <w:rFonts w:ascii="Calibri" w:hAnsi="Calibri" w:cstheme="minorHAnsi"/>
        </w:rPr>
        <w:t>a need for practitioners, tactical urbanists and others to need adopt a</w:t>
      </w:r>
      <w:r w:rsidR="003F157D">
        <w:rPr>
          <w:rFonts w:ascii="Calibri" w:hAnsi="Calibri" w:cstheme="minorHAnsi"/>
        </w:rPr>
        <w:t xml:space="preserve"> </w:t>
      </w:r>
      <w:r w:rsidR="003F157D" w:rsidRPr="003F157D">
        <w:rPr>
          <w:rFonts w:ascii="Calibri" w:hAnsi="Calibri" w:cstheme="minorHAnsi"/>
        </w:rPr>
        <w:t>‘do it yourself’ attitude to developing information displays and supporting maps.</w:t>
      </w:r>
      <w:r w:rsidR="003F157D">
        <w:rPr>
          <w:rFonts w:ascii="Calibri" w:hAnsi="Calibri" w:cstheme="minorHAnsi"/>
        </w:rPr>
        <w:t xml:space="preserve"> </w:t>
      </w:r>
    </w:p>
    <w:p w14:paraId="4689D0BD" w14:textId="45E58A61" w:rsidR="00DA3D14" w:rsidRDefault="003F157D" w:rsidP="003F157D">
      <w:pPr>
        <w:pStyle w:val="BodyText"/>
        <w:rPr>
          <w:rFonts w:ascii="Calibri" w:hAnsi="Calibri" w:cstheme="minorHAnsi"/>
        </w:rPr>
      </w:pPr>
      <w:r w:rsidRPr="003F157D">
        <w:rPr>
          <w:rFonts w:ascii="Calibri" w:hAnsi="Calibri" w:cstheme="minorHAnsi"/>
        </w:rPr>
        <w:lastRenderedPageBreak/>
        <w:t xml:space="preserve">As of yet, </w:t>
      </w:r>
      <w:r w:rsidR="00234E3D">
        <w:rPr>
          <w:rFonts w:ascii="Calibri" w:hAnsi="Calibri" w:cstheme="minorHAnsi"/>
        </w:rPr>
        <w:t xml:space="preserve">development of </w:t>
      </w:r>
      <w:proofErr w:type="spellStart"/>
      <w:r w:rsidRPr="003F157D">
        <w:rPr>
          <w:rFonts w:ascii="Calibri" w:hAnsi="Calibri" w:cstheme="minorHAnsi"/>
        </w:rPr>
        <w:t>standarised</w:t>
      </w:r>
      <w:proofErr w:type="spellEnd"/>
      <w:r w:rsidRPr="003F157D">
        <w:rPr>
          <w:rFonts w:ascii="Calibri" w:hAnsi="Calibri" w:cstheme="minorHAnsi"/>
        </w:rPr>
        <w:t xml:space="preserve"> approaches for providing such information, </w:t>
      </w:r>
      <w:r w:rsidR="00234E3D">
        <w:rPr>
          <w:rFonts w:ascii="Calibri" w:hAnsi="Calibri" w:cstheme="minorHAnsi"/>
        </w:rPr>
        <w:t xml:space="preserve">and </w:t>
      </w:r>
      <w:r w:rsidRPr="003F157D">
        <w:rPr>
          <w:rFonts w:ascii="Calibri" w:hAnsi="Calibri" w:cstheme="minorHAnsi"/>
        </w:rPr>
        <w:t>understanding</w:t>
      </w:r>
      <w:r w:rsidR="00234E3D">
        <w:rPr>
          <w:rFonts w:ascii="Calibri" w:hAnsi="Calibri" w:cstheme="minorHAnsi"/>
        </w:rPr>
        <w:t>s</w:t>
      </w:r>
      <w:r w:rsidRPr="003F157D">
        <w:rPr>
          <w:rFonts w:ascii="Calibri" w:hAnsi="Calibri" w:cstheme="minorHAnsi"/>
        </w:rPr>
        <w:t xml:space="preserve"> of best practices for user guidance at mobility hubs</w:t>
      </w:r>
      <w:r w:rsidR="00234E3D">
        <w:rPr>
          <w:rFonts w:ascii="Calibri" w:hAnsi="Calibri" w:cstheme="minorHAnsi"/>
        </w:rPr>
        <w:t xml:space="preserve"> appear to be at an early stage</w:t>
      </w:r>
      <w:r w:rsidRPr="003F157D">
        <w:rPr>
          <w:rFonts w:ascii="Calibri" w:hAnsi="Calibri" w:cstheme="minorHAnsi"/>
        </w:rPr>
        <w:t xml:space="preserve">. </w:t>
      </w:r>
      <w:r w:rsidR="00234E3D">
        <w:rPr>
          <w:rFonts w:ascii="Calibri" w:hAnsi="Calibri" w:cstheme="minorHAnsi"/>
        </w:rPr>
        <w:t xml:space="preserve">There also do not appear to be </w:t>
      </w:r>
      <w:r w:rsidRPr="003F157D">
        <w:rPr>
          <w:rFonts w:ascii="Calibri" w:hAnsi="Calibri" w:cstheme="minorHAnsi"/>
        </w:rPr>
        <w:t xml:space="preserve">tools </w:t>
      </w:r>
      <w:r w:rsidR="00234E3D">
        <w:rPr>
          <w:rFonts w:ascii="Calibri" w:hAnsi="Calibri" w:cstheme="minorHAnsi"/>
        </w:rPr>
        <w:t xml:space="preserve">available </w:t>
      </w:r>
      <w:r w:rsidRPr="003F157D">
        <w:rPr>
          <w:rFonts w:ascii="Calibri" w:hAnsi="Calibri" w:cstheme="minorHAnsi"/>
        </w:rPr>
        <w:t>that might allow</w:t>
      </w:r>
      <w:r>
        <w:rPr>
          <w:rFonts w:ascii="Calibri" w:hAnsi="Calibri" w:cstheme="minorHAnsi"/>
        </w:rPr>
        <w:t xml:space="preserve"> </w:t>
      </w:r>
      <w:r w:rsidRPr="003F157D">
        <w:rPr>
          <w:rFonts w:ascii="Calibri" w:hAnsi="Calibri" w:cstheme="minorHAnsi"/>
        </w:rPr>
        <w:t>such best practices to be quickly and easily adapted to local contexts, and for updates to be made as a</w:t>
      </w:r>
      <w:r>
        <w:rPr>
          <w:rFonts w:ascii="Calibri" w:hAnsi="Calibri" w:cstheme="minorHAnsi"/>
        </w:rPr>
        <w:t xml:space="preserve"> </w:t>
      </w:r>
      <w:r w:rsidRPr="003F157D">
        <w:rPr>
          <w:rFonts w:ascii="Calibri" w:hAnsi="Calibri" w:cstheme="minorHAnsi"/>
        </w:rPr>
        <w:t>mobility hub or its surrounding urban environment changes over time. The next section, therefore</w:t>
      </w:r>
      <w:r w:rsidR="00234E3D">
        <w:rPr>
          <w:rFonts w:ascii="Calibri" w:hAnsi="Calibri" w:cstheme="minorHAnsi"/>
        </w:rPr>
        <w:t>,</w:t>
      </w:r>
      <w:r w:rsidRPr="003F157D">
        <w:rPr>
          <w:rFonts w:ascii="Calibri" w:hAnsi="Calibri" w:cstheme="minorHAnsi"/>
        </w:rPr>
        <w:t xml:space="preserve"> describes</w:t>
      </w:r>
      <w:r>
        <w:rPr>
          <w:rFonts w:ascii="Calibri" w:hAnsi="Calibri" w:cstheme="minorHAnsi"/>
        </w:rPr>
        <w:t xml:space="preserve"> </w:t>
      </w:r>
      <w:r w:rsidRPr="003F157D">
        <w:rPr>
          <w:rFonts w:ascii="Calibri" w:hAnsi="Calibri" w:cstheme="minorHAnsi"/>
        </w:rPr>
        <w:t>the case- and design-based research methodology adopted in this study to (at least start) filling this gap in</w:t>
      </w:r>
      <w:r>
        <w:rPr>
          <w:rFonts w:ascii="Calibri" w:hAnsi="Calibri" w:cstheme="minorHAnsi"/>
        </w:rPr>
        <w:t xml:space="preserve"> </w:t>
      </w:r>
      <w:r w:rsidRPr="003F157D">
        <w:rPr>
          <w:rFonts w:ascii="Calibri" w:hAnsi="Calibri" w:cstheme="minorHAnsi"/>
        </w:rPr>
        <w:t>knowledge.</w:t>
      </w:r>
    </w:p>
    <w:p w14:paraId="663BEDDA" w14:textId="77777777" w:rsidR="00DA3D14" w:rsidRDefault="00DA3D14">
      <w:pPr>
        <w:pStyle w:val="BodyText"/>
        <w:rPr>
          <w:rFonts w:ascii="Calibri" w:hAnsi="Calibri" w:cstheme="minorHAnsi"/>
        </w:rPr>
      </w:pPr>
    </w:p>
    <w:p w14:paraId="1023AED9" w14:textId="1F684B25" w:rsidR="003F157D" w:rsidRDefault="003F157D" w:rsidP="003F157D">
      <w:pPr>
        <w:pStyle w:val="BodyText"/>
        <w:rPr>
          <w:b/>
          <w:bCs/>
        </w:rPr>
      </w:pPr>
      <w:r>
        <w:rPr>
          <w:rFonts w:ascii="Calibri" w:hAnsi="Calibri" w:cstheme="minorHAnsi"/>
          <w:b/>
          <w:bCs/>
        </w:rPr>
        <w:t>Methodology</w:t>
      </w:r>
    </w:p>
    <w:p w14:paraId="1491D778" w14:textId="6CF7CE2A" w:rsidR="00DA3D14" w:rsidRDefault="009200FC" w:rsidP="009200FC">
      <w:pPr>
        <w:pStyle w:val="BodyText"/>
        <w:rPr>
          <w:rFonts w:ascii="Calibri" w:hAnsi="Calibri" w:cstheme="minorHAnsi"/>
        </w:rPr>
      </w:pPr>
      <w:r w:rsidRPr="009200FC">
        <w:rPr>
          <w:rFonts w:ascii="Calibri" w:hAnsi="Calibri" w:cstheme="minorHAnsi"/>
        </w:rPr>
        <w:t>Research described in this paper aims to improve understanding of ‘best practices’ in mobility hub</w:t>
      </w:r>
      <w:r>
        <w:rPr>
          <w:rFonts w:ascii="Calibri" w:hAnsi="Calibri" w:cstheme="minorHAnsi"/>
        </w:rPr>
        <w:t xml:space="preserve"> </w:t>
      </w:r>
      <w:r w:rsidRPr="009200FC">
        <w:rPr>
          <w:rFonts w:ascii="Calibri" w:hAnsi="Calibri" w:cstheme="minorHAnsi"/>
        </w:rPr>
        <w:t>signage and information provision, and to develop tools to support mobility hub implementation. The</w:t>
      </w:r>
      <w:r>
        <w:rPr>
          <w:rFonts w:ascii="Calibri" w:hAnsi="Calibri" w:cstheme="minorHAnsi"/>
        </w:rPr>
        <w:t xml:space="preserve"> </w:t>
      </w:r>
      <w:r w:rsidRPr="009200FC">
        <w:rPr>
          <w:rFonts w:ascii="Calibri" w:hAnsi="Calibri" w:cstheme="minorHAnsi"/>
        </w:rPr>
        <w:t>research questions relate to: How information is provided at and about mobility hubs; How information</w:t>
      </w:r>
      <w:r>
        <w:rPr>
          <w:rFonts w:ascii="Calibri" w:hAnsi="Calibri" w:cstheme="minorHAnsi"/>
        </w:rPr>
        <w:t xml:space="preserve"> </w:t>
      </w:r>
      <w:r w:rsidRPr="009200FC">
        <w:rPr>
          <w:rFonts w:ascii="Calibri" w:hAnsi="Calibri" w:cstheme="minorHAnsi"/>
        </w:rPr>
        <w:t>at and about mobility hubs might ideally be provided; and how such best practices can be made generally</w:t>
      </w:r>
      <w:r>
        <w:rPr>
          <w:rFonts w:ascii="Calibri" w:hAnsi="Calibri" w:cstheme="minorHAnsi"/>
        </w:rPr>
        <w:t xml:space="preserve"> </w:t>
      </w:r>
      <w:r w:rsidRPr="009200FC">
        <w:rPr>
          <w:rFonts w:ascii="Calibri" w:hAnsi="Calibri" w:cstheme="minorHAnsi"/>
        </w:rPr>
        <w:t>applicable?</w:t>
      </w:r>
      <w:r>
        <w:rPr>
          <w:rStyle w:val="FootnoteReference"/>
          <w:rFonts w:ascii="Calibri" w:hAnsi="Calibri" w:cstheme="minorHAnsi"/>
        </w:rPr>
        <w:footnoteReference w:id="2"/>
      </w:r>
    </w:p>
    <w:p w14:paraId="3D6C11B9" w14:textId="77777777" w:rsidR="00DA3D14" w:rsidRDefault="00DA3D14">
      <w:pPr>
        <w:pStyle w:val="BodyText"/>
        <w:rPr>
          <w:rFonts w:ascii="Calibri" w:hAnsi="Calibri" w:cstheme="minorHAnsi"/>
        </w:rPr>
      </w:pPr>
    </w:p>
    <w:p w14:paraId="40611DB1" w14:textId="6A70B0A6" w:rsidR="00E34E03" w:rsidRDefault="00E34E03" w:rsidP="00E34E03">
      <w:pPr>
        <w:pStyle w:val="BodyText"/>
      </w:pPr>
      <w:r>
        <w:rPr>
          <w:rFonts w:ascii="Calibri" w:hAnsi="Calibri"/>
          <w:i/>
          <w:iCs/>
        </w:rPr>
        <w:t>Study design</w:t>
      </w:r>
    </w:p>
    <w:p w14:paraId="3DB4139C" w14:textId="4426755F" w:rsidR="00E34E03" w:rsidRDefault="00A25615" w:rsidP="00A25615">
      <w:pPr>
        <w:pStyle w:val="BodyText"/>
        <w:rPr>
          <w:rFonts w:ascii="Calibri" w:hAnsi="Calibri" w:cstheme="minorHAnsi"/>
        </w:rPr>
      </w:pPr>
      <w:r w:rsidRPr="00A25615">
        <w:rPr>
          <w:rFonts w:ascii="Calibri" w:hAnsi="Calibri" w:cstheme="minorHAnsi"/>
        </w:rPr>
        <w:t>Study design is based around the Double Diamond design process (UK Design Council, undated), which</w:t>
      </w:r>
      <w:r>
        <w:rPr>
          <w:rFonts w:ascii="Calibri" w:hAnsi="Calibri" w:cstheme="minorHAnsi"/>
        </w:rPr>
        <w:t xml:space="preserve"> </w:t>
      </w:r>
      <w:r w:rsidRPr="00A25615">
        <w:rPr>
          <w:rFonts w:ascii="Calibri" w:hAnsi="Calibri" w:cstheme="minorHAnsi"/>
          <w:lang w:val="en-IE"/>
        </w:rPr>
        <w:t xml:space="preserve">Coxon et al. </w:t>
      </w:r>
      <w:r w:rsidRPr="001B1CF0">
        <w:rPr>
          <w:rFonts w:ascii="Calibri" w:hAnsi="Calibri" w:cstheme="minorHAnsi"/>
          <w:lang w:val="en-IE"/>
        </w:rPr>
        <w:t xml:space="preserve">(2018) and Coxon et al. </w:t>
      </w:r>
      <w:r w:rsidRPr="00A25615">
        <w:rPr>
          <w:rFonts w:ascii="Calibri" w:hAnsi="Calibri" w:cstheme="minorHAnsi"/>
        </w:rPr>
        <w:t>(2021) identify as a suitable tool for design-based research seeking to</w:t>
      </w:r>
      <w:r>
        <w:rPr>
          <w:rFonts w:ascii="Calibri" w:hAnsi="Calibri" w:cstheme="minorHAnsi"/>
        </w:rPr>
        <w:t xml:space="preserve"> </w:t>
      </w:r>
      <w:r w:rsidRPr="00A25615">
        <w:rPr>
          <w:rFonts w:ascii="Calibri" w:hAnsi="Calibri" w:cstheme="minorHAnsi"/>
        </w:rPr>
        <w:t>develop solutions to mobility problems. The Double Diamond process involves four phases: 1. Discovery,</w:t>
      </w:r>
      <w:r>
        <w:rPr>
          <w:rFonts w:ascii="Calibri" w:hAnsi="Calibri" w:cstheme="minorHAnsi"/>
        </w:rPr>
        <w:t xml:space="preserve"> </w:t>
      </w:r>
      <w:r w:rsidRPr="00A25615">
        <w:rPr>
          <w:rFonts w:ascii="Calibri" w:hAnsi="Calibri" w:cstheme="minorHAnsi"/>
        </w:rPr>
        <w:t>2. Definition, 3. Development and 4. Delivery. These phases alternate between divergent (1 &amp; 3) and</w:t>
      </w:r>
      <w:r>
        <w:rPr>
          <w:rFonts w:ascii="Calibri" w:hAnsi="Calibri" w:cstheme="minorHAnsi"/>
        </w:rPr>
        <w:t xml:space="preserve"> </w:t>
      </w:r>
      <w:r w:rsidRPr="00A25615">
        <w:rPr>
          <w:rFonts w:ascii="Calibri" w:hAnsi="Calibri" w:cstheme="minorHAnsi"/>
        </w:rPr>
        <w:t>convergent (2 &amp; 4) approaches, although the overall process is iterative and may involve multiple passes</w:t>
      </w:r>
      <w:r>
        <w:rPr>
          <w:rFonts w:ascii="Calibri" w:hAnsi="Calibri" w:cstheme="minorHAnsi"/>
        </w:rPr>
        <w:t xml:space="preserve"> </w:t>
      </w:r>
      <w:r w:rsidRPr="00A25615">
        <w:rPr>
          <w:rFonts w:ascii="Calibri" w:hAnsi="Calibri" w:cstheme="minorHAnsi"/>
        </w:rPr>
        <w:t>through each phase</w:t>
      </w:r>
      <w:r w:rsidR="00234E3D">
        <w:rPr>
          <w:rFonts w:ascii="Calibri" w:hAnsi="Calibri" w:cstheme="minorHAnsi"/>
        </w:rPr>
        <w:t>.</w:t>
      </w:r>
    </w:p>
    <w:p w14:paraId="08F7AB9A" w14:textId="77777777" w:rsidR="00A25615" w:rsidRDefault="00A25615" w:rsidP="00A25615">
      <w:pPr>
        <w:pStyle w:val="BodyText"/>
        <w:rPr>
          <w:rFonts w:ascii="Calibri" w:hAnsi="Calibri" w:cstheme="minorHAnsi"/>
        </w:rPr>
      </w:pPr>
    </w:p>
    <w:p w14:paraId="1ADD8ACC" w14:textId="6B4537BD" w:rsidR="00A25615" w:rsidRDefault="00A25615" w:rsidP="00A25615">
      <w:pPr>
        <w:pStyle w:val="BodyText"/>
      </w:pPr>
      <w:r>
        <w:rPr>
          <w:rFonts w:ascii="Calibri" w:hAnsi="Calibri"/>
          <w:i/>
          <w:iCs/>
        </w:rPr>
        <w:t>Participants, material and instruments</w:t>
      </w:r>
    </w:p>
    <w:p w14:paraId="34428069" w14:textId="309C45DA" w:rsidR="00B24ABF" w:rsidRPr="00B24ABF" w:rsidRDefault="00B24ABF" w:rsidP="00B24ABF">
      <w:pPr>
        <w:pStyle w:val="BodyText"/>
        <w:rPr>
          <w:rFonts w:ascii="Calibri" w:hAnsi="Calibri" w:cstheme="minorHAnsi"/>
        </w:rPr>
      </w:pPr>
      <w:r w:rsidRPr="00B24ABF">
        <w:rPr>
          <w:rFonts w:ascii="Calibri" w:hAnsi="Calibri" w:cstheme="minorHAnsi"/>
        </w:rPr>
        <w:t>The authors were the only participants in the research reported in this paper. The research described in</w:t>
      </w:r>
      <w:r>
        <w:rPr>
          <w:rFonts w:ascii="Calibri" w:hAnsi="Calibri" w:cstheme="minorHAnsi"/>
        </w:rPr>
        <w:t xml:space="preserve"> </w:t>
      </w:r>
      <w:r w:rsidRPr="00B24ABF">
        <w:rPr>
          <w:rFonts w:ascii="Calibri" w:hAnsi="Calibri" w:cstheme="minorHAnsi"/>
        </w:rPr>
        <w:t>this paper is part of the larger Electric shaRed mOBility hUbS Trial (ROBUST) project (TRIP - Centre for</w:t>
      </w:r>
      <w:r>
        <w:rPr>
          <w:rFonts w:ascii="Calibri" w:hAnsi="Calibri" w:cstheme="minorHAnsi"/>
        </w:rPr>
        <w:t xml:space="preserve"> </w:t>
      </w:r>
      <w:r w:rsidRPr="00B24ABF">
        <w:rPr>
          <w:rFonts w:ascii="Calibri" w:hAnsi="Calibri" w:cstheme="minorHAnsi"/>
        </w:rPr>
        <w:t>Transport Research and Innovation for People, 2025). Further research as part of the ROBUST project is</w:t>
      </w:r>
      <w:r>
        <w:rPr>
          <w:rFonts w:ascii="Calibri" w:hAnsi="Calibri" w:cstheme="minorHAnsi"/>
        </w:rPr>
        <w:t xml:space="preserve"> </w:t>
      </w:r>
      <w:r w:rsidRPr="00B24ABF">
        <w:rPr>
          <w:rFonts w:ascii="Calibri" w:hAnsi="Calibri" w:cstheme="minorHAnsi"/>
        </w:rPr>
        <w:t>expected to involve mobility hub users, stakeholders and others as study participants for testing, co-design</w:t>
      </w:r>
      <w:r>
        <w:rPr>
          <w:rFonts w:ascii="Calibri" w:hAnsi="Calibri" w:cstheme="minorHAnsi"/>
        </w:rPr>
        <w:t xml:space="preserve"> </w:t>
      </w:r>
      <w:r w:rsidRPr="00B24ABF">
        <w:rPr>
          <w:rFonts w:ascii="Calibri" w:hAnsi="Calibri" w:cstheme="minorHAnsi"/>
        </w:rPr>
        <w:t>and continued iteration of information displays and other hub elements. These, however, are beyond the</w:t>
      </w:r>
      <w:r>
        <w:rPr>
          <w:rFonts w:ascii="Calibri" w:hAnsi="Calibri" w:cstheme="minorHAnsi"/>
        </w:rPr>
        <w:t xml:space="preserve"> </w:t>
      </w:r>
      <w:r w:rsidRPr="00B24ABF">
        <w:rPr>
          <w:rFonts w:ascii="Calibri" w:hAnsi="Calibri" w:cstheme="minorHAnsi"/>
        </w:rPr>
        <w:t>scope of this paper.</w:t>
      </w:r>
    </w:p>
    <w:p w14:paraId="2C09436A" w14:textId="740BCED2" w:rsidR="00B24ABF" w:rsidRPr="00B24ABF" w:rsidRDefault="00B24ABF" w:rsidP="00B24ABF">
      <w:pPr>
        <w:pStyle w:val="BodyText"/>
        <w:rPr>
          <w:rFonts w:ascii="Calibri" w:hAnsi="Calibri" w:cstheme="minorHAnsi"/>
        </w:rPr>
      </w:pPr>
      <w:r w:rsidRPr="00B24ABF">
        <w:rPr>
          <w:rFonts w:ascii="Calibri" w:hAnsi="Calibri" w:cstheme="minorHAnsi"/>
        </w:rPr>
        <w:t>Material for the study was drawn from photos taken during sites visits made by the lead author in</w:t>
      </w:r>
      <w:r>
        <w:rPr>
          <w:rFonts w:ascii="Calibri" w:hAnsi="Calibri" w:cstheme="minorHAnsi"/>
        </w:rPr>
        <w:t xml:space="preserve"> </w:t>
      </w:r>
      <w:r w:rsidRPr="00B24ABF">
        <w:rPr>
          <w:rFonts w:ascii="Calibri" w:hAnsi="Calibri" w:cstheme="minorHAnsi"/>
        </w:rPr>
        <w:t>the Discovery phase and mapping, imagery and other online resources. Open Street Map (OSM) datasets</w:t>
      </w:r>
      <w:r>
        <w:rPr>
          <w:rFonts w:ascii="Calibri" w:hAnsi="Calibri" w:cstheme="minorHAnsi"/>
        </w:rPr>
        <w:t xml:space="preserve"> </w:t>
      </w:r>
      <w:r w:rsidRPr="00B24ABF">
        <w:rPr>
          <w:rFonts w:ascii="Calibri" w:hAnsi="Calibri" w:cstheme="minorHAnsi"/>
        </w:rPr>
        <w:t>provided an input for the Development phase.</w:t>
      </w:r>
    </w:p>
    <w:p w14:paraId="3F6F16CE" w14:textId="1D269C50" w:rsidR="00A25615" w:rsidRDefault="00B24ABF" w:rsidP="00B24ABF">
      <w:pPr>
        <w:pStyle w:val="BodyText"/>
        <w:rPr>
          <w:rFonts w:ascii="Calibri" w:hAnsi="Calibri" w:cstheme="minorHAnsi"/>
        </w:rPr>
      </w:pPr>
      <w:r w:rsidRPr="00B24ABF">
        <w:rPr>
          <w:rFonts w:ascii="Calibri" w:hAnsi="Calibri" w:cstheme="minorHAnsi"/>
        </w:rPr>
        <w:t xml:space="preserve">Instruments included synthesis tables, developed as per Miles and Huberman (1994). </w:t>
      </w:r>
      <w:r w:rsidR="00E76FF9">
        <w:rPr>
          <w:rFonts w:ascii="Calibri" w:hAnsi="Calibri" w:cstheme="minorHAnsi"/>
        </w:rPr>
        <w:t>T</w:t>
      </w:r>
      <w:r w:rsidR="00E76FF9" w:rsidRPr="00E76FF9">
        <w:rPr>
          <w:rFonts w:ascii="Calibri" w:hAnsi="Calibri" w:cstheme="minorHAnsi"/>
        </w:rPr>
        <w:t xml:space="preserve">he Development </w:t>
      </w:r>
      <w:r w:rsidR="00E76FF9">
        <w:rPr>
          <w:rFonts w:ascii="Calibri" w:hAnsi="Calibri" w:cstheme="minorHAnsi"/>
        </w:rPr>
        <w:t xml:space="preserve">Phase </w:t>
      </w:r>
      <w:r w:rsidR="00E76FF9" w:rsidRPr="00E76FF9">
        <w:rPr>
          <w:rFonts w:ascii="Calibri" w:hAnsi="Calibri" w:cstheme="minorHAnsi"/>
        </w:rPr>
        <w:t>was guided by standardised approaches to package development for the R language</w:t>
      </w:r>
      <w:r w:rsidR="00E76FF9">
        <w:rPr>
          <w:rFonts w:ascii="Calibri" w:hAnsi="Calibri" w:cstheme="minorHAnsi"/>
        </w:rPr>
        <w:t xml:space="preserve"> provided by </w:t>
      </w:r>
      <w:r w:rsidR="00E76FF9" w:rsidRPr="00B24ABF">
        <w:rPr>
          <w:rFonts w:ascii="Calibri" w:hAnsi="Calibri" w:cstheme="minorHAnsi"/>
        </w:rPr>
        <w:t>Wickham and Bryan (2023).</w:t>
      </w:r>
      <w:r w:rsidR="00E76FF9">
        <w:rPr>
          <w:rFonts w:ascii="Calibri" w:hAnsi="Calibri" w:cstheme="minorHAnsi"/>
        </w:rPr>
        <w:t xml:space="preserve"> R was</w:t>
      </w:r>
      <w:r w:rsidR="00E76FF9" w:rsidRPr="00E76FF9">
        <w:rPr>
          <w:rFonts w:ascii="Calibri" w:hAnsi="Calibri" w:cstheme="minorHAnsi"/>
        </w:rPr>
        <w:t xml:space="preserve"> chosen here because: it is open source and freely available, therefore supporting goals of developing an accessible suite of tools; it has an extensive set of packages for geospatial analysis and mapping; and there is a large community of users who might help support those with less experience in troubleshooting. </w:t>
      </w:r>
    </w:p>
    <w:p w14:paraId="34C30605" w14:textId="3074A5B4" w:rsidR="00795028" w:rsidRDefault="00795028">
      <w:pPr>
        <w:keepLines w:val="0"/>
        <w:rPr>
          <w:rFonts w:ascii="Calibri" w:hAnsi="Calibri" w:cstheme="minorHAnsi"/>
        </w:rPr>
      </w:pPr>
      <w:r>
        <w:rPr>
          <w:rFonts w:ascii="Calibri" w:hAnsi="Calibri" w:cstheme="minorHAnsi"/>
        </w:rPr>
        <w:br w:type="page"/>
      </w:r>
    </w:p>
    <w:p w14:paraId="7BFEE1BF" w14:textId="7044DE9A" w:rsidR="00B24ABF" w:rsidRDefault="00B24ABF" w:rsidP="00B24ABF">
      <w:pPr>
        <w:pStyle w:val="BodyText"/>
      </w:pPr>
      <w:r>
        <w:rPr>
          <w:rFonts w:ascii="Calibri" w:hAnsi="Calibri"/>
          <w:i/>
          <w:iCs/>
        </w:rPr>
        <w:lastRenderedPageBreak/>
        <w:t>Procedure and analysis</w:t>
      </w:r>
    </w:p>
    <w:p w14:paraId="2C2E991C" w14:textId="0C11169B" w:rsidR="00963F45" w:rsidRPr="00963F45" w:rsidRDefault="00963F45" w:rsidP="00963F45">
      <w:pPr>
        <w:pStyle w:val="BodyText"/>
        <w:rPr>
          <w:rFonts w:ascii="Calibri" w:hAnsi="Calibri" w:cstheme="minorHAnsi"/>
        </w:rPr>
      </w:pPr>
      <w:r w:rsidRPr="00963F45">
        <w:rPr>
          <w:rFonts w:ascii="Calibri" w:hAnsi="Calibri" w:cstheme="minorHAnsi"/>
        </w:rPr>
        <w:t>The Discovery phase involved case research, which Denscombe (2007), Yin (2018) and others identify</w:t>
      </w:r>
      <w:r>
        <w:rPr>
          <w:rFonts w:ascii="Calibri" w:hAnsi="Calibri" w:cstheme="minorHAnsi"/>
        </w:rPr>
        <w:t xml:space="preserve"> </w:t>
      </w:r>
      <w:r w:rsidRPr="00963F45">
        <w:rPr>
          <w:rFonts w:ascii="Calibri" w:hAnsi="Calibri" w:cstheme="minorHAnsi"/>
        </w:rPr>
        <w:t>as being especially effective for when: theory development is at an early stage; research questions relate to</w:t>
      </w:r>
      <w:r>
        <w:rPr>
          <w:rFonts w:ascii="Calibri" w:hAnsi="Calibri" w:cstheme="minorHAnsi"/>
        </w:rPr>
        <w:t xml:space="preserve"> </w:t>
      </w:r>
      <w:r w:rsidRPr="00963F45">
        <w:rPr>
          <w:rFonts w:ascii="Calibri" w:hAnsi="Calibri" w:cstheme="minorHAnsi"/>
        </w:rPr>
        <w:t>‘how’ or ‘why’; and when exploring phenomena within real-world contexts (as is the situation here). Cases</w:t>
      </w:r>
      <w:r>
        <w:rPr>
          <w:rFonts w:ascii="Calibri" w:hAnsi="Calibri" w:cstheme="minorHAnsi"/>
        </w:rPr>
        <w:t xml:space="preserve"> </w:t>
      </w:r>
      <w:r w:rsidRPr="00963F45">
        <w:rPr>
          <w:rFonts w:ascii="Calibri" w:hAnsi="Calibri" w:cstheme="minorHAnsi"/>
        </w:rPr>
        <w:t xml:space="preserve">were selected from https://www.como.org.uk/mobility-hubs/built-andplanned-hubs. Inclusion was constrained by </w:t>
      </w:r>
      <w:r w:rsidR="00234E3D">
        <w:rPr>
          <w:rFonts w:ascii="Calibri" w:hAnsi="Calibri" w:cstheme="minorHAnsi"/>
        </w:rPr>
        <w:t xml:space="preserve">limited resources </w:t>
      </w:r>
      <w:r w:rsidR="00F47190" w:rsidRPr="00963F45">
        <w:rPr>
          <w:rFonts w:ascii="Calibri" w:hAnsi="Calibri" w:cstheme="minorHAnsi"/>
        </w:rPr>
        <w:t>but</w:t>
      </w:r>
      <w:r w:rsidRPr="00963F45">
        <w:rPr>
          <w:rFonts w:ascii="Calibri" w:hAnsi="Calibri" w:cstheme="minorHAnsi"/>
        </w:rPr>
        <w:t xml:space="preserve"> guided by the case research methodological literature (see Yin (2018) and others)</w:t>
      </w:r>
      <w:r>
        <w:rPr>
          <w:rFonts w:ascii="Calibri" w:hAnsi="Calibri" w:cstheme="minorHAnsi"/>
        </w:rPr>
        <w:t xml:space="preserve"> </w:t>
      </w:r>
      <w:r w:rsidRPr="00963F45">
        <w:rPr>
          <w:rFonts w:ascii="Calibri" w:hAnsi="Calibri" w:cstheme="minorHAnsi"/>
        </w:rPr>
        <w:t>to include the leading examples of the mobility hubs developed by the West of England Mayoral Combined</w:t>
      </w:r>
      <w:r>
        <w:rPr>
          <w:rFonts w:ascii="Calibri" w:hAnsi="Calibri" w:cstheme="minorHAnsi"/>
        </w:rPr>
        <w:t xml:space="preserve"> </w:t>
      </w:r>
      <w:r w:rsidRPr="00963F45">
        <w:rPr>
          <w:rFonts w:ascii="Calibri" w:hAnsi="Calibri" w:cstheme="minorHAnsi"/>
        </w:rPr>
        <w:t>Authority (WEMCA, Bristol) and Transport for West Midlands (Birmingham). More representative examples</w:t>
      </w:r>
      <w:r>
        <w:rPr>
          <w:rFonts w:ascii="Calibri" w:hAnsi="Calibri" w:cstheme="minorHAnsi"/>
        </w:rPr>
        <w:t xml:space="preserve"> </w:t>
      </w:r>
      <w:r w:rsidRPr="00963F45">
        <w:rPr>
          <w:rFonts w:ascii="Calibri" w:hAnsi="Calibri" w:cstheme="minorHAnsi"/>
        </w:rPr>
        <w:t>from Camden Council (London) and the London Borough of Redbridge (Woodford and Wanstead) were also</w:t>
      </w:r>
      <w:r>
        <w:rPr>
          <w:rFonts w:ascii="Calibri" w:hAnsi="Calibri" w:cstheme="minorHAnsi"/>
        </w:rPr>
        <w:t xml:space="preserve"> </w:t>
      </w:r>
      <w:r w:rsidRPr="00963F45">
        <w:rPr>
          <w:rFonts w:ascii="Calibri" w:hAnsi="Calibri" w:cstheme="minorHAnsi"/>
        </w:rPr>
        <w:t>included to provide polar opposites for cross-case comparison</w:t>
      </w:r>
      <w:r w:rsidR="005724EC">
        <w:rPr>
          <w:rStyle w:val="FootnoteReference"/>
          <w:rFonts w:ascii="Calibri" w:hAnsi="Calibri" w:cstheme="minorHAnsi"/>
        </w:rPr>
        <w:footnoteReference w:id="3"/>
      </w:r>
      <w:r w:rsidRPr="00963F45">
        <w:rPr>
          <w:rFonts w:ascii="Calibri" w:hAnsi="Calibri" w:cstheme="minorHAnsi"/>
        </w:rPr>
        <w:t>.</w:t>
      </w:r>
    </w:p>
    <w:p w14:paraId="0D33A152" w14:textId="4CC4497F" w:rsidR="00963F45" w:rsidRPr="00963F45" w:rsidRDefault="00963F45" w:rsidP="00963F45">
      <w:pPr>
        <w:pStyle w:val="BodyText"/>
        <w:rPr>
          <w:rFonts w:ascii="Calibri" w:hAnsi="Calibri" w:cstheme="minorHAnsi"/>
        </w:rPr>
      </w:pPr>
      <w:r w:rsidRPr="00963F45">
        <w:rPr>
          <w:rFonts w:ascii="Calibri" w:hAnsi="Calibri" w:cstheme="minorHAnsi"/>
        </w:rPr>
        <w:t>The Definition phase involved synthesis of findings from the site visits and about each included case.</w:t>
      </w:r>
      <w:r w:rsidR="005724EC">
        <w:rPr>
          <w:rFonts w:ascii="Calibri" w:hAnsi="Calibri" w:cstheme="minorHAnsi"/>
        </w:rPr>
        <w:t xml:space="preserve"> </w:t>
      </w:r>
      <w:r w:rsidRPr="00963F45">
        <w:rPr>
          <w:rFonts w:ascii="Calibri" w:hAnsi="Calibri" w:cstheme="minorHAnsi"/>
        </w:rPr>
        <w:t>This provided the basis for defining the problem to be addressed by the research outputs of the Development</w:t>
      </w:r>
      <w:r w:rsidR="005724EC">
        <w:rPr>
          <w:rFonts w:ascii="Calibri" w:hAnsi="Calibri" w:cstheme="minorHAnsi"/>
        </w:rPr>
        <w:t xml:space="preserve"> </w:t>
      </w:r>
      <w:r w:rsidRPr="00963F45">
        <w:rPr>
          <w:rFonts w:ascii="Calibri" w:hAnsi="Calibri" w:cstheme="minorHAnsi"/>
        </w:rPr>
        <w:t>and Delivery phases.</w:t>
      </w:r>
    </w:p>
    <w:p w14:paraId="738B99E7" w14:textId="77777777" w:rsidR="00795028" w:rsidRDefault="00963F45" w:rsidP="00963F45">
      <w:pPr>
        <w:pStyle w:val="BodyText"/>
        <w:rPr>
          <w:rFonts w:ascii="Calibri" w:hAnsi="Calibri" w:cstheme="minorHAnsi"/>
        </w:rPr>
      </w:pPr>
      <w:r w:rsidRPr="00963F45">
        <w:rPr>
          <w:rFonts w:ascii="Calibri" w:hAnsi="Calibri" w:cstheme="minorHAnsi"/>
        </w:rPr>
        <w:t>The Development phase involved iterative software coding to replicate the Bristol and Birmingham style</w:t>
      </w:r>
      <w:r w:rsidR="005724EC">
        <w:rPr>
          <w:rFonts w:ascii="Calibri" w:hAnsi="Calibri" w:cstheme="minorHAnsi"/>
        </w:rPr>
        <w:t xml:space="preserve"> </w:t>
      </w:r>
      <w:r w:rsidRPr="00963F45">
        <w:rPr>
          <w:rFonts w:ascii="Calibri" w:hAnsi="Calibri" w:cstheme="minorHAnsi"/>
        </w:rPr>
        <w:t>of information displays, first undertaken for cases in the Discovery phase, and then repeated to test the</w:t>
      </w:r>
      <w:r w:rsidR="005724EC">
        <w:rPr>
          <w:rFonts w:ascii="Calibri" w:hAnsi="Calibri" w:cstheme="minorHAnsi"/>
        </w:rPr>
        <w:t xml:space="preserve"> </w:t>
      </w:r>
      <w:r w:rsidRPr="00963F45">
        <w:rPr>
          <w:rFonts w:ascii="Calibri" w:hAnsi="Calibri" w:cstheme="minorHAnsi"/>
        </w:rPr>
        <w:t>software on the context of the ROBUST hub in Galway. Finally, a combined display style was developed</w:t>
      </w:r>
      <w:r w:rsidR="005724EC">
        <w:rPr>
          <w:rFonts w:ascii="Calibri" w:hAnsi="Calibri" w:cstheme="minorHAnsi"/>
        </w:rPr>
        <w:t xml:space="preserve"> </w:t>
      </w:r>
      <w:r w:rsidRPr="00963F45">
        <w:rPr>
          <w:rFonts w:ascii="Calibri" w:hAnsi="Calibri" w:cstheme="minorHAnsi"/>
        </w:rPr>
        <w:t>based on the synthesis of industry practices and to respond to the problem developed in the Definition phase.</w:t>
      </w:r>
      <w:r w:rsidR="00795028">
        <w:rPr>
          <w:rFonts w:ascii="Calibri" w:hAnsi="Calibri" w:cstheme="minorHAnsi"/>
        </w:rPr>
        <w:t xml:space="preserve"> </w:t>
      </w:r>
    </w:p>
    <w:p w14:paraId="524F7842" w14:textId="4709DA79" w:rsidR="00A25615" w:rsidRDefault="00963F45" w:rsidP="00963F45">
      <w:pPr>
        <w:pStyle w:val="BodyText"/>
        <w:rPr>
          <w:rFonts w:ascii="Calibri" w:hAnsi="Calibri" w:cstheme="minorHAnsi"/>
        </w:rPr>
      </w:pPr>
      <w:r w:rsidRPr="00963F45">
        <w:rPr>
          <w:rFonts w:ascii="Calibri" w:hAnsi="Calibri" w:cstheme="minorHAnsi"/>
        </w:rPr>
        <w:t>The research also included iteration through all four phases</w:t>
      </w:r>
      <w:r w:rsidR="005724EC">
        <w:rPr>
          <w:rStyle w:val="FootnoteReference"/>
          <w:rFonts w:ascii="Calibri" w:hAnsi="Calibri" w:cstheme="minorHAnsi"/>
        </w:rPr>
        <w:footnoteReference w:id="4"/>
      </w:r>
      <w:r w:rsidRPr="00963F45">
        <w:rPr>
          <w:rFonts w:ascii="Calibri" w:hAnsi="Calibri" w:cstheme="minorHAnsi"/>
        </w:rPr>
        <w:t>, but in the interests of clarity the next section</w:t>
      </w:r>
      <w:r w:rsidR="00795028">
        <w:rPr>
          <w:rFonts w:ascii="Calibri" w:hAnsi="Calibri" w:cstheme="minorHAnsi"/>
        </w:rPr>
        <w:t xml:space="preserve"> </w:t>
      </w:r>
      <w:r w:rsidR="00795028" w:rsidRPr="00795028">
        <w:rPr>
          <w:rFonts w:ascii="Calibri" w:hAnsi="Calibri" w:cstheme="minorHAnsi"/>
        </w:rPr>
        <w:t>presents the results in a linear format, stepping through each phase in turn.</w:t>
      </w:r>
    </w:p>
    <w:p w14:paraId="6DEB05EB" w14:textId="77777777" w:rsidR="00B24ABF" w:rsidRDefault="00B24ABF" w:rsidP="00A25615">
      <w:pPr>
        <w:pStyle w:val="BodyText"/>
        <w:rPr>
          <w:rFonts w:ascii="Calibri" w:hAnsi="Calibri" w:cstheme="minorHAnsi"/>
        </w:rPr>
      </w:pPr>
    </w:p>
    <w:p w14:paraId="3A3C7EC5" w14:textId="04916E63" w:rsidR="00795028" w:rsidRDefault="00795028" w:rsidP="00795028">
      <w:pPr>
        <w:pStyle w:val="BodyText"/>
        <w:rPr>
          <w:b/>
          <w:bCs/>
        </w:rPr>
      </w:pPr>
      <w:r>
        <w:rPr>
          <w:rFonts w:ascii="Calibri" w:hAnsi="Calibri" w:cstheme="minorHAnsi"/>
          <w:b/>
          <w:bCs/>
        </w:rPr>
        <w:t>Results</w:t>
      </w:r>
    </w:p>
    <w:p w14:paraId="791AC35A" w14:textId="6F0CD5E4" w:rsidR="00795028" w:rsidRDefault="00795028" w:rsidP="00795028">
      <w:pPr>
        <w:pStyle w:val="BodyText"/>
      </w:pPr>
      <w:r>
        <w:rPr>
          <w:rFonts w:ascii="Calibri" w:hAnsi="Calibri"/>
          <w:i/>
          <w:iCs/>
        </w:rPr>
        <w:t>Discovery</w:t>
      </w:r>
    </w:p>
    <w:p w14:paraId="143B5C62" w14:textId="7A9B4426" w:rsidR="00F2679A" w:rsidRDefault="004D2788" w:rsidP="00DD61A7">
      <w:pPr>
        <w:pStyle w:val="BodyText"/>
        <w:rPr>
          <w:rFonts w:ascii="Calibri" w:hAnsi="Calibri" w:cstheme="minorHAnsi"/>
        </w:rPr>
      </w:pPr>
      <w:r w:rsidRPr="004D2788">
        <w:rPr>
          <w:rFonts w:ascii="Calibri" w:hAnsi="Calibri" w:cstheme="minorHAnsi"/>
        </w:rPr>
        <w:t>Table 1 summarises findings from the case research. Figures 1 show selected images from various hubs.</w:t>
      </w:r>
      <w:r w:rsidR="00905511">
        <w:rPr>
          <w:rFonts w:ascii="Calibri" w:hAnsi="Calibri" w:cstheme="minorHAnsi"/>
        </w:rPr>
        <w:t xml:space="preserve"> </w:t>
      </w:r>
      <w:r w:rsidR="00DD61A7" w:rsidRPr="00DD61A7">
        <w:rPr>
          <w:rFonts w:ascii="Calibri" w:hAnsi="Calibri" w:cstheme="minorHAnsi"/>
        </w:rPr>
        <w:t>Information displays ranged from small placard signs (South Woodford and Wanstead) to more comprehensive</w:t>
      </w:r>
      <w:r w:rsidR="00905511">
        <w:rPr>
          <w:rFonts w:ascii="Calibri" w:hAnsi="Calibri" w:cstheme="minorHAnsi"/>
        </w:rPr>
        <w:t xml:space="preserve"> </w:t>
      </w:r>
      <w:r w:rsidR="00DD61A7" w:rsidRPr="00DD61A7">
        <w:rPr>
          <w:rFonts w:ascii="Calibri" w:hAnsi="Calibri" w:cstheme="minorHAnsi"/>
        </w:rPr>
        <w:t>totem displays and posters (Bristol and Birmingham). In Camden there were no information</w:t>
      </w:r>
      <w:r w:rsidR="00905511">
        <w:rPr>
          <w:rFonts w:ascii="Calibri" w:hAnsi="Calibri" w:cstheme="minorHAnsi"/>
        </w:rPr>
        <w:t xml:space="preserve"> </w:t>
      </w:r>
      <w:r w:rsidR="00DD61A7" w:rsidRPr="00DD61A7">
        <w:rPr>
          <w:rFonts w:ascii="Calibri" w:hAnsi="Calibri" w:cstheme="minorHAnsi"/>
        </w:rPr>
        <w:t>signs specific to the hubs. Sites were labelled as “Mobility Hub” or “Village Hub” (South Woodford and</w:t>
      </w:r>
      <w:r w:rsidR="00905511">
        <w:rPr>
          <w:rFonts w:ascii="Calibri" w:hAnsi="Calibri" w:cstheme="minorHAnsi"/>
        </w:rPr>
        <w:t xml:space="preserve"> </w:t>
      </w:r>
      <w:r w:rsidR="00DD61A7" w:rsidRPr="00DD61A7">
        <w:rPr>
          <w:rFonts w:ascii="Calibri" w:hAnsi="Calibri" w:cstheme="minorHAnsi"/>
        </w:rPr>
        <w:t>Wanstead) and “Local Travel Point” in Birmingham. There was no labelling on-site in Camden or Bristol.</w:t>
      </w:r>
      <w:r w:rsidR="00905511">
        <w:rPr>
          <w:rFonts w:ascii="Calibri" w:hAnsi="Calibri" w:cstheme="minorHAnsi"/>
        </w:rPr>
        <w:t xml:space="preserve"> </w:t>
      </w:r>
      <w:r w:rsidR="00DD61A7" w:rsidRPr="00DD61A7">
        <w:rPr>
          <w:rFonts w:ascii="Calibri" w:hAnsi="Calibri" w:cstheme="minorHAnsi"/>
        </w:rPr>
        <w:t>Where present, totems all included two maps: one at a local scale (within 5 minutes walk) and a second</w:t>
      </w:r>
      <w:r w:rsidR="00905511">
        <w:rPr>
          <w:rFonts w:ascii="Calibri" w:hAnsi="Calibri" w:cstheme="minorHAnsi"/>
        </w:rPr>
        <w:t xml:space="preserve"> </w:t>
      </w:r>
      <w:r w:rsidR="00DD61A7" w:rsidRPr="00DD61A7">
        <w:rPr>
          <w:rFonts w:ascii="Calibri" w:hAnsi="Calibri" w:cstheme="minorHAnsi"/>
        </w:rPr>
        <w:t>showing a larger area (within 15 minutes). These generally showed nearby transit, cafes, shops and other</w:t>
      </w:r>
      <w:r w:rsidR="00905511">
        <w:rPr>
          <w:rFonts w:ascii="Calibri" w:hAnsi="Calibri" w:cstheme="minorHAnsi"/>
        </w:rPr>
        <w:t xml:space="preserve"> </w:t>
      </w:r>
      <w:r w:rsidR="00DD61A7" w:rsidRPr="00DD61A7">
        <w:rPr>
          <w:rFonts w:ascii="Calibri" w:hAnsi="Calibri" w:cstheme="minorHAnsi"/>
        </w:rPr>
        <w:t>points of interest. Text descriptions of local walking and cycling routes, hub facilities and transit services</w:t>
      </w:r>
      <w:r w:rsidR="00905511">
        <w:rPr>
          <w:rFonts w:ascii="Calibri" w:hAnsi="Calibri" w:cstheme="minorHAnsi"/>
        </w:rPr>
        <w:t xml:space="preserve"> </w:t>
      </w:r>
      <w:r w:rsidR="00DD61A7" w:rsidRPr="00DD61A7">
        <w:rPr>
          <w:rFonts w:ascii="Calibri" w:hAnsi="Calibri" w:cstheme="minorHAnsi"/>
        </w:rPr>
        <w:t>were also included. Many of the sites had linemarking that highlighted some hub components. The Bristol</w:t>
      </w:r>
      <w:r w:rsidR="00905511">
        <w:rPr>
          <w:rFonts w:ascii="Calibri" w:hAnsi="Calibri" w:cstheme="minorHAnsi"/>
        </w:rPr>
        <w:t xml:space="preserve"> </w:t>
      </w:r>
      <w:r w:rsidR="00DD61A7" w:rsidRPr="00DD61A7">
        <w:rPr>
          <w:rFonts w:ascii="Calibri" w:hAnsi="Calibri" w:cstheme="minorHAnsi"/>
        </w:rPr>
        <w:t>sites also included cube shaped indicators mounted on poles to highlight individual hub elements (Figure 1,</w:t>
      </w:r>
      <w:r w:rsidR="00905511">
        <w:rPr>
          <w:rFonts w:ascii="Calibri" w:hAnsi="Calibri" w:cstheme="minorHAnsi"/>
        </w:rPr>
        <w:t xml:space="preserve"> </w:t>
      </w:r>
      <w:r w:rsidR="00DD61A7" w:rsidRPr="00DD61A7">
        <w:rPr>
          <w:rFonts w:ascii="Calibri" w:hAnsi="Calibri" w:cstheme="minorHAnsi"/>
        </w:rPr>
        <w:t>bottom left).</w:t>
      </w:r>
    </w:p>
    <w:p w14:paraId="570FDBAE" w14:textId="77777777" w:rsidR="00F2679A" w:rsidRDefault="00F2679A" w:rsidP="00DD61A7">
      <w:pPr>
        <w:pStyle w:val="BodyText"/>
        <w:rPr>
          <w:rFonts w:ascii="Calibri" w:hAnsi="Calibri" w:cstheme="minorHAnsi"/>
        </w:rPr>
      </w:pPr>
    </w:p>
    <w:p w14:paraId="340CF5B3" w14:textId="77777777" w:rsidR="00F2679A" w:rsidRDefault="00F2679A" w:rsidP="00DD61A7">
      <w:pPr>
        <w:pStyle w:val="BodyText"/>
        <w:rPr>
          <w:rFonts w:ascii="Calibri" w:hAnsi="Calibri" w:cstheme="minorHAnsi"/>
        </w:rPr>
      </w:pPr>
    </w:p>
    <w:p w14:paraId="62A9AEA9" w14:textId="77777777" w:rsidR="00D80979" w:rsidRDefault="00F2679A" w:rsidP="00085780">
      <w:pPr>
        <w:pStyle w:val="BodyText"/>
        <w:jc w:val="center"/>
        <w:rPr>
          <w:rFonts w:ascii="Calibri" w:hAnsi="Calibri" w:cstheme="minorHAnsi"/>
          <w:i/>
          <w:iCs/>
        </w:rPr>
      </w:pPr>
      <w:r>
        <w:rPr>
          <w:rFonts w:ascii="Calibri" w:hAnsi="Calibri" w:cstheme="minorHAnsi"/>
          <w:i/>
          <w:iCs/>
        </w:rPr>
        <w:lastRenderedPageBreak/>
        <w:t xml:space="preserve">Table 1: </w:t>
      </w:r>
      <w:r w:rsidR="00D80979" w:rsidRPr="00D80979">
        <w:rPr>
          <w:rFonts w:ascii="Calibri" w:hAnsi="Calibri" w:cstheme="minorHAnsi"/>
          <w:i/>
          <w:iCs/>
        </w:rPr>
        <w:t>Hub characteristics. Source: Authors’ assessment.</w:t>
      </w:r>
      <w:r w:rsidRPr="00F2679A">
        <w:rPr>
          <w:rFonts w:ascii="Calibri" w:hAnsi="Calibri" w:cstheme="minorHAnsi"/>
          <w:noProof/>
        </w:rPr>
        <w:drawing>
          <wp:inline distT="0" distB="0" distL="0" distR="0" wp14:anchorId="2EEF07E1" wp14:editId="0F1373D6">
            <wp:extent cx="5400040" cy="4098925"/>
            <wp:effectExtent l="0" t="0" r="0" b="0"/>
            <wp:docPr id="169578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80030" name=""/>
                    <pic:cNvPicPr/>
                  </pic:nvPicPr>
                  <pic:blipFill>
                    <a:blip r:embed="rId8"/>
                    <a:stretch>
                      <a:fillRect/>
                    </a:stretch>
                  </pic:blipFill>
                  <pic:spPr>
                    <a:xfrm>
                      <a:off x="0" y="0"/>
                      <a:ext cx="5400040" cy="4098925"/>
                    </a:xfrm>
                    <a:prstGeom prst="rect">
                      <a:avLst/>
                    </a:prstGeom>
                  </pic:spPr>
                </pic:pic>
              </a:graphicData>
            </a:graphic>
          </wp:inline>
        </w:drawing>
      </w:r>
    </w:p>
    <w:p w14:paraId="2307DA89" w14:textId="77777777" w:rsidR="00CB1873" w:rsidRDefault="00CB1873" w:rsidP="00CB1873">
      <w:pPr>
        <w:pStyle w:val="BodyText"/>
        <w:rPr>
          <w:rFonts w:ascii="Calibri" w:hAnsi="Calibri" w:cstheme="minorHAnsi"/>
          <w:i/>
          <w:iCs/>
          <w:sz w:val="16"/>
          <w:szCs w:val="16"/>
        </w:rPr>
      </w:pPr>
      <w:r w:rsidRPr="00CB1873">
        <w:rPr>
          <w:rFonts w:ascii="Calibri" w:hAnsi="Calibri" w:cstheme="minorHAnsi"/>
          <w:i/>
          <w:iCs/>
          <w:sz w:val="16"/>
          <w:szCs w:val="16"/>
        </w:rPr>
        <w:t xml:space="preserve">Table notes: </w:t>
      </w:r>
    </w:p>
    <w:p w14:paraId="023EFC46" w14:textId="77777777" w:rsidR="00CB1873" w:rsidRDefault="00CB1873" w:rsidP="00CB1873">
      <w:pPr>
        <w:pStyle w:val="BodyText"/>
        <w:rPr>
          <w:rFonts w:ascii="Calibri" w:hAnsi="Calibri" w:cstheme="minorHAnsi"/>
          <w:i/>
          <w:iCs/>
          <w:sz w:val="16"/>
          <w:szCs w:val="16"/>
        </w:rPr>
      </w:pPr>
      <w:r w:rsidRPr="00CB1873">
        <w:rPr>
          <w:rFonts w:ascii="Calibri" w:hAnsi="Calibri" w:cstheme="minorHAnsi"/>
          <w:i/>
          <w:iCs/>
          <w:sz w:val="16"/>
          <w:szCs w:val="16"/>
        </w:rPr>
        <w:t>1. Case study questions (column 1) are of the form ‘How are details related to &lt;COLUMN 1&gt; at the hub</w:t>
      </w:r>
      <w:r>
        <w:rPr>
          <w:rFonts w:ascii="Calibri" w:hAnsi="Calibri" w:cstheme="minorHAnsi"/>
          <w:i/>
          <w:iCs/>
          <w:sz w:val="16"/>
          <w:szCs w:val="16"/>
        </w:rPr>
        <w:t xml:space="preserve"> </w:t>
      </w:r>
      <w:r w:rsidRPr="00CB1873">
        <w:rPr>
          <w:rFonts w:ascii="Calibri" w:hAnsi="Calibri" w:cstheme="minorHAnsi"/>
          <w:i/>
          <w:iCs/>
          <w:sz w:val="16"/>
          <w:szCs w:val="16"/>
        </w:rPr>
        <w:t xml:space="preserve">communicated?’ </w:t>
      </w:r>
    </w:p>
    <w:p w14:paraId="11F12B29" w14:textId="77777777" w:rsidR="00DF799B" w:rsidRDefault="00CB1873" w:rsidP="00CB1873">
      <w:pPr>
        <w:pStyle w:val="BodyText"/>
        <w:rPr>
          <w:rFonts w:ascii="Calibri" w:hAnsi="Calibri" w:cstheme="minorHAnsi"/>
          <w:i/>
          <w:iCs/>
          <w:sz w:val="16"/>
          <w:szCs w:val="16"/>
        </w:rPr>
      </w:pPr>
      <w:r w:rsidRPr="00CB1873">
        <w:rPr>
          <w:rFonts w:ascii="Calibri" w:hAnsi="Calibri" w:cstheme="minorHAnsi"/>
          <w:i/>
          <w:iCs/>
          <w:sz w:val="16"/>
          <w:szCs w:val="16"/>
        </w:rPr>
        <w:t>2. An ‘X’ denotes an explicit mention of the feature in hub information. ‘N’ denotes no explicit mention, and</w:t>
      </w:r>
      <w:r w:rsidR="00DF799B">
        <w:rPr>
          <w:rFonts w:ascii="Calibri" w:hAnsi="Calibri" w:cstheme="minorHAnsi"/>
          <w:i/>
          <w:iCs/>
          <w:sz w:val="16"/>
          <w:szCs w:val="16"/>
        </w:rPr>
        <w:t xml:space="preserve"> </w:t>
      </w:r>
      <w:r w:rsidRPr="00CB1873">
        <w:rPr>
          <w:rFonts w:ascii="Calibri" w:hAnsi="Calibri" w:cstheme="minorHAnsi"/>
          <w:i/>
          <w:iCs/>
          <w:sz w:val="16"/>
          <w:szCs w:val="16"/>
        </w:rPr>
        <w:t xml:space="preserve">a blank cell indicates the feature is not present at the hub. ‘S’ denotes secure bicycle parking, such as a locker. </w:t>
      </w:r>
    </w:p>
    <w:p w14:paraId="13C81971" w14:textId="77777777" w:rsidR="00DF799B" w:rsidRDefault="00CB1873" w:rsidP="00CB1873">
      <w:pPr>
        <w:pStyle w:val="BodyText"/>
        <w:rPr>
          <w:rFonts w:ascii="Calibri" w:hAnsi="Calibri" w:cstheme="minorHAnsi"/>
          <w:i/>
          <w:iCs/>
          <w:sz w:val="16"/>
          <w:szCs w:val="16"/>
        </w:rPr>
      </w:pPr>
      <w:r w:rsidRPr="00CB1873">
        <w:rPr>
          <w:rFonts w:ascii="Calibri" w:hAnsi="Calibri" w:cstheme="minorHAnsi"/>
          <w:i/>
          <w:iCs/>
          <w:sz w:val="16"/>
          <w:szCs w:val="16"/>
        </w:rPr>
        <w:t>3. Totem</w:t>
      </w:r>
      <w:r w:rsidR="00DF799B">
        <w:rPr>
          <w:rFonts w:ascii="Calibri" w:hAnsi="Calibri" w:cstheme="minorHAnsi"/>
          <w:i/>
          <w:iCs/>
          <w:sz w:val="16"/>
          <w:szCs w:val="16"/>
        </w:rPr>
        <w:t xml:space="preserve"> </w:t>
      </w:r>
      <w:r w:rsidRPr="00CB1873">
        <w:rPr>
          <w:rFonts w:ascii="Calibri" w:hAnsi="Calibri" w:cstheme="minorHAnsi"/>
          <w:i/>
          <w:iCs/>
          <w:sz w:val="16"/>
          <w:szCs w:val="16"/>
        </w:rPr>
        <w:t xml:space="preserve">denotes a free standing information pedestal. </w:t>
      </w:r>
    </w:p>
    <w:p w14:paraId="3445C475" w14:textId="74AB4C48" w:rsidR="00D80979" w:rsidRPr="00CB1873" w:rsidRDefault="00CB1873" w:rsidP="00CB1873">
      <w:pPr>
        <w:pStyle w:val="BodyText"/>
        <w:rPr>
          <w:rFonts w:ascii="Calibri" w:hAnsi="Calibri" w:cstheme="minorHAnsi"/>
          <w:i/>
          <w:iCs/>
          <w:sz w:val="16"/>
          <w:szCs w:val="16"/>
        </w:rPr>
      </w:pPr>
      <w:r w:rsidRPr="00CB1873">
        <w:rPr>
          <w:rFonts w:ascii="Calibri" w:hAnsi="Calibri" w:cstheme="minorHAnsi"/>
          <w:i/>
          <w:iCs/>
          <w:sz w:val="16"/>
          <w:szCs w:val="16"/>
        </w:rPr>
        <w:t>4. The totem information display at the Doric Way mobility hub is specific to the</w:t>
      </w:r>
      <w:r w:rsidR="00DF799B">
        <w:rPr>
          <w:rFonts w:ascii="Calibri" w:hAnsi="Calibri" w:cstheme="minorHAnsi"/>
          <w:i/>
          <w:iCs/>
          <w:sz w:val="16"/>
          <w:szCs w:val="16"/>
        </w:rPr>
        <w:t xml:space="preserve"> </w:t>
      </w:r>
      <w:r w:rsidRPr="00CB1873">
        <w:rPr>
          <w:rFonts w:ascii="Calibri" w:hAnsi="Calibri" w:cstheme="minorHAnsi"/>
          <w:i/>
          <w:iCs/>
          <w:sz w:val="16"/>
          <w:szCs w:val="16"/>
        </w:rPr>
        <w:t>Transport For London ‘Cycles’ docked bike share facility. There is no information provided specifically about the mobility hubat Doric Way.</w:t>
      </w:r>
    </w:p>
    <w:p w14:paraId="4F108427" w14:textId="0384DE1D" w:rsidR="00DD61A7" w:rsidRPr="00DD61A7" w:rsidRDefault="00DD61A7" w:rsidP="00D80979">
      <w:pPr>
        <w:pStyle w:val="BodyText"/>
        <w:rPr>
          <w:rFonts w:ascii="Calibri" w:hAnsi="Calibri" w:cstheme="minorHAnsi"/>
        </w:rPr>
      </w:pPr>
      <w:r w:rsidRPr="00DD61A7">
        <w:rPr>
          <w:rFonts w:ascii="Calibri" w:hAnsi="Calibri" w:cstheme="minorHAnsi"/>
        </w:rPr>
        <w:t>Bicycle parking hoops were the most commonly provided feature. Some hubs in Camden, Bristol and</w:t>
      </w:r>
      <w:r w:rsidR="00905511">
        <w:rPr>
          <w:rFonts w:ascii="Calibri" w:hAnsi="Calibri" w:cstheme="minorHAnsi"/>
        </w:rPr>
        <w:t xml:space="preserve"> </w:t>
      </w:r>
      <w:r w:rsidRPr="00DD61A7">
        <w:rPr>
          <w:rFonts w:ascii="Calibri" w:hAnsi="Calibri" w:cstheme="minorHAnsi"/>
        </w:rPr>
        <w:t>Birmingham also included bicycle lockers or similar higher security parking. Seating and nearby toilets were</w:t>
      </w:r>
      <w:r w:rsidR="00905511">
        <w:rPr>
          <w:rFonts w:ascii="Calibri" w:hAnsi="Calibri" w:cstheme="minorHAnsi"/>
        </w:rPr>
        <w:t xml:space="preserve"> </w:t>
      </w:r>
      <w:r w:rsidRPr="00DD61A7">
        <w:rPr>
          <w:rFonts w:ascii="Calibri" w:hAnsi="Calibri" w:cstheme="minorHAnsi"/>
        </w:rPr>
        <w:t xml:space="preserve">available as part of some hubs, but none included comprehensive shelter or access to </w:t>
      </w:r>
      <w:r w:rsidR="00234E3D">
        <w:rPr>
          <w:rFonts w:ascii="Calibri" w:hAnsi="Calibri" w:cstheme="minorHAnsi"/>
        </w:rPr>
        <w:t xml:space="preserve">drinking </w:t>
      </w:r>
      <w:r w:rsidRPr="00DD61A7">
        <w:rPr>
          <w:rFonts w:ascii="Calibri" w:hAnsi="Calibri" w:cstheme="minorHAnsi"/>
        </w:rPr>
        <w:t>water. The Bristol hubs</w:t>
      </w:r>
      <w:r w:rsidR="00905511">
        <w:rPr>
          <w:rFonts w:ascii="Calibri" w:hAnsi="Calibri" w:cstheme="minorHAnsi"/>
        </w:rPr>
        <w:t xml:space="preserve"> </w:t>
      </w:r>
      <w:r w:rsidRPr="00DD61A7">
        <w:rPr>
          <w:rFonts w:ascii="Calibri" w:hAnsi="Calibri" w:cstheme="minorHAnsi"/>
        </w:rPr>
        <w:t>included USB connections for phone recharging, and wifi internet connectivity at some locations.</w:t>
      </w:r>
    </w:p>
    <w:p w14:paraId="56BA2A6A" w14:textId="16B5A0D1" w:rsidR="00B24ABF" w:rsidRDefault="00DD61A7" w:rsidP="00DD61A7">
      <w:pPr>
        <w:pStyle w:val="BodyText"/>
        <w:rPr>
          <w:rFonts w:ascii="Calibri" w:hAnsi="Calibri" w:cstheme="minorHAnsi"/>
        </w:rPr>
      </w:pPr>
      <w:r w:rsidRPr="00DD61A7">
        <w:rPr>
          <w:rFonts w:ascii="Calibri" w:hAnsi="Calibri" w:cstheme="minorHAnsi"/>
        </w:rPr>
        <w:t>Overall, findings during the Discovery phase suggest that current practices relating to information displays</w:t>
      </w:r>
      <w:r w:rsidR="00905511">
        <w:rPr>
          <w:rFonts w:ascii="Calibri" w:hAnsi="Calibri" w:cstheme="minorHAnsi"/>
        </w:rPr>
        <w:t xml:space="preserve"> </w:t>
      </w:r>
      <w:r w:rsidRPr="00DD61A7">
        <w:rPr>
          <w:rFonts w:ascii="Calibri" w:hAnsi="Calibri" w:cstheme="minorHAnsi"/>
        </w:rPr>
        <w:t>at mobility hubs are inconsistent. Best practices appear to be represented by the totem displays in Bristol</w:t>
      </w:r>
      <w:r w:rsidR="004A21EB">
        <w:rPr>
          <w:rFonts w:ascii="Calibri" w:hAnsi="Calibri" w:cstheme="minorHAnsi"/>
        </w:rPr>
        <w:t xml:space="preserve"> </w:t>
      </w:r>
      <w:r w:rsidRPr="00DD61A7">
        <w:rPr>
          <w:rFonts w:ascii="Calibri" w:hAnsi="Calibri" w:cstheme="minorHAnsi"/>
        </w:rPr>
        <w:t>and Birmingham.</w:t>
      </w:r>
    </w:p>
    <w:p w14:paraId="19379BA4" w14:textId="77777777" w:rsidR="00B24ABF" w:rsidRDefault="00B24ABF" w:rsidP="00A25615">
      <w:pPr>
        <w:pStyle w:val="BodyText"/>
        <w:rPr>
          <w:rFonts w:ascii="Calibri" w:hAnsi="Calibri" w:cstheme="minorHAnsi"/>
        </w:rPr>
      </w:pPr>
    </w:p>
    <w:p w14:paraId="210C2008" w14:textId="50AC3BB7" w:rsidR="00A8219A" w:rsidRDefault="00A8219A" w:rsidP="00A8219A">
      <w:pPr>
        <w:pStyle w:val="BodyText"/>
      </w:pPr>
      <w:r>
        <w:rPr>
          <w:rFonts w:ascii="Calibri" w:hAnsi="Calibri"/>
          <w:i/>
          <w:iCs/>
        </w:rPr>
        <w:t>Definition</w:t>
      </w:r>
    </w:p>
    <w:p w14:paraId="59808957" w14:textId="2DEB15F2" w:rsidR="00317E71" w:rsidRDefault="00CE2D93" w:rsidP="00317E71">
      <w:pPr>
        <w:pStyle w:val="BodyText"/>
        <w:rPr>
          <w:rFonts w:ascii="Calibri" w:hAnsi="Calibri" w:cstheme="minorHAnsi"/>
        </w:rPr>
      </w:pPr>
      <w:r w:rsidRPr="00CE2D93">
        <w:rPr>
          <w:rFonts w:ascii="Calibri" w:hAnsi="Calibri" w:cstheme="minorHAnsi"/>
        </w:rPr>
        <w:t>Findings from the case research, iteration through the Double Diamond phases and synthesis resulted</w:t>
      </w:r>
      <w:r>
        <w:rPr>
          <w:rFonts w:ascii="Calibri" w:hAnsi="Calibri" w:cstheme="minorHAnsi"/>
        </w:rPr>
        <w:t xml:space="preserve"> </w:t>
      </w:r>
      <w:r w:rsidRPr="00CE2D93">
        <w:rPr>
          <w:rFonts w:ascii="Calibri" w:hAnsi="Calibri" w:cstheme="minorHAnsi"/>
        </w:rPr>
        <w:t>led to the expression of the design problem to be addressed in this research in the form of: five questions a</w:t>
      </w:r>
      <w:r>
        <w:rPr>
          <w:rFonts w:ascii="Calibri" w:hAnsi="Calibri" w:cstheme="minorHAnsi"/>
        </w:rPr>
        <w:t xml:space="preserve"> </w:t>
      </w:r>
      <w:r w:rsidRPr="00CE2D93">
        <w:rPr>
          <w:rFonts w:ascii="Calibri" w:hAnsi="Calibri" w:cstheme="minorHAnsi"/>
        </w:rPr>
        <w:t>mobility hub information display needs</w:t>
      </w:r>
      <w:r w:rsidR="00234E3D">
        <w:rPr>
          <w:rFonts w:ascii="Calibri" w:hAnsi="Calibri" w:cstheme="minorHAnsi"/>
        </w:rPr>
        <w:t xml:space="preserve"> to</w:t>
      </w:r>
      <w:r w:rsidRPr="00CE2D93">
        <w:rPr>
          <w:rFonts w:ascii="Calibri" w:hAnsi="Calibri" w:cstheme="minorHAnsi"/>
        </w:rPr>
        <w:t xml:space="preserve"> answer. These are shown in Table 2. Also shown is an assessment </w:t>
      </w:r>
      <w:r w:rsidR="002B043C" w:rsidRPr="00CE2D93">
        <w:rPr>
          <w:rFonts w:ascii="Calibri" w:hAnsi="Calibri" w:cstheme="minorHAnsi"/>
        </w:rPr>
        <w:t>of how</w:t>
      </w:r>
      <w:r w:rsidRPr="00CE2D93">
        <w:rPr>
          <w:rFonts w:ascii="Calibri" w:hAnsi="Calibri" w:cstheme="minorHAnsi"/>
        </w:rPr>
        <w:t xml:space="preserve"> each of the cases does (or does not) respond to each.</w:t>
      </w:r>
      <w:r w:rsidR="00317E71">
        <w:rPr>
          <w:rFonts w:ascii="Calibri" w:hAnsi="Calibri" w:cstheme="minorHAnsi"/>
        </w:rPr>
        <w:t xml:space="preserve">  </w:t>
      </w:r>
    </w:p>
    <w:p w14:paraId="47A8DD6D" w14:textId="23460875" w:rsidR="00317E71" w:rsidRPr="00317E71" w:rsidRDefault="00317E71" w:rsidP="00317E71">
      <w:pPr>
        <w:pStyle w:val="BodyText"/>
        <w:rPr>
          <w:rFonts w:ascii="Calibri" w:hAnsi="Calibri" w:cstheme="minorHAnsi"/>
        </w:rPr>
      </w:pPr>
      <w:r w:rsidRPr="00317E71">
        <w:rPr>
          <w:rFonts w:ascii="Calibri" w:hAnsi="Calibri" w:cstheme="minorHAnsi"/>
        </w:rPr>
        <w:t>The first question shown in Table 2 relates to identifying a mobility hub as something in and of itself.</w:t>
      </w:r>
      <w:r>
        <w:rPr>
          <w:rFonts w:ascii="Calibri" w:hAnsi="Calibri" w:cstheme="minorHAnsi"/>
        </w:rPr>
        <w:t xml:space="preserve"> </w:t>
      </w:r>
      <w:r w:rsidRPr="00317E71">
        <w:rPr>
          <w:rFonts w:ascii="Calibri" w:hAnsi="Calibri" w:cstheme="minorHAnsi"/>
        </w:rPr>
        <w:t>Various terms were used in practice (Village Hub, Public Space, Local Travel Point), except in Camden (no</w:t>
      </w:r>
      <w:r>
        <w:rPr>
          <w:rFonts w:ascii="Calibri" w:hAnsi="Calibri" w:cstheme="minorHAnsi"/>
        </w:rPr>
        <w:t xml:space="preserve"> </w:t>
      </w:r>
      <w:r w:rsidRPr="00317E71">
        <w:rPr>
          <w:rFonts w:ascii="Calibri" w:hAnsi="Calibri" w:cstheme="minorHAnsi"/>
        </w:rPr>
        <w:t>information display) and Bristol (place name only).</w:t>
      </w:r>
    </w:p>
    <w:p w14:paraId="63CCE61D" w14:textId="75B3FE43" w:rsidR="00B24ABF" w:rsidRDefault="005478A6" w:rsidP="00CE2D93">
      <w:pPr>
        <w:pStyle w:val="BodyText"/>
        <w:rPr>
          <w:rFonts w:ascii="Calibri" w:hAnsi="Calibri" w:cstheme="minorHAnsi"/>
        </w:rPr>
      </w:pPr>
      <w:r w:rsidRPr="005478A6">
        <w:rPr>
          <w:rFonts w:ascii="Calibri" w:hAnsi="Calibri" w:cstheme="minorHAnsi"/>
          <w:noProof/>
        </w:rPr>
        <w:lastRenderedPageBreak/>
        <w:drawing>
          <wp:inline distT="0" distB="0" distL="0" distR="0" wp14:anchorId="662C9618" wp14:editId="7C54ACED">
            <wp:extent cx="5449824" cy="7025310"/>
            <wp:effectExtent l="0" t="0" r="0" b="0"/>
            <wp:docPr id="144071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7089" b="1778"/>
                    <a:stretch>
                      <a:fillRect/>
                    </a:stretch>
                  </pic:blipFill>
                  <pic:spPr bwMode="auto">
                    <a:xfrm>
                      <a:off x="0" y="0"/>
                      <a:ext cx="5455860" cy="7033091"/>
                    </a:xfrm>
                    <a:prstGeom prst="rect">
                      <a:avLst/>
                    </a:prstGeom>
                    <a:noFill/>
                    <a:ln>
                      <a:noFill/>
                    </a:ln>
                    <a:extLst>
                      <a:ext uri="{53640926-AAD7-44D8-BBD7-CCE9431645EC}">
                        <a14:shadowObscured xmlns:a14="http://schemas.microsoft.com/office/drawing/2010/main"/>
                      </a:ext>
                    </a:extLst>
                  </pic:spPr>
                </pic:pic>
              </a:graphicData>
            </a:graphic>
          </wp:inline>
        </w:drawing>
      </w:r>
    </w:p>
    <w:p w14:paraId="50BEC6E1" w14:textId="35EE904C" w:rsidR="005478A6" w:rsidRDefault="005478A6" w:rsidP="005478A6">
      <w:pPr>
        <w:pStyle w:val="BodyText"/>
        <w:jc w:val="center"/>
        <w:rPr>
          <w:rFonts w:ascii="Calibre" w:hAnsi="Calibre"/>
          <w:i/>
          <w:iCs/>
        </w:rPr>
      </w:pPr>
      <w:r>
        <w:rPr>
          <w:rFonts w:ascii="Calibre" w:hAnsi="Calibre"/>
          <w:i/>
          <w:iCs/>
        </w:rPr>
        <w:t xml:space="preserve">Figure 1: Selected hub images. Source: authors. </w:t>
      </w:r>
    </w:p>
    <w:p w14:paraId="4BE03FE1" w14:textId="77777777" w:rsidR="00317E71" w:rsidRDefault="00317E71" w:rsidP="00317E71">
      <w:pPr>
        <w:pStyle w:val="BodyText"/>
        <w:rPr>
          <w:rFonts w:ascii="Calibri" w:hAnsi="Calibri" w:cstheme="minorHAnsi"/>
        </w:rPr>
      </w:pPr>
    </w:p>
    <w:p w14:paraId="300963CB" w14:textId="1256F9AC" w:rsidR="00317E71" w:rsidRDefault="00317E71" w:rsidP="00317E71">
      <w:pPr>
        <w:pStyle w:val="BodyText"/>
        <w:rPr>
          <w:rFonts w:ascii="Calibri" w:hAnsi="Calibri" w:cstheme="minorHAnsi"/>
        </w:rPr>
      </w:pPr>
      <w:r w:rsidRPr="00317E71">
        <w:rPr>
          <w:rFonts w:ascii="Calibri" w:hAnsi="Calibri" w:cstheme="minorHAnsi"/>
        </w:rPr>
        <w:t>The second question (Where am I?) was answered in the cases either by place names (Redbridge, Bristol</w:t>
      </w:r>
      <w:r>
        <w:rPr>
          <w:rFonts w:ascii="Calibri" w:hAnsi="Calibri" w:cstheme="minorHAnsi"/>
        </w:rPr>
        <w:t xml:space="preserve"> </w:t>
      </w:r>
      <w:r w:rsidRPr="00317E71">
        <w:rPr>
          <w:rFonts w:ascii="Calibri" w:hAnsi="Calibri" w:cstheme="minorHAnsi"/>
        </w:rPr>
        <w:t>and Birmingham) or not at all (Camden). For the third question (What is here?) the best industry practices</w:t>
      </w:r>
      <w:r>
        <w:rPr>
          <w:rFonts w:ascii="Calibri" w:hAnsi="Calibri" w:cstheme="minorHAnsi"/>
        </w:rPr>
        <w:t xml:space="preserve"> </w:t>
      </w:r>
      <w:r w:rsidRPr="00317E71">
        <w:rPr>
          <w:rFonts w:ascii="Calibri" w:hAnsi="Calibri" w:cstheme="minorHAnsi"/>
        </w:rPr>
        <w:t>appear to be identify hub elements through text descriptions, icons, linemarking and cube markers. Notably,</w:t>
      </w:r>
      <w:r>
        <w:rPr>
          <w:rFonts w:ascii="Calibri" w:hAnsi="Calibri" w:cstheme="minorHAnsi"/>
        </w:rPr>
        <w:t xml:space="preserve"> </w:t>
      </w:r>
      <w:r w:rsidRPr="00317E71">
        <w:rPr>
          <w:rFonts w:ascii="Calibri" w:hAnsi="Calibri" w:cstheme="minorHAnsi"/>
        </w:rPr>
        <w:t>hub elements were not always shown on the maps answering the fourth question (What is nearby?). Answers</w:t>
      </w:r>
      <w:r>
        <w:rPr>
          <w:rFonts w:ascii="Calibri" w:hAnsi="Calibri" w:cstheme="minorHAnsi"/>
        </w:rPr>
        <w:t xml:space="preserve"> </w:t>
      </w:r>
      <w:r w:rsidRPr="00317E71">
        <w:rPr>
          <w:rFonts w:ascii="Calibri" w:hAnsi="Calibri" w:cstheme="minorHAnsi"/>
        </w:rPr>
        <w:t>to the final question shown in Table 2 (How can I travel from here?) were similarly limited, although some</w:t>
      </w:r>
      <w:r>
        <w:rPr>
          <w:rFonts w:ascii="Calibri" w:hAnsi="Calibri" w:cstheme="minorHAnsi"/>
        </w:rPr>
        <w:t xml:space="preserve"> </w:t>
      </w:r>
      <w:r w:rsidRPr="00317E71">
        <w:rPr>
          <w:rFonts w:ascii="Calibri" w:hAnsi="Calibri" w:cstheme="minorHAnsi"/>
        </w:rPr>
        <w:t>displays included text descriptions and mapping.</w:t>
      </w:r>
    </w:p>
    <w:p w14:paraId="43FBD593" w14:textId="719727EA" w:rsidR="00882078" w:rsidRDefault="00882078" w:rsidP="00882078">
      <w:pPr>
        <w:pStyle w:val="BodyText"/>
        <w:jc w:val="center"/>
        <w:rPr>
          <w:i/>
          <w:iCs/>
        </w:rPr>
      </w:pPr>
      <w:r>
        <w:rPr>
          <w:rFonts w:ascii="Calibri" w:hAnsi="Calibri" w:cstheme="minorHAnsi"/>
          <w:i/>
          <w:iCs/>
        </w:rPr>
        <w:lastRenderedPageBreak/>
        <w:t xml:space="preserve">Table 2: </w:t>
      </w:r>
      <w:r w:rsidRPr="00882078">
        <w:rPr>
          <w:rFonts w:ascii="Calibri" w:hAnsi="Calibri" w:cstheme="minorHAnsi"/>
          <w:i/>
          <w:iCs/>
          <w:lang w:val="en-IE"/>
        </w:rPr>
        <w:t>Defining the design problem through five questions. Authors’ concept.</w:t>
      </w:r>
    </w:p>
    <w:p w14:paraId="0712550F" w14:textId="2F18AEE6" w:rsidR="00882078" w:rsidRDefault="00882078" w:rsidP="00A25615">
      <w:pPr>
        <w:pStyle w:val="BodyText"/>
        <w:rPr>
          <w:rFonts w:ascii="Calibri" w:hAnsi="Calibri" w:cstheme="minorHAnsi"/>
        </w:rPr>
      </w:pPr>
      <w:r w:rsidRPr="00882078">
        <w:rPr>
          <w:rFonts w:ascii="Calibri" w:hAnsi="Calibri" w:cstheme="minorHAnsi"/>
          <w:noProof/>
        </w:rPr>
        <w:drawing>
          <wp:inline distT="0" distB="0" distL="0" distR="0" wp14:anchorId="60FA7688" wp14:editId="45E340FA">
            <wp:extent cx="5501030" cy="1709692"/>
            <wp:effectExtent l="0" t="0" r="0" b="0"/>
            <wp:docPr id="91419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2665" name=""/>
                    <pic:cNvPicPr/>
                  </pic:nvPicPr>
                  <pic:blipFill>
                    <a:blip r:embed="rId10"/>
                    <a:stretch>
                      <a:fillRect/>
                    </a:stretch>
                  </pic:blipFill>
                  <pic:spPr>
                    <a:xfrm>
                      <a:off x="0" y="0"/>
                      <a:ext cx="5505712" cy="1711147"/>
                    </a:xfrm>
                    <a:prstGeom prst="rect">
                      <a:avLst/>
                    </a:prstGeom>
                  </pic:spPr>
                </pic:pic>
              </a:graphicData>
            </a:graphic>
          </wp:inline>
        </w:drawing>
      </w:r>
    </w:p>
    <w:p w14:paraId="7D8ABC3F" w14:textId="77777777" w:rsidR="00317E71" w:rsidRDefault="00317E71">
      <w:pPr>
        <w:pStyle w:val="BodyText"/>
        <w:rPr>
          <w:rFonts w:ascii="Calibri" w:hAnsi="Calibri"/>
        </w:rPr>
      </w:pPr>
    </w:p>
    <w:p w14:paraId="3A85B250" w14:textId="15A903B0" w:rsidR="00317E71" w:rsidRDefault="00317E71" w:rsidP="00317E71">
      <w:pPr>
        <w:pStyle w:val="BodyText"/>
      </w:pPr>
      <w:r>
        <w:rPr>
          <w:rFonts w:ascii="Calibri" w:hAnsi="Calibri"/>
          <w:i/>
          <w:iCs/>
        </w:rPr>
        <w:t>Development</w:t>
      </w:r>
    </w:p>
    <w:p w14:paraId="589C5CA2" w14:textId="0B0C9261" w:rsidR="00CB1873" w:rsidRPr="00CB1873" w:rsidRDefault="00CB1873" w:rsidP="00CB1873">
      <w:pPr>
        <w:pStyle w:val="BodyText"/>
        <w:rPr>
          <w:rFonts w:ascii="Calibri" w:hAnsi="Calibri"/>
        </w:rPr>
      </w:pPr>
      <w:r w:rsidRPr="00CB1873">
        <w:rPr>
          <w:rFonts w:ascii="Calibri" w:hAnsi="Calibri"/>
        </w:rPr>
        <w:t>During the Development phase the R language was used to: download Open Street Maps (OSM)</w:t>
      </w:r>
      <w:r w:rsidR="00DF799B">
        <w:rPr>
          <w:rFonts w:ascii="Calibri" w:hAnsi="Calibri"/>
        </w:rPr>
        <w:t xml:space="preserve"> </w:t>
      </w:r>
      <w:r w:rsidRPr="00CB1873">
        <w:rPr>
          <w:rFonts w:ascii="Calibri" w:hAnsi="Calibri"/>
        </w:rPr>
        <w:t>data; produce local and regional maps; replicate the Bristol and Birmingham styles of totems; and create a</w:t>
      </w:r>
      <w:r w:rsidR="00DF799B">
        <w:rPr>
          <w:rFonts w:ascii="Calibri" w:hAnsi="Calibri"/>
        </w:rPr>
        <w:t xml:space="preserve"> </w:t>
      </w:r>
      <w:r w:rsidRPr="00CB1873">
        <w:rPr>
          <w:rFonts w:ascii="Calibri" w:hAnsi="Calibri"/>
        </w:rPr>
        <w:t>synthesis display format, which responds to the problem Definition. OSM and R were chosen to facilitate</w:t>
      </w:r>
      <w:r w:rsidR="00DF799B">
        <w:rPr>
          <w:rFonts w:ascii="Calibri" w:hAnsi="Calibri"/>
        </w:rPr>
        <w:t xml:space="preserve"> </w:t>
      </w:r>
      <w:r w:rsidRPr="00CB1873">
        <w:rPr>
          <w:rFonts w:ascii="Calibri" w:hAnsi="Calibri"/>
        </w:rPr>
        <w:t>reuse of the software, as these are both open source and freely available. Figure 2 shows outputs of the</w:t>
      </w:r>
      <w:r w:rsidR="00DF799B">
        <w:rPr>
          <w:rFonts w:ascii="Calibri" w:hAnsi="Calibri"/>
        </w:rPr>
        <w:t xml:space="preserve"> </w:t>
      </w:r>
      <w:r w:rsidRPr="00CB1873">
        <w:rPr>
          <w:rFonts w:ascii="Calibri" w:hAnsi="Calibri"/>
        </w:rPr>
        <w:t>software generated for the Gainsborough Square case location.</w:t>
      </w:r>
    </w:p>
    <w:p w14:paraId="085F6C86" w14:textId="3553A5B1" w:rsidR="00317E71" w:rsidRDefault="00CB1873" w:rsidP="00CB1873">
      <w:pPr>
        <w:pStyle w:val="BodyText"/>
        <w:rPr>
          <w:rFonts w:ascii="Calibri" w:hAnsi="Calibri"/>
        </w:rPr>
      </w:pPr>
      <w:r w:rsidRPr="00CB1873">
        <w:rPr>
          <w:rFonts w:ascii="Calibri" w:hAnsi="Calibri"/>
        </w:rPr>
        <w:t>These are intended to be printed at A0-scale, but the inset in Figure 2 (bottom left) demonstrates how the</w:t>
      </w:r>
      <w:r w:rsidR="00DF799B">
        <w:rPr>
          <w:rFonts w:ascii="Calibri" w:hAnsi="Calibri"/>
        </w:rPr>
        <w:t xml:space="preserve"> </w:t>
      </w:r>
      <w:r w:rsidRPr="00CB1873">
        <w:rPr>
          <w:rFonts w:ascii="Calibri" w:hAnsi="Calibri"/>
        </w:rPr>
        <w:t>mapping labels points of interests The maps include iconographic representation of nearby facilities such as</w:t>
      </w:r>
      <w:r w:rsidR="00DF799B">
        <w:rPr>
          <w:rFonts w:ascii="Calibri" w:hAnsi="Calibri"/>
        </w:rPr>
        <w:t xml:space="preserve"> </w:t>
      </w:r>
      <w:r w:rsidRPr="00CB1873">
        <w:rPr>
          <w:rFonts w:ascii="Calibri" w:hAnsi="Calibri"/>
        </w:rPr>
        <w:t>bus stops and cafes, which can be generated automatically from OSM data or from user inputs (i.e. lat</w:t>
      </w:r>
      <w:r w:rsidR="007F4B17">
        <w:rPr>
          <w:rFonts w:ascii="Calibri" w:hAnsi="Calibri"/>
        </w:rPr>
        <w:t>itude</w:t>
      </w:r>
      <w:r w:rsidRPr="00CB1873">
        <w:rPr>
          <w:rFonts w:ascii="Calibri" w:hAnsi="Calibri"/>
        </w:rPr>
        <w:t>, lon</w:t>
      </w:r>
      <w:r w:rsidR="007F4B17">
        <w:rPr>
          <w:rFonts w:ascii="Calibri" w:hAnsi="Calibri"/>
        </w:rPr>
        <w:t>gitude</w:t>
      </w:r>
      <w:r w:rsidRPr="00CB1873">
        <w:rPr>
          <w:rFonts w:ascii="Calibri" w:hAnsi="Calibri"/>
        </w:rPr>
        <w:t>).</w:t>
      </w:r>
      <w:r w:rsidR="00DF799B">
        <w:rPr>
          <w:rFonts w:ascii="Calibri" w:hAnsi="Calibri"/>
        </w:rPr>
        <w:t xml:space="preserve"> </w:t>
      </w:r>
      <w:r w:rsidRPr="00CB1873">
        <w:rPr>
          <w:rFonts w:ascii="Calibri" w:hAnsi="Calibri"/>
        </w:rPr>
        <w:t>Maps included in the synthesis (Figure 2, right) leverage map tiles associated with OSM, including the</w:t>
      </w:r>
      <w:r w:rsidR="00DF799B">
        <w:rPr>
          <w:rFonts w:ascii="Calibri" w:hAnsi="Calibri"/>
        </w:rPr>
        <w:t xml:space="preserve"> </w:t>
      </w:r>
      <w:r w:rsidRPr="00CB1873">
        <w:rPr>
          <w:rFonts w:ascii="Calibri" w:hAnsi="Calibri"/>
        </w:rPr>
        <w:t>“Transport” and “Cycle” tile sets from Allan and Thunderforest (undated). Higher resolution images of the</w:t>
      </w:r>
      <w:r w:rsidR="00DF799B">
        <w:rPr>
          <w:rFonts w:ascii="Calibri" w:hAnsi="Calibri"/>
        </w:rPr>
        <w:t xml:space="preserve"> </w:t>
      </w:r>
      <w:r w:rsidRPr="00CB1873">
        <w:rPr>
          <w:rFonts w:ascii="Calibri" w:hAnsi="Calibri"/>
        </w:rPr>
        <w:t>software outputs and totems for the Galway ROBUST hub are available on github, along with the software</w:t>
      </w:r>
      <w:r w:rsidR="00DF799B">
        <w:rPr>
          <w:rFonts w:ascii="Calibri" w:hAnsi="Calibri"/>
        </w:rPr>
        <w:t xml:space="preserve"> </w:t>
      </w:r>
      <w:r w:rsidRPr="00CB1873">
        <w:rPr>
          <w:rFonts w:ascii="Calibri" w:hAnsi="Calibri"/>
        </w:rPr>
        <w:t>used to prepare this paper</w:t>
      </w:r>
      <w:r w:rsidR="00DF799B">
        <w:rPr>
          <w:rStyle w:val="FootnoteReference"/>
          <w:rFonts w:ascii="Calibri" w:hAnsi="Calibri"/>
        </w:rPr>
        <w:footnoteReference w:id="5"/>
      </w:r>
      <w:r w:rsidR="00BC5307">
        <w:rPr>
          <w:rFonts w:ascii="Calibri" w:hAnsi="Calibri"/>
        </w:rPr>
        <w:t xml:space="preserve">. </w:t>
      </w:r>
    </w:p>
    <w:p w14:paraId="6CD7A9C3" w14:textId="77777777" w:rsidR="00317E71" w:rsidRDefault="00317E71">
      <w:pPr>
        <w:pStyle w:val="BodyText"/>
        <w:rPr>
          <w:rFonts w:ascii="Calibri" w:hAnsi="Calibri"/>
        </w:rPr>
      </w:pPr>
    </w:p>
    <w:p w14:paraId="2AA1E5AA" w14:textId="7187E8C1" w:rsidR="00BC5307" w:rsidRDefault="00BC5307" w:rsidP="00BC5307">
      <w:pPr>
        <w:pStyle w:val="BodyText"/>
      </w:pPr>
      <w:r>
        <w:rPr>
          <w:rFonts w:ascii="Calibri" w:hAnsi="Calibri"/>
          <w:i/>
          <w:iCs/>
        </w:rPr>
        <w:t>Delivery</w:t>
      </w:r>
    </w:p>
    <w:p w14:paraId="7FB217CF" w14:textId="3E3F1F09" w:rsidR="00317E71" w:rsidRDefault="009A1ECF" w:rsidP="009A1ECF">
      <w:pPr>
        <w:pStyle w:val="BodyText"/>
        <w:rPr>
          <w:rFonts w:ascii="Calibri" w:hAnsi="Calibri"/>
        </w:rPr>
      </w:pPr>
      <w:r w:rsidRPr="009A1ECF">
        <w:rPr>
          <w:rFonts w:ascii="Calibri" w:hAnsi="Calibri"/>
        </w:rPr>
        <w:t>Software developed in this research was assembled into a package of functions, as per the guidance provided</w:t>
      </w:r>
      <w:r>
        <w:rPr>
          <w:rFonts w:ascii="Calibri" w:hAnsi="Calibri"/>
        </w:rPr>
        <w:t xml:space="preserve"> </w:t>
      </w:r>
      <w:r w:rsidRPr="009A1ECF">
        <w:rPr>
          <w:rFonts w:ascii="Calibri" w:hAnsi="Calibri"/>
        </w:rPr>
        <w:t xml:space="preserve">by Wickham and Bryan (2023). This package is available at </w:t>
      </w:r>
      <w:hyperlink r:id="rId11" w:history="1">
        <w:r w:rsidR="00085780" w:rsidRPr="00E6261B">
          <w:rPr>
            <w:rStyle w:val="Hyperlink"/>
            <w:rFonts w:ascii="Calibri" w:hAnsi="Calibri"/>
          </w:rPr>
          <w:t>https://github.com/James-Reynolds/mobilityHubTools</w:t>
        </w:r>
      </w:hyperlink>
      <w:r w:rsidRPr="009A1ECF">
        <w:rPr>
          <w:rFonts w:ascii="Calibri" w:hAnsi="Calibri"/>
        </w:rPr>
        <w:t>, and includes documentation and test data.</w:t>
      </w:r>
    </w:p>
    <w:p w14:paraId="27DE5C66" w14:textId="77777777" w:rsidR="00B52737" w:rsidRDefault="00B52737" w:rsidP="009A1ECF">
      <w:pPr>
        <w:pStyle w:val="BodyText"/>
        <w:rPr>
          <w:rFonts w:ascii="Calibri" w:hAnsi="Calibri"/>
        </w:rPr>
      </w:pPr>
    </w:p>
    <w:p w14:paraId="303F5B5B" w14:textId="41B8FAF2" w:rsidR="00B52737" w:rsidRDefault="00B52737" w:rsidP="00B52737">
      <w:pPr>
        <w:pStyle w:val="BodyText"/>
        <w:rPr>
          <w:b/>
          <w:bCs/>
        </w:rPr>
      </w:pPr>
      <w:r>
        <w:rPr>
          <w:rFonts w:ascii="Calibri" w:hAnsi="Calibri" w:cstheme="minorHAnsi"/>
          <w:b/>
          <w:bCs/>
        </w:rPr>
        <w:t>Discussion and conclusions</w:t>
      </w:r>
    </w:p>
    <w:p w14:paraId="758557FB" w14:textId="77777777" w:rsidR="008E48CF" w:rsidRDefault="007B388A" w:rsidP="007B388A">
      <w:pPr>
        <w:pStyle w:val="BodyText"/>
        <w:rPr>
          <w:rFonts w:ascii="Calibri" w:hAnsi="Calibri"/>
        </w:rPr>
      </w:pPr>
      <w:r w:rsidRPr="007B388A">
        <w:rPr>
          <w:rFonts w:ascii="Calibri" w:hAnsi="Calibri"/>
        </w:rPr>
        <w:t>The cases studied during the first phase of this research suggest much variability in information displays</w:t>
      </w:r>
      <w:r>
        <w:rPr>
          <w:rFonts w:ascii="Calibri" w:hAnsi="Calibri"/>
        </w:rPr>
        <w:t xml:space="preserve"> </w:t>
      </w:r>
      <w:r w:rsidRPr="007B388A">
        <w:rPr>
          <w:rFonts w:ascii="Calibri" w:hAnsi="Calibri"/>
        </w:rPr>
        <w:t>and user guidance at mobility hubs. Practices include comprehensive displays in (Bristol and Birmingham)</w:t>
      </w:r>
      <w:r>
        <w:rPr>
          <w:rFonts w:ascii="Calibri" w:hAnsi="Calibri"/>
        </w:rPr>
        <w:t xml:space="preserve"> </w:t>
      </w:r>
      <w:r w:rsidRPr="007B388A">
        <w:rPr>
          <w:rFonts w:ascii="Calibri" w:hAnsi="Calibri"/>
        </w:rPr>
        <w:t>and cube shaped markers identifying hub elements (Bristol).</w:t>
      </w:r>
      <w:r>
        <w:rPr>
          <w:rFonts w:ascii="Calibri" w:hAnsi="Calibri"/>
        </w:rPr>
        <w:t xml:space="preserve"> </w:t>
      </w:r>
      <w:r w:rsidRPr="007B388A">
        <w:rPr>
          <w:rFonts w:ascii="Calibri" w:hAnsi="Calibri"/>
        </w:rPr>
        <w:t>At the other end of the spectrum, sites in Camden had only linemarking and did not appear to be identifiable</w:t>
      </w:r>
      <w:r>
        <w:rPr>
          <w:rFonts w:ascii="Calibri" w:hAnsi="Calibri"/>
        </w:rPr>
        <w:t xml:space="preserve"> </w:t>
      </w:r>
      <w:r w:rsidRPr="007B388A">
        <w:rPr>
          <w:rFonts w:ascii="Calibri" w:hAnsi="Calibri"/>
        </w:rPr>
        <w:t>as linked facilities or integrated hubs.</w:t>
      </w:r>
      <w:r>
        <w:rPr>
          <w:rFonts w:ascii="Calibri" w:hAnsi="Calibri"/>
        </w:rPr>
        <w:t xml:space="preserve"> </w:t>
      </w:r>
    </w:p>
    <w:p w14:paraId="6EFEDD2C" w14:textId="77777777" w:rsidR="008E48CF" w:rsidRDefault="007B388A" w:rsidP="007B388A">
      <w:pPr>
        <w:pStyle w:val="BodyText"/>
        <w:rPr>
          <w:rFonts w:ascii="Calibri" w:hAnsi="Calibri"/>
        </w:rPr>
      </w:pPr>
      <w:r w:rsidRPr="007B388A">
        <w:rPr>
          <w:rFonts w:ascii="Calibri" w:hAnsi="Calibri"/>
        </w:rPr>
        <w:t>The design problem identified in this study relates specifically to totems and mapping, but clearly there</w:t>
      </w:r>
      <w:r>
        <w:rPr>
          <w:rFonts w:ascii="Calibri" w:hAnsi="Calibri"/>
        </w:rPr>
        <w:t xml:space="preserve"> </w:t>
      </w:r>
      <w:r w:rsidRPr="007B388A">
        <w:rPr>
          <w:rFonts w:ascii="Calibri" w:hAnsi="Calibri"/>
        </w:rPr>
        <w:t>are opportunities for further research into mobility hub wayfinding and information provision. As well, even</w:t>
      </w:r>
      <w:r>
        <w:rPr>
          <w:rFonts w:ascii="Calibri" w:hAnsi="Calibri"/>
        </w:rPr>
        <w:t xml:space="preserve"> </w:t>
      </w:r>
      <w:r w:rsidRPr="007B388A">
        <w:rPr>
          <w:rFonts w:ascii="Calibri" w:hAnsi="Calibri"/>
        </w:rPr>
        <w:t>those more extensive information displays found at some sites do not appear to have fully answered the five</w:t>
      </w:r>
      <w:r>
        <w:rPr>
          <w:rFonts w:ascii="Calibri" w:hAnsi="Calibri"/>
        </w:rPr>
        <w:t xml:space="preserve"> </w:t>
      </w:r>
      <w:r w:rsidRPr="007B388A">
        <w:rPr>
          <w:rFonts w:ascii="Calibri" w:hAnsi="Calibri"/>
        </w:rPr>
        <w:t xml:space="preserve">questions defined here as the design problem to be addressed. </w:t>
      </w:r>
    </w:p>
    <w:p w14:paraId="6953C4FD" w14:textId="6AFF620B" w:rsidR="00317E71" w:rsidRDefault="00B52737">
      <w:pPr>
        <w:pStyle w:val="BodyText"/>
        <w:rPr>
          <w:rFonts w:ascii="Calibri" w:hAnsi="Calibri"/>
        </w:rPr>
      </w:pPr>
      <w:r w:rsidRPr="00B52737">
        <w:rPr>
          <w:rFonts w:ascii="Calibri" w:hAnsi="Calibri"/>
          <w:noProof/>
        </w:rPr>
        <w:lastRenderedPageBreak/>
        <w:drawing>
          <wp:inline distT="0" distB="0" distL="0" distR="0" wp14:anchorId="10E3CFDB" wp14:editId="4535CE71">
            <wp:extent cx="5400040" cy="6724015"/>
            <wp:effectExtent l="0" t="0" r="0" b="0"/>
            <wp:docPr id="1226235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6724015"/>
                    </a:xfrm>
                    <a:prstGeom prst="rect">
                      <a:avLst/>
                    </a:prstGeom>
                    <a:noFill/>
                    <a:ln>
                      <a:noFill/>
                    </a:ln>
                  </pic:spPr>
                </pic:pic>
              </a:graphicData>
            </a:graphic>
          </wp:inline>
        </w:drawing>
      </w:r>
    </w:p>
    <w:p w14:paraId="751D061B" w14:textId="05D95081" w:rsidR="00B52737" w:rsidRDefault="00B52737" w:rsidP="00B52737">
      <w:pPr>
        <w:pStyle w:val="BodyText"/>
        <w:jc w:val="center"/>
        <w:rPr>
          <w:rFonts w:ascii="Calibre" w:hAnsi="Calibre"/>
          <w:i/>
          <w:iCs/>
        </w:rPr>
      </w:pPr>
      <w:r>
        <w:rPr>
          <w:rFonts w:ascii="Calibre" w:hAnsi="Calibre"/>
          <w:i/>
          <w:iCs/>
        </w:rPr>
        <w:t xml:space="preserve">Figure 1: </w:t>
      </w:r>
      <w:r w:rsidRPr="00B52737">
        <w:rPr>
          <w:rFonts w:ascii="Calibre" w:hAnsi="Calibre"/>
          <w:i/>
          <w:iCs/>
          <w:lang w:val="en-IE"/>
        </w:rPr>
        <w:t>Software output: Birmingham (left), Bristol (centre) and synthesis (right) display types. Source: authors</w:t>
      </w:r>
      <w:r>
        <w:rPr>
          <w:rFonts w:ascii="Calibre" w:hAnsi="Calibre"/>
          <w:i/>
          <w:iCs/>
          <w:lang w:val="en-IE"/>
        </w:rPr>
        <w:t>.</w:t>
      </w:r>
    </w:p>
    <w:p w14:paraId="43785258" w14:textId="77777777" w:rsidR="000702F7" w:rsidRDefault="000702F7" w:rsidP="008E48CF">
      <w:pPr>
        <w:pStyle w:val="BodyText"/>
        <w:rPr>
          <w:rFonts w:ascii="Calibri" w:hAnsi="Calibri"/>
        </w:rPr>
      </w:pPr>
    </w:p>
    <w:p w14:paraId="0EEE0C11" w14:textId="35B833BF" w:rsidR="008E48CF" w:rsidRPr="008E48CF" w:rsidRDefault="008E48CF" w:rsidP="008E48CF">
      <w:pPr>
        <w:pStyle w:val="BodyText"/>
        <w:rPr>
          <w:rFonts w:ascii="Calibri" w:hAnsi="Calibri"/>
        </w:rPr>
      </w:pPr>
      <w:r w:rsidRPr="008E48CF">
        <w:rPr>
          <w:rFonts w:ascii="Calibri" w:hAnsi="Calibri"/>
        </w:rPr>
        <w:lastRenderedPageBreak/>
        <w:t xml:space="preserve">While the synthesis totem display output from the Development phase of the research described here does answer all five questions (multiple times), further design improvements can clearly be made. There may be a need to better understand what facilities and services might best be included as ‘part’ of a hub, as opposed to those that are mapped as being ‘nearby’. More immediately, further development of the software and user testing of the software outputs </w:t>
      </w:r>
      <w:r w:rsidR="007F4B17">
        <w:rPr>
          <w:rFonts w:ascii="Calibri" w:hAnsi="Calibri"/>
        </w:rPr>
        <w:t>is a potential</w:t>
      </w:r>
      <w:r w:rsidRPr="008E48CF">
        <w:rPr>
          <w:rFonts w:ascii="Calibri" w:hAnsi="Calibri"/>
        </w:rPr>
        <w:t xml:space="preserve"> direction for future research. As briefly noted earlier, the research described in this paper is part of the ROBUST project, which involves trials of shared electric mobility hubs in various locations across Ireland. Part of this larger program of research will include looking at user behaviour, usability and related issues under real-world conditions. Experiments with information displays, including testing and co-design with users, is a direction for future research during ROBUST. The research described in this paper, however, represents an initial exploration of this topic both through case studies of current practices and use of a design-research approach.</w:t>
      </w:r>
    </w:p>
    <w:p w14:paraId="62403A4A" w14:textId="4ADBE209" w:rsidR="008E48CF" w:rsidRPr="008E48CF" w:rsidRDefault="008E48CF" w:rsidP="008E48CF">
      <w:pPr>
        <w:pStyle w:val="BodyText"/>
        <w:rPr>
          <w:rFonts w:ascii="Calibri" w:hAnsi="Calibri"/>
        </w:rPr>
      </w:pPr>
      <w:r w:rsidRPr="008E48CF">
        <w:rPr>
          <w:rFonts w:ascii="Calibri" w:hAnsi="Calibri"/>
        </w:rPr>
        <w:t xml:space="preserve">The aim of this research was to improve understandings related to mobility hub informational displays, and explore whether it was possible to develop software tools for </w:t>
      </w:r>
      <w:r w:rsidR="007F4B17">
        <w:rPr>
          <w:rFonts w:ascii="Calibri" w:hAnsi="Calibri"/>
        </w:rPr>
        <w:t xml:space="preserve">communication about </w:t>
      </w:r>
      <w:r w:rsidRPr="008E48CF">
        <w:rPr>
          <w:rFonts w:ascii="Calibri" w:hAnsi="Calibri"/>
        </w:rPr>
        <w:t>mobility hubs at other locations. The maps and other details shown in Figure 2, and materials available online might be suitable for prototyping, public consultation or similar</w:t>
      </w:r>
      <w:r w:rsidR="00AF1C07">
        <w:rPr>
          <w:rStyle w:val="FootnoteReference"/>
          <w:rFonts w:ascii="Calibri" w:hAnsi="Calibri"/>
        </w:rPr>
        <w:footnoteReference w:id="6"/>
      </w:r>
      <w:r w:rsidRPr="008E48CF">
        <w:rPr>
          <w:rFonts w:ascii="Calibri" w:hAnsi="Calibri"/>
        </w:rPr>
        <w:t>. The flexibility of R might also allow users to adjust layouts,</w:t>
      </w:r>
      <w:r w:rsidR="000702F7">
        <w:rPr>
          <w:rFonts w:ascii="Calibri" w:hAnsi="Calibri"/>
        </w:rPr>
        <w:t xml:space="preserve"> </w:t>
      </w:r>
      <w:r w:rsidRPr="008E48CF">
        <w:rPr>
          <w:rFonts w:ascii="Calibri" w:hAnsi="Calibri"/>
        </w:rPr>
        <w:t>styling and other details as desired. Likewise, the OSM dataset can be freely accessed and edited by anyone.</w:t>
      </w:r>
      <w:r w:rsidR="00AF1C07">
        <w:rPr>
          <w:rFonts w:ascii="Calibri" w:hAnsi="Calibri"/>
        </w:rPr>
        <w:t xml:space="preserve"> </w:t>
      </w:r>
      <w:r w:rsidRPr="008E48CF">
        <w:rPr>
          <w:rFonts w:ascii="Calibri" w:hAnsi="Calibri"/>
        </w:rPr>
        <w:t>Hence, starting with the developed software and a printer</w:t>
      </w:r>
      <w:r w:rsidR="007F4B17">
        <w:rPr>
          <w:rFonts w:ascii="Calibri" w:hAnsi="Calibri"/>
        </w:rPr>
        <w:t>,</w:t>
      </w:r>
      <w:r w:rsidRPr="008E48CF">
        <w:rPr>
          <w:rFonts w:ascii="Calibri" w:hAnsi="Calibri"/>
        </w:rPr>
        <w:t xml:space="preserve"> practitioners</w:t>
      </w:r>
      <w:r w:rsidR="007F4B17">
        <w:rPr>
          <w:rFonts w:ascii="Calibri" w:hAnsi="Calibri"/>
        </w:rPr>
        <w:t xml:space="preserve"> o</w:t>
      </w:r>
      <w:r w:rsidRPr="008E48CF">
        <w:rPr>
          <w:rFonts w:ascii="Calibri" w:hAnsi="Calibri"/>
        </w:rPr>
        <w:t>r others might be</w:t>
      </w:r>
      <w:r w:rsidR="00AF1C07">
        <w:rPr>
          <w:rFonts w:ascii="Calibri" w:hAnsi="Calibri"/>
        </w:rPr>
        <w:t xml:space="preserve"> </w:t>
      </w:r>
      <w:r w:rsidRPr="008E48CF">
        <w:rPr>
          <w:rFonts w:ascii="Calibri" w:hAnsi="Calibri"/>
        </w:rPr>
        <w:t>able define a mobility hub in their own community, and keep information displays up to date as circumstances</w:t>
      </w:r>
      <w:r w:rsidR="00AF1C07">
        <w:rPr>
          <w:rFonts w:ascii="Calibri" w:hAnsi="Calibri"/>
        </w:rPr>
        <w:t xml:space="preserve"> </w:t>
      </w:r>
      <w:r w:rsidRPr="008E48CF">
        <w:rPr>
          <w:rFonts w:ascii="Calibri" w:hAnsi="Calibri"/>
        </w:rPr>
        <w:t>change.</w:t>
      </w:r>
    </w:p>
    <w:p w14:paraId="7B5127C6" w14:textId="77777777" w:rsidR="00AF1C07" w:rsidRDefault="008E48CF" w:rsidP="008E48CF">
      <w:pPr>
        <w:pStyle w:val="BodyText"/>
        <w:rPr>
          <w:rFonts w:ascii="Calibri" w:hAnsi="Calibri"/>
        </w:rPr>
      </w:pPr>
      <w:r w:rsidRPr="008E48CF">
        <w:rPr>
          <w:rFonts w:ascii="Calibri" w:hAnsi="Calibri"/>
        </w:rPr>
        <w:t>This might raise larger questions, such as who gets to decide what a mobility hub is? Perhaps mobility</w:t>
      </w:r>
      <w:r w:rsidR="00AF1C07">
        <w:rPr>
          <w:rFonts w:ascii="Calibri" w:hAnsi="Calibri"/>
        </w:rPr>
        <w:t xml:space="preserve"> </w:t>
      </w:r>
      <w:r w:rsidRPr="008E48CF">
        <w:rPr>
          <w:rFonts w:ascii="Calibri" w:hAnsi="Calibri"/>
        </w:rPr>
        <w:t>hubs already exist wherever there are combinations of: railway or electric vehicle charging stations; bus or</w:t>
      </w:r>
      <w:r w:rsidR="00AF1C07">
        <w:rPr>
          <w:rFonts w:ascii="Calibri" w:hAnsi="Calibri"/>
        </w:rPr>
        <w:t xml:space="preserve"> </w:t>
      </w:r>
      <w:r w:rsidRPr="008E48CF">
        <w:rPr>
          <w:rFonts w:ascii="Calibri" w:hAnsi="Calibri"/>
        </w:rPr>
        <w:t>tram stops; shared bike docks, parking zones or other micro-mobility offerings; or other transport-related</w:t>
      </w:r>
      <w:r w:rsidR="00AF1C07">
        <w:rPr>
          <w:rFonts w:ascii="Calibri" w:hAnsi="Calibri"/>
        </w:rPr>
        <w:t xml:space="preserve"> </w:t>
      </w:r>
      <w:r w:rsidRPr="008E48CF">
        <w:rPr>
          <w:rFonts w:ascii="Calibri" w:hAnsi="Calibri"/>
        </w:rPr>
        <w:t>facilities and services. Hopefully the software tools developed in this study may help facilitate bottom-up</w:t>
      </w:r>
      <w:r w:rsidR="00AF1C07">
        <w:rPr>
          <w:rFonts w:ascii="Calibri" w:hAnsi="Calibri"/>
        </w:rPr>
        <w:t xml:space="preserve"> </w:t>
      </w:r>
      <w:r w:rsidRPr="008E48CF">
        <w:rPr>
          <w:rFonts w:ascii="Calibri" w:hAnsi="Calibri"/>
        </w:rPr>
        <w:t>implementation, pop-ups or trials, or other efforts to develop and maintain mobility hubs.</w:t>
      </w:r>
      <w:r w:rsidR="00AF1C07">
        <w:rPr>
          <w:rFonts w:ascii="Calibri" w:hAnsi="Calibri"/>
        </w:rPr>
        <w:t xml:space="preserve"> </w:t>
      </w:r>
    </w:p>
    <w:p w14:paraId="20DCFB2D" w14:textId="77777777" w:rsidR="00AF1C07" w:rsidRDefault="008E48CF" w:rsidP="008E48CF">
      <w:pPr>
        <w:pStyle w:val="BodyText"/>
        <w:rPr>
          <w:rFonts w:ascii="Calibri" w:hAnsi="Calibri"/>
        </w:rPr>
      </w:pPr>
      <w:r w:rsidRPr="008E48CF">
        <w:rPr>
          <w:rFonts w:ascii="Calibri" w:hAnsi="Calibri"/>
        </w:rPr>
        <w:t>More generally, the research outcomes of this study may provide insights about current mobility hub</w:t>
      </w:r>
      <w:r w:rsidR="00AF1C07">
        <w:rPr>
          <w:rFonts w:ascii="Calibri" w:hAnsi="Calibri"/>
        </w:rPr>
        <w:t xml:space="preserve"> </w:t>
      </w:r>
      <w:r w:rsidRPr="008E48CF">
        <w:rPr>
          <w:rFonts w:ascii="Calibri" w:hAnsi="Calibri"/>
        </w:rPr>
        <w:t>information displays developed by practitioners, as a step towards identifying ‘best practices’. Mobility hubs</w:t>
      </w:r>
      <w:r w:rsidR="00AF1C07">
        <w:rPr>
          <w:rFonts w:ascii="Calibri" w:hAnsi="Calibri"/>
        </w:rPr>
        <w:t xml:space="preserve"> </w:t>
      </w:r>
      <w:r w:rsidRPr="008E48CF">
        <w:rPr>
          <w:rFonts w:ascii="Calibri" w:hAnsi="Calibri"/>
        </w:rPr>
        <w:t>are still a new and evolving approach. As per the Roukouni et al. (2023) definition, a mobility hub needs to</w:t>
      </w:r>
      <w:r w:rsidR="00AF1C07">
        <w:rPr>
          <w:rFonts w:ascii="Calibri" w:hAnsi="Calibri"/>
        </w:rPr>
        <w:t xml:space="preserve"> </w:t>
      </w:r>
      <w:r w:rsidRPr="008E48CF">
        <w:rPr>
          <w:rFonts w:ascii="Calibri" w:hAnsi="Calibri"/>
        </w:rPr>
        <w:t>provide “integration”, “seamless, flexible connection” and “... an enjoyable experience for travelers” across</w:t>
      </w:r>
      <w:r w:rsidR="00AF1C07">
        <w:rPr>
          <w:rFonts w:ascii="Calibri" w:hAnsi="Calibri"/>
        </w:rPr>
        <w:t xml:space="preserve"> </w:t>
      </w:r>
      <w:r w:rsidRPr="008E48CF">
        <w:rPr>
          <w:rFonts w:ascii="Calibri" w:hAnsi="Calibri"/>
        </w:rPr>
        <w:t>multiple modes, while also connecting users to surrounding services and facilities. The research report here,</w:t>
      </w:r>
      <w:r w:rsidR="00AF1C07">
        <w:rPr>
          <w:rFonts w:ascii="Calibri" w:hAnsi="Calibri"/>
        </w:rPr>
        <w:t xml:space="preserve"> </w:t>
      </w:r>
      <w:r w:rsidRPr="008E48CF">
        <w:rPr>
          <w:rFonts w:ascii="Calibri" w:hAnsi="Calibri"/>
        </w:rPr>
        <w:t>however, suggests that there may still be some way to go in understanding how to deliver upon this definition</w:t>
      </w:r>
      <w:r w:rsidR="00AF1C07">
        <w:rPr>
          <w:rFonts w:ascii="Calibri" w:hAnsi="Calibri"/>
        </w:rPr>
        <w:t xml:space="preserve">, </w:t>
      </w:r>
      <w:r w:rsidRPr="008E48CF">
        <w:rPr>
          <w:rFonts w:ascii="Calibri" w:hAnsi="Calibri"/>
        </w:rPr>
        <w:t>even within the narrower confines of information displays and other guidance for users at mobility hubs.</w:t>
      </w:r>
    </w:p>
    <w:p w14:paraId="66A2054E" w14:textId="77777777" w:rsidR="00AF1C07" w:rsidRDefault="00AF1C07" w:rsidP="008E48CF">
      <w:pPr>
        <w:pStyle w:val="BodyText"/>
        <w:rPr>
          <w:rFonts w:ascii="Calibri" w:hAnsi="Calibri"/>
        </w:rPr>
      </w:pPr>
    </w:p>
    <w:p w14:paraId="748EF860" w14:textId="77777777" w:rsidR="00CA1695" w:rsidRDefault="00B4232A">
      <w:pPr>
        <w:pStyle w:val="BodyText"/>
        <w:rPr>
          <w:rFonts w:ascii="Calibre" w:hAnsi="Calibre"/>
          <w:b/>
          <w:bCs/>
        </w:rPr>
      </w:pPr>
      <w:r>
        <w:rPr>
          <w:rFonts w:ascii="Calibre" w:hAnsi="Calibre"/>
          <w:b/>
          <w:bCs/>
        </w:rPr>
        <w:t xml:space="preserve">References </w:t>
      </w:r>
    </w:p>
    <w:p w14:paraId="63689BCF" w14:textId="4C1746F6" w:rsidR="004943A8" w:rsidRDefault="004943A8" w:rsidP="004943A8">
      <w:pPr>
        <w:pStyle w:val="BodyText"/>
        <w:rPr>
          <w:rFonts w:ascii="Calibre" w:hAnsi="Calibre" w:cstheme="minorHAnsi"/>
          <w:sz w:val="20"/>
          <w:szCs w:val="20"/>
        </w:rPr>
      </w:pPr>
      <w:r w:rsidRPr="004943A8">
        <w:rPr>
          <w:rFonts w:ascii="Calibre" w:hAnsi="Calibre" w:cstheme="minorHAnsi"/>
          <w:sz w:val="20"/>
          <w:szCs w:val="20"/>
        </w:rPr>
        <w:t xml:space="preserve">Andy Allan and Thunderforest. </w:t>
      </w:r>
      <w:r w:rsidRPr="009E7EE3">
        <w:rPr>
          <w:rFonts w:ascii="Calibre" w:hAnsi="Calibre" w:cstheme="minorHAnsi"/>
          <w:i/>
          <w:iCs/>
          <w:sz w:val="20"/>
          <w:szCs w:val="20"/>
        </w:rPr>
        <w:t>Opencyclemap and transport map layers</w:t>
      </w:r>
      <w:r w:rsidRPr="004943A8">
        <w:rPr>
          <w:rFonts w:ascii="Calibre" w:hAnsi="Calibre" w:cstheme="minorHAnsi"/>
          <w:sz w:val="20"/>
          <w:szCs w:val="20"/>
        </w:rPr>
        <w:t xml:space="preserve">, undated. URL </w:t>
      </w:r>
      <w:hyperlink r:id="rId13" w:history="1">
        <w:r w:rsidRPr="00E6261B">
          <w:rPr>
            <w:rStyle w:val="Hyperlink"/>
            <w:rFonts w:ascii="Calibre" w:hAnsi="Calibre" w:cstheme="minorHAnsi"/>
            <w:sz w:val="20"/>
            <w:szCs w:val="20"/>
          </w:rPr>
          <w:t>https://www.thunderforest.com/</w:t>
        </w:r>
      </w:hyperlink>
      <w:r w:rsidRPr="004943A8">
        <w:rPr>
          <w:rFonts w:ascii="Calibre" w:hAnsi="Calibre" w:cstheme="minorHAnsi"/>
          <w:sz w:val="20"/>
          <w:szCs w:val="20"/>
        </w:rPr>
        <w:t>.</w:t>
      </w:r>
    </w:p>
    <w:p w14:paraId="6BE322FB" w14:textId="77777777" w:rsidR="004943A8" w:rsidRDefault="004943A8" w:rsidP="004943A8">
      <w:pPr>
        <w:pStyle w:val="BodyText"/>
        <w:rPr>
          <w:rFonts w:ascii="Calibre" w:hAnsi="Calibre" w:cstheme="minorHAnsi"/>
          <w:sz w:val="20"/>
          <w:szCs w:val="20"/>
        </w:rPr>
      </w:pPr>
    </w:p>
    <w:p w14:paraId="3044CA2A" w14:textId="715A01CB" w:rsidR="004B70EA" w:rsidRDefault="004B70EA" w:rsidP="004943A8">
      <w:pPr>
        <w:pStyle w:val="BodyText"/>
        <w:rPr>
          <w:rFonts w:ascii="Calibre" w:hAnsi="Calibre" w:cstheme="minorHAnsi"/>
          <w:sz w:val="20"/>
          <w:szCs w:val="20"/>
        </w:rPr>
      </w:pPr>
      <w:r>
        <w:rPr>
          <w:rFonts w:ascii="Calibre" w:hAnsi="Calibre" w:cstheme="minorHAnsi"/>
          <w:sz w:val="20"/>
          <w:szCs w:val="20"/>
        </w:rPr>
        <w:t xml:space="preserve">CoMoUK. </w:t>
      </w:r>
      <w:r>
        <w:rPr>
          <w:rFonts w:ascii="Calibre" w:hAnsi="Calibre" w:cstheme="minorHAnsi"/>
          <w:i/>
          <w:iCs/>
          <w:sz w:val="20"/>
          <w:szCs w:val="20"/>
        </w:rPr>
        <w:t>UK Mobility Hub Guidance 2019/2</w:t>
      </w:r>
      <w:r w:rsidR="00BD13FA">
        <w:rPr>
          <w:rFonts w:ascii="Calibre" w:hAnsi="Calibre" w:cstheme="minorHAnsi"/>
          <w:i/>
          <w:iCs/>
          <w:sz w:val="20"/>
          <w:szCs w:val="20"/>
        </w:rPr>
        <w:t xml:space="preserve">0. </w:t>
      </w:r>
      <w:r w:rsidR="00BD13FA">
        <w:rPr>
          <w:rFonts w:ascii="Calibre" w:hAnsi="Calibre" w:cstheme="minorHAnsi"/>
          <w:sz w:val="20"/>
          <w:szCs w:val="20"/>
        </w:rPr>
        <w:t>2019</w:t>
      </w:r>
      <w:r>
        <w:rPr>
          <w:rFonts w:ascii="Calibre" w:hAnsi="Calibre" w:cstheme="minorHAnsi"/>
          <w:sz w:val="20"/>
          <w:szCs w:val="20"/>
        </w:rPr>
        <w:t xml:space="preserve">. URL </w:t>
      </w:r>
      <w:hyperlink r:id="rId14" w:history="1">
        <w:r w:rsidR="006D09FF" w:rsidRPr="00887A23">
          <w:rPr>
            <w:rStyle w:val="Hyperlink"/>
            <w:rFonts w:ascii="Calibre" w:hAnsi="Calibre" w:cstheme="minorHAnsi"/>
            <w:sz w:val="20"/>
            <w:szCs w:val="20"/>
          </w:rPr>
          <w:t>https://www.como.org.uk/mobility-hubs/starting-and-running-successful-hubs</w:t>
        </w:r>
      </w:hyperlink>
      <w:r w:rsidR="006D09FF">
        <w:rPr>
          <w:rFonts w:ascii="Calibre" w:hAnsi="Calibre" w:cstheme="minorHAnsi"/>
          <w:sz w:val="20"/>
          <w:szCs w:val="20"/>
        </w:rPr>
        <w:t xml:space="preserve"> </w:t>
      </w:r>
    </w:p>
    <w:p w14:paraId="1EC7A402" w14:textId="77777777" w:rsidR="004B70EA" w:rsidRDefault="004B70EA" w:rsidP="004943A8">
      <w:pPr>
        <w:pStyle w:val="BodyText"/>
        <w:rPr>
          <w:rFonts w:ascii="Calibre" w:hAnsi="Calibre" w:cstheme="minorHAnsi"/>
          <w:sz w:val="20"/>
          <w:szCs w:val="20"/>
        </w:rPr>
      </w:pPr>
    </w:p>
    <w:p w14:paraId="76B4A982" w14:textId="6B920D1D" w:rsidR="00931F9F" w:rsidRPr="00931F9F" w:rsidRDefault="00931F9F" w:rsidP="004943A8">
      <w:pPr>
        <w:pStyle w:val="BodyText"/>
        <w:rPr>
          <w:rFonts w:ascii="Calibre" w:hAnsi="Calibre" w:cstheme="minorHAnsi"/>
          <w:sz w:val="20"/>
          <w:szCs w:val="20"/>
        </w:rPr>
      </w:pPr>
      <w:r>
        <w:rPr>
          <w:rFonts w:ascii="Calibre" w:hAnsi="Calibre" w:cstheme="minorHAnsi"/>
          <w:sz w:val="20"/>
          <w:szCs w:val="20"/>
        </w:rPr>
        <w:t xml:space="preserve">CoMoUK. </w:t>
      </w:r>
      <w:r>
        <w:rPr>
          <w:rFonts w:ascii="Calibre" w:hAnsi="Calibre" w:cstheme="minorHAnsi"/>
          <w:i/>
          <w:iCs/>
          <w:sz w:val="20"/>
          <w:szCs w:val="20"/>
        </w:rPr>
        <w:t>Considerations for mobility hub branding and signage</w:t>
      </w:r>
      <w:r>
        <w:rPr>
          <w:rFonts w:ascii="Calibre" w:hAnsi="Calibre" w:cstheme="minorHAnsi"/>
          <w:sz w:val="20"/>
          <w:szCs w:val="20"/>
        </w:rPr>
        <w:t xml:space="preserve"> 2024. URL </w:t>
      </w:r>
      <w:hyperlink r:id="rId15" w:history="1">
        <w:r w:rsidR="006D09FF" w:rsidRPr="00887A23">
          <w:rPr>
            <w:rStyle w:val="Hyperlink"/>
            <w:rFonts w:ascii="Calibre" w:hAnsi="Calibre" w:cstheme="minorHAnsi"/>
            <w:sz w:val="20"/>
            <w:szCs w:val="20"/>
          </w:rPr>
          <w:t>https://www.como.org.uk/mobility-hubs/starting-and-running-successful-hubs</w:t>
        </w:r>
      </w:hyperlink>
      <w:r w:rsidR="006D09FF">
        <w:rPr>
          <w:rFonts w:ascii="Calibre" w:hAnsi="Calibre" w:cstheme="minorHAnsi"/>
          <w:sz w:val="20"/>
          <w:szCs w:val="20"/>
        </w:rPr>
        <w:t xml:space="preserve"> </w:t>
      </w:r>
      <w:r>
        <w:rPr>
          <w:rFonts w:ascii="Calibre" w:hAnsi="Calibre" w:cstheme="minorHAnsi"/>
          <w:sz w:val="20"/>
          <w:szCs w:val="20"/>
        </w:rPr>
        <w:t xml:space="preserve"> </w:t>
      </w:r>
    </w:p>
    <w:p w14:paraId="17C6668A" w14:textId="77777777" w:rsidR="00931F9F" w:rsidRPr="004943A8" w:rsidRDefault="00931F9F" w:rsidP="004943A8">
      <w:pPr>
        <w:pStyle w:val="BodyText"/>
        <w:rPr>
          <w:rFonts w:ascii="Calibre" w:hAnsi="Calibre" w:cstheme="minorHAnsi"/>
          <w:sz w:val="20"/>
          <w:szCs w:val="20"/>
        </w:rPr>
      </w:pPr>
    </w:p>
    <w:p w14:paraId="3F2E46B1" w14:textId="77777777" w:rsidR="004943A8" w:rsidRDefault="004943A8" w:rsidP="004943A8">
      <w:pPr>
        <w:pStyle w:val="BodyText"/>
        <w:rPr>
          <w:rFonts w:ascii="Calibre" w:hAnsi="Calibre" w:cstheme="minorHAnsi"/>
          <w:sz w:val="20"/>
          <w:szCs w:val="20"/>
        </w:rPr>
      </w:pPr>
      <w:r w:rsidRPr="004943A8">
        <w:rPr>
          <w:rFonts w:ascii="Calibre" w:hAnsi="Calibre" w:cstheme="minorHAnsi"/>
          <w:sz w:val="20"/>
          <w:szCs w:val="20"/>
        </w:rPr>
        <w:t xml:space="preserve">Selby Coxon, Robbie Napper, and Mark Richardson. </w:t>
      </w:r>
      <w:r w:rsidRPr="009E7EE3">
        <w:rPr>
          <w:rFonts w:ascii="Calibre" w:hAnsi="Calibre" w:cstheme="minorHAnsi"/>
          <w:i/>
          <w:iCs/>
          <w:sz w:val="20"/>
          <w:szCs w:val="20"/>
        </w:rPr>
        <w:t>Urban mobility design</w:t>
      </w:r>
      <w:r w:rsidRPr="004943A8">
        <w:rPr>
          <w:rFonts w:ascii="Calibre" w:hAnsi="Calibre" w:cstheme="minorHAnsi"/>
          <w:sz w:val="20"/>
          <w:szCs w:val="20"/>
        </w:rPr>
        <w:t>. Elsevier, 2018. doi: 10.1016/C2017-0-01129-1.</w:t>
      </w:r>
    </w:p>
    <w:p w14:paraId="5961B970" w14:textId="77777777" w:rsidR="004943A8" w:rsidRPr="004943A8" w:rsidRDefault="004943A8" w:rsidP="004943A8">
      <w:pPr>
        <w:pStyle w:val="BodyText"/>
        <w:rPr>
          <w:rFonts w:ascii="Calibre" w:hAnsi="Calibre" w:cstheme="minorHAnsi"/>
          <w:sz w:val="20"/>
          <w:szCs w:val="20"/>
        </w:rPr>
      </w:pPr>
    </w:p>
    <w:p w14:paraId="4F2A89E0" w14:textId="49A6C3C4" w:rsidR="004943A8" w:rsidRDefault="004943A8" w:rsidP="004943A8">
      <w:pPr>
        <w:pStyle w:val="BodyText"/>
        <w:rPr>
          <w:rFonts w:ascii="Calibre" w:hAnsi="Calibre" w:cstheme="minorHAnsi"/>
          <w:sz w:val="20"/>
          <w:szCs w:val="20"/>
        </w:rPr>
      </w:pPr>
      <w:r w:rsidRPr="004943A8">
        <w:rPr>
          <w:rFonts w:ascii="Calibre" w:hAnsi="Calibre" w:cstheme="minorHAnsi"/>
          <w:sz w:val="20"/>
          <w:szCs w:val="20"/>
        </w:rPr>
        <w:t xml:space="preserve">Selby Coxon, Robbie Napper, Ilya Fridman, and Vincent Moug. </w:t>
      </w:r>
      <w:r w:rsidRPr="009E7EE3">
        <w:rPr>
          <w:rFonts w:ascii="Calibre" w:hAnsi="Calibre" w:cstheme="minorHAnsi"/>
          <w:i/>
          <w:iCs/>
          <w:sz w:val="20"/>
          <w:szCs w:val="20"/>
        </w:rPr>
        <w:t>The power of design to enrich the public transport experience</w:t>
      </w:r>
      <w:r w:rsidRPr="004943A8">
        <w:rPr>
          <w:rFonts w:ascii="Calibre" w:hAnsi="Calibre" w:cstheme="minorHAnsi"/>
          <w:sz w:val="20"/>
          <w:szCs w:val="20"/>
        </w:rPr>
        <w:t>. In</w:t>
      </w:r>
      <w:r>
        <w:rPr>
          <w:rFonts w:ascii="Calibre" w:hAnsi="Calibre" w:cstheme="minorHAnsi"/>
          <w:sz w:val="20"/>
          <w:szCs w:val="20"/>
        </w:rPr>
        <w:t xml:space="preserve"> </w:t>
      </w:r>
      <w:r w:rsidRPr="004943A8">
        <w:rPr>
          <w:rFonts w:ascii="Calibre" w:hAnsi="Calibre" w:cstheme="minorHAnsi"/>
          <w:sz w:val="20"/>
          <w:szCs w:val="20"/>
        </w:rPr>
        <w:t xml:space="preserve">Handbook of </w:t>
      </w:r>
      <w:r w:rsidR="009E7EE3">
        <w:rPr>
          <w:rFonts w:ascii="Calibre" w:hAnsi="Calibre" w:cstheme="minorHAnsi"/>
          <w:sz w:val="20"/>
          <w:szCs w:val="20"/>
        </w:rPr>
        <w:t>P</w:t>
      </w:r>
      <w:r w:rsidRPr="004943A8">
        <w:rPr>
          <w:rFonts w:ascii="Calibre" w:hAnsi="Calibre" w:cstheme="minorHAnsi"/>
          <w:sz w:val="20"/>
          <w:szCs w:val="20"/>
        </w:rPr>
        <w:t xml:space="preserve">ublic </w:t>
      </w:r>
      <w:r w:rsidR="009E7EE3">
        <w:rPr>
          <w:rFonts w:ascii="Calibre" w:hAnsi="Calibre" w:cstheme="minorHAnsi"/>
          <w:sz w:val="20"/>
          <w:szCs w:val="20"/>
        </w:rPr>
        <w:t>T</w:t>
      </w:r>
      <w:r w:rsidRPr="004943A8">
        <w:rPr>
          <w:rFonts w:ascii="Calibre" w:hAnsi="Calibre" w:cstheme="minorHAnsi"/>
          <w:sz w:val="20"/>
          <w:szCs w:val="20"/>
        </w:rPr>
        <w:t>ransport research, chapter 6, pages 92–114. Edward Elgar Publishing, 2021. doi: 10.4337/9781788978668.00012.</w:t>
      </w:r>
    </w:p>
    <w:p w14:paraId="28B9F8FC" w14:textId="77777777" w:rsidR="004943A8" w:rsidRDefault="004943A8" w:rsidP="004943A8">
      <w:pPr>
        <w:pStyle w:val="BodyText"/>
        <w:rPr>
          <w:rFonts w:ascii="Calibre" w:hAnsi="Calibre" w:cstheme="minorHAnsi"/>
          <w:sz w:val="20"/>
          <w:szCs w:val="20"/>
        </w:rPr>
      </w:pPr>
    </w:p>
    <w:p w14:paraId="213AC49B" w14:textId="417F9120"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Alexa Delbosc, James Reynolds, Wesley Marshall, and Andrew Wall. </w:t>
      </w:r>
      <w:r w:rsidRPr="009E7EE3">
        <w:rPr>
          <w:rFonts w:ascii="Calibre" w:hAnsi="Calibre" w:cstheme="minorHAnsi"/>
          <w:i/>
          <w:iCs/>
          <w:sz w:val="20"/>
          <w:szCs w:val="20"/>
        </w:rPr>
        <w:t>American complete streets and australian smartroads: what can we learn from each other?</w:t>
      </w:r>
      <w:r w:rsidRPr="00675C95">
        <w:rPr>
          <w:rFonts w:ascii="Calibre" w:hAnsi="Calibre" w:cstheme="minorHAnsi"/>
          <w:sz w:val="20"/>
          <w:szCs w:val="20"/>
        </w:rPr>
        <w:t xml:space="preserve"> Transportation Research Record, 2018. doi: 10.1177/0361198118777379.</w:t>
      </w:r>
    </w:p>
    <w:p w14:paraId="5932D14A" w14:textId="77777777" w:rsidR="00675C95" w:rsidRPr="00675C95" w:rsidRDefault="00675C95" w:rsidP="00675C95">
      <w:pPr>
        <w:pStyle w:val="BodyText"/>
        <w:rPr>
          <w:rFonts w:ascii="Calibre" w:hAnsi="Calibre" w:cstheme="minorHAnsi"/>
          <w:sz w:val="20"/>
          <w:szCs w:val="20"/>
        </w:rPr>
      </w:pPr>
    </w:p>
    <w:p w14:paraId="06F25782" w14:textId="1729E875"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Martyn Denscombe</w:t>
      </w:r>
      <w:r w:rsidRPr="009E7EE3">
        <w:rPr>
          <w:rFonts w:ascii="Calibre" w:hAnsi="Calibre" w:cstheme="minorHAnsi"/>
          <w:i/>
          <w:iCs/>
          <w:sz w:val="20"/>
          <w:szCs w:val="20"/>
        </w:rPr>
        <w:t>. The good research guide</w:t>
      </w:r>
      <w:r w:rsidRPr="00675C95">
        <w:rPr>
          <w:rFonts w:ascii="Calibre" w:hAnsi="Calibre" w:cstheme="minorHAnsi"/>
          <w:sz w:val="20"/>
          <w:szCs w:val="20"/>
        </w:rPr>
        <w:t>. McGraw-Hill International UK Ltd, Maidenhead, Berkshire, UK, 2nd edition,</w:t>
      </w:r>
      <w:r>
        <w:rPr>
          <w:rFonts w:ascii="Calibre" w:hAnsi="Calibre" w:cstheme="minorHAnsi"/>
          <w:sz w:val="20"/>
          <w:szCs w:val="20"/>
        </w:rPr>
        <w:t xml:space="preserve"> </w:t>
      </w:r>
      <w:r w:rsidRPr="00675C95">
        <w:rPr>
          <w:rFonts w:ascii="Calibre" w:hAnsi="Calibre" w:cstheme="minorHAnsi"/>
          <w:sz w:val="20"/>
          <w:szCs w:val="20"/>
        </w:rPr>
        <w:t>2007.</w:t>
      </w:r>
    </w:p>
    <w:p w14:paraId="2A55A366" w14:textId="77777777" w:rsidR="00675C95" w:rsidRPr="00675C95" w:rsidRDefault="00675C95" w:rsidP="00675C95">
      <w:pPr>
        <w:pStyle w:val="BodyText"/>
        <w:rPr>
          <w:rFonts w:ascii="Calibre" w:hAnsi="Calibre" w:cstheme="minorHAnsi"/>
          <w:sz w:val="20"/>
          <w:szCs w:val="20"/>
        </w:rPr>
      </w:pPr>
    </w:p>
    <w:p w14:paraId="040E317D" w14:textId="3FB24B89"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Joshua B. Engel-Yan and Amanda Leonard. </w:t>
      </w:r>
      <w:r w:rsidRPr="009E7EE3">
        <w:rPr>
          <w:rFonts w:ascii="Calibre" w:hAnsi="Calibre" w:cstheme="minorHAnsi"/>
          <w:i/>
          <w:iCs/>
          <w:sz w:val="20"/>
          <w:szCs w:val="20"/>
        </w:rPr>
        <w:t>Mobility hub guidelines: Tools for achieving successful station areas</w:t>
      </w:r>
      <w:r w:rsidRPr="00675C95">
        <w:rPr>
          <w:rFonts w:ascii="Calibre" w:hAnsi="Calibre" w:cstheme="minorHAnsi"/>
          <w:sz w:val="20"/>
          <w:szCs w:val="20"/>
        </w:rPr>
        <w:t>. ITE Journal</w:t>
      </w:r>
      <w:r>
        <w:rPr>
          <w:rFonts w:ascii="Calibre" w:hAnsi="Calibre" w:cstheme="minorHAnsi"/>
          <w:sz w:val="20"/>
          <w:szCs w:val="20"/>
        </w:rPr>
        <w:t xml:space="preserve"> </w:t>
      </w:r>
      <w:r w:rsidRPr="00675C95">
        <w:rPr>
          <w:rFonts w:ascii="Calibre" w:hAnsi="Calibre" w:cstheme="minorHAnsi"/>
          <w:sz w:val="20"/>
          <w:szCs w:val="20"/>
        </w:rPr>
        <w:t>(Institute of Transportation Engineers), 82(1):42 – 47, 2012. ISSN 01628178.</w:t>
      </w:r>
    </w:p>
    <w:p w14:paraId="033FFB45" w14:textId="77777777" w:rsidR="00675C95" w:rsidRDefault="00675C95" w:rsidP="00675C95">
      <w:pPr>
        <w:pStyle w:val="BodyText"/>
        <w:rPr>
          <w:rFonts w:ascii="Calibre" w:hAnsi="Calibre" w:cstheme="minorHAnsi"/>
          <w:sz w:val="20"/>
          <w:szCs w:val="20"/>
        </w:rPr>
      </w:pPr>
    </w:p>
    <w:p w14:paraId="4881041E" w14:textId="335BD7AE" w:rsidR="00E76FF9" w:rsidRDefault="00E76FF9" w:rsidP="00675C95">
      <w:pPr>
        <w:pStyle w:val="BodyText"/>
        <w:rPr>
          <w:rFonts w:ascii="Calibre" w:hAnsi="Calibre" w:cstheme="minorHAnsi"/>
          <w:sz w:val="20"/>
          <w:szCs w:val="20"/>
        </w:rPr>
      </w:pPr>
      <w:r>
        <w:rPr>
          <w:rFonts w:ascii="Calibre" w:hAnsi="Calibre" w:cstheme="minorHAnsi"/>
          <w:sz w:val="20"/>
          <w:szCs w:val="20"/>
        </w:rPr>
        <w:t xml:space="preserve">Karst </w:t>
      </w:r>
      <w:r w:rsidRPr="00E76FF9">
        <w:rPr>
          <w:rFonts w:ascii="Calibre" w:hAnsi="Calibre" w:cstheme="minorHAnsi"/>
          <w:sz w:val="20"/>
          <w:szCs w:val="20"/>
        </w:rPr>
        <w:t xml:space="preserve">Geurs, </w:t>
      </w:r>
      <w:r>
        <w:rPr>
          <w:rFonts w:ascii="Calibre" w:hAnsi="Calibre" w:cstheme="minorHAnsi"/>
          <w:sz w:val="20"/>
          <w:szCs w:val="20"/>
        </w:rPr>
        <w:t xml:space="preserve">Anna </w:t>
      </w:r>
      <w:r w:rsidRPr="00E76FF9">
        <w:rPr>
          <w:rFonts w:ascii="Calibre" w:hAnsi="Calibre" w:cstheme="minorHAnsi"/>
          <w:sz w:val="20"/>
          <w:szCs w:val="20"/>
        </w:rPr>
        <w:t xml:space="preserve">Grigolon, </w:t>
      </w:r>
      <w:r>
        <w:rPr>
          <w:rFonts w:ascii="Calibre" w:hAnsi="Calibre" w:cstheme="minorHAnsi"/>
          <w:sz w:val="20"/>
          <w:szCs w:val="20"/>
        </w:rPr>
        <w:t xml:space="preserve">Karla </w:t>
      </w:r>
      <w:r w:rsidRPr="00E76FF9">
        <w:rPr>
          <w:rFonts w:ascii="Calibre" w:hAnsi="Calibre" w:cstheme="minorHAnsi"/>
          <w:sz w:val="20"/>
          <w:szCs w:val="20"/>
        </w:rPr>
        <w:t xml:space="preserve">Münzel, </w:t>
      </w:r>
      <w:r>
        <w:rPr>
          <w:rFonts w:ascii="Calibre" w:hAnsi="Calibre" w:cstheme="minorHAnsi"/>
          <w:sz w:val="20"/>
          <w:szCs w:val="20"/>
        </w:rPr>
        <w:t xml:space="preserve">Konstantinos </w:t>
      </w:r>
      <w:r w:rsidRPr="00E76FF9">
        <w:rPr>
          <w:rFonts w:ascii="Calibre" w:hAnsi="Calibre" w:cstheme="minorHAnsi"/>
          <w:sz w:val="20"/>
          <w:szCs w:val="20"/>
        </w:rPr>
        <w:t xml:space="preserve">Gkiotsalitis, </w:t>
      </w:r>
      <w:r>
        <w:rPr>
          <w:rFonts w:ascii="Calibre" w:hAnsi="Calibre" w:cstheme="minorHAnsi"/>
          <w:sz w:val="20"/>
          <w:szCs w:val="20"/>
        </w:rPr>
        <w:t xml:space="preserve">David </w:t>
      </w:r>
      <w:r w:rsidRPr="00E76FF9">
        <w:rPr>
          <w:rFonts w:ascii="Calibre" w:hAnsi="Calibre" w:cstheme="minorHAnsi"/>
          <w:sz w:val="20"/>
          <w:szCs w:val="20"/>
        </w:rPr>
        <w:t xml:space="preserve">Duran-Rodas, </w:t>
      </w:r>
      <w:r>
        <w:rPr>
          <w:rFonts w:ascii="Calibre" w:hAnsi="Calibre" w:cstheme="minorHAnsi"/>
          <w:sz w:val="20"/>
          <w:szCs w:val="20"/>
        </w:rPr>
        <w:t xml:space="preserve">Benjamin </w:t>
      </w:r>
      <w:r w:rsidRPr="00E76FF9">
        <w:rPr>
          <w:rFonts w:ascii="Calibre" w:hAnsi="Calibre" w:cstheme="minorHAnsi"/>
          <w:sz w:val="20"/>
          <w:szCs w:val="20"/>
        </w:rPr>
        <w:t>Büttner</w:t>
      </w:r>
      <w:r>
        <w:rPr>
          <w:rFonts w:ascii="Calibre" w:hAnsi="Calibre" w:cstheme="minorHAnsi"/>
          <w:sz w:val="20"/>
          <w:szCs w:val="20"/>
        </w:rPr>
        <w:t xml:space="preserve">, Cristoph Kirchberger, Jesse Pappers, Lluis Martinez Ramirez, Antonia Graf, Julia Hansel, Roxani Gkavra and Roman </w:t>
      </w:r>
      <w:r w:rsidRPr="00E76FF9">
        <w:rPr>
          <w:rFonts w:ascii="Calibre" w:hAnsi="Calibre" w:cstheme="minorHAnsi"/>
          <w:sz w:val="20"/>
          <w:szCs w:val="20"/>
        </w:rPr>
        <w:t xml:space="preserve">Klementschitz. </w:t>
      </w:r>
      <w:r w:rsidRPr="007F4B17">
        <w:rPr>
          <w:rFonts w:ascii="Calibre" w:hAnsi="Calibre" w:cstheme="minorHAnsi"/>
          <w:i/>
          <w:iCs/>
          <w:sz w:val="20"/>
          <w:szCs w:val="20"/>
        </w:rPr>
        <w:t>The Smarthubs integration ladder: a conceptual model for the categorisation of shared mobility hubs</w:t>
      </w:r>
      <w:r w:rsidRPr="00E76FF9">
        <w:rPr>
          <w:rFonts w:ascii="Calibre" w:hAnsi="Calibre" w:cstheme="minorHAnsi"/>
          <w:sz w:val="20"/>
          <w:szCs w:val="20"/>
        </w:rPr>
        <w:t xml:space="preserve">. Transport Reviews, 44(1), 2024. </w:t>
      </w:r>
      <w:r>
        <w:rPr>
          <w:rFonts w:ascii="Calibre" w:hAnsi="Calibre" w:cstheme="minorHAnsi"/>
          <w:sz w:val="20"/>
          <w:szCs w:val="20"/>
        </w:rPr>
        <w:t xml:space="preserve">doi: </w:t>
      </w:r>
      <w:r w:rsidRPr="00E76FF9">
        <w:rPr>
          <w:rFonts w:ascii="Calibre" w:hAnsi="Calibre" w:cstheme="minorHAnsi"/>
          <w:sz w:val="20"/>
          <w:szCs w:val="20"/>
        </w:rPr>
        <w:t>10.1080/01441647.2023.2239499</w:t>
      </w:r>
      <w:r>
        <w:rPr>
          <w:rFonts w:ascii="Calibre" w:hAnsi="Calibre" w:cstheme="minorHAnsi"/>
          <w:sz w:val="20"/>
          <w:szCs w:val="20"/>
        </w:rPr>
        <w:t>x</w:t>
      </w:r>
    </w:p>
    <w:p w14:paraId="21B97C02" w14:textId="77777777" w:rsidR="00E76FF9" w:rsidRPr="00675C95" w:rsidRDefault="00E76FF9" w:rsidP="00675C95">
      <w:pPr>
        <w:pStyle w:val="BodyText"/>
        <w:rPr>
          <w:rFonts w:ascii="Calibre" w:hAnsi="Calibre" w:cstheme="minorHAnsi"/>
          <w:sz w:val="20"/>
          <w:szCs w:val="20"/>
        </w:rPr>
      </w:pPr>
    </w:p>
    <w:p w14:paraId="593959E2" w14:textId="7F35A540"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Mike Lydon and Anthony Garcia. </w:t>
      </w:r>
      <w:r w:rsidRPr="009E7EE3">
        <w:rPr>
          <w:rFonts w:ascii="Calibre" w:hAnsi="Calibre" w:cstheme="minorHAnsi"/>
          <w:i/>
          <w:iCs/>
          <w:sz w:val="20"/>
          <w:szCs w:val="20"/>
        </w:rPr>
        <w:t>Tactical urbanism: short-term action for long-term change</w:t>
      </w:r>
      <w:r w:rsidRPr="00675C95">
        <w:rPr>
          <w:rFonts w:ascii="Calibre" w:hAnsi="Calibre" w:cstheme="minorHAnsi"/>
          <w:sz w:val="20"/>
          <w:szCs w:val="20"/>
        </w:rPr>
        <w:t>. Island Press, Washington, DC,</w:t>
      </w:r>
      <w:r>
        <w:rPr>
          <w:rFonts w:ascii="Calibre" w:hAnsi="Calibre" w:cstheme="minorHAnsi"/>
          <w:sz w:val="20"/>
          <w:szCs w:val="20"/>
        </w:rPr>
        <w:t xml:space="preserve"> </w:t>
      </w:r>
      <w:r w:rsidRPr="00675C95">
        <w:rPr>
          <w:rFonts w:ascii="Calibre" w:hAnsi="Calibre" w:cstheme="minorHAnsi"/>
          <w:sz w:val="20"/>
          <w:szCs w:val="20"/>
        </w:rPr>
        <w:t>2015. doi: 10.5822/978-1-61091-567-0.</w:t>
      </w:r>
    </w:p>
    <w:p w14:paraId="63C95A98" w14:textId="77777777" w:rsidR="00675C95" w:rsidRPr="00675C95" w:rsidRDefault="00675C95" w:rsidP="00675C95">
      <w:pPr>
        <w:pStyle w:val="BodyText"/>
        <w:rPr>
          <w:rFonts w:ascii="Calibre" w:hAnsi="Calibre" w:cstheme="minorHAnsi"/>
          <w:sz w:val="20"/>
          <w:szCs w:val="20"/>
        </w:rPr>
      </w:pPr>
    </w:p>
    <w:p w14:paraId="083A2599" w14:textId="2C205F77"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Metrolinx. </w:t>
      </w:r>
      <w:r w:rsidRPr="009E7EE3">
        <w:rPr>
          <w:rFonts w:ascii="Calibre" w:hAnsi="Calibre" w:cstheme="minorHAnsi"/>
          <w:i/>
          <w:iCs/>
          <w:sz w:val="20"/>
          <w:szCs w:val="20"/>
        </w:rPr>
        <w:t>The Big Move</w:t>
      </w:r>
      <w:r w:rsidRPr="00675C95">
        <w:rPr>
          <w:rFonts w:ascii="Calibre" w:hAnsi="Calibre" w:cstheme="minorHAnsi"/>
          <w:sz w:val="20"/>
          <w:szCs w:val="20"/>
        </w:rPr>
        <w:t xml:space="preserve">. Technical report, 2008. URL </w:t>
      </w:r>
      <w:hyperlink r:id="rId16" w:history="1">
        <w:r w:rsidRPr="00E6261B">
          <w:rPr>
            <w:rStyle w:val="Hyperlink"/>
            <w:rFonts w:ascii="Calibre" w:hAnsi="Calibre" w:cstheme="minorHAnsi"/>
            <w:sz w:val="20"/>
            <w:szCs w:val="20"/>
          </w:rPr>
          <w:t>http://www.metrolinx.com/thebigmove/</w:t>
        </w:r>
      </w:hyperlink>
      <w:r>
        <w:rPr>
          <w:rFonts w:ascii="Calibre" w:hAnsi="Calibre" w:cstheme="minorHAnsi"/>
          <w:sz w:val="20"/>
          <w:szCs w:val="20"/>
        </w:rPr>
        <w:t xml:space="preserve"> </w:t>
      </w:r>
    </w:p>
    <w:p w14:paraId="6AF7052C" w14:textId="77777777" w:rsidR="00675C95" w:rsidRPr="00675C95" w:rsidRDefault="00675C95" w:rsidP="00675C95">
      <w:pPr>
        <w:pStyle w:val="BodyText"/>
        <w:rPr>
          <w:rFonts w:ascii="Calibre" w:hAnsi="Calibre" w:cstheme="minorHAnsi"/>
          <w:sz w:val="20"/>
          <w:szCs w:val="20"/>
        </w:rPr>
      </w:pPr>
    </w:p>
    <w:p w14:paraId="3C43B920" w14:textId="48B82E86"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Matthew B. Miles and A. Michael Huberman. </w:t>
      </w:r>
      <w:r w:rsidRPr="009E7EE3">
        <w:rPr>
          <w:rFonts w:ascii="Calibre" w:hAnsi="Calibre" w:cstheme="minorHAnsi"/>
          <w:i/>
          <w:iCs/>
          <w:sz w:val="20"/>
          <w:szCs w:val="20"/>
        </w:rPr>
        <w:t>Qualitative data analysis : an expanded sourcebook.</w:t>
      </w:r>
      <w:r w:rsidRPr="00675C95">
        <w:rPr>
          <w:rFonts w:ascii="Calibre" w:hAnsi="Calibre" w:cstheme="minorHAnsi"/>
          <w:sz w:val="20"/>
          <w:szCs w:val="20"/>
        </w:rPr>
        <w:t xml:space="preserve"> Sage Publications, Thousand</w:t>
      </w:r>
      <w:r>
        <w:rPr>
          <w:rFonts w:ascii="Calibre" w:hAnsi="Calibre" w:cstheme="minorHAnsi"/>
          <w:sz w:val="20"/>
          <w:szCs w:val="20"/>
        </w:rPr>
        <w:t xml:space="preserve"> </w:t>
      </w:r>
      <w:r w:rsidRPr="00675C95">
        <w:rPr>
          <w:rFonts w:ascii="Calibre" w:hAnsi="Calibre" w:cstheme="minorHAnsi"/>
          <w:sz w:val="20"/>
          <w:szCs w:val="20"/>
        </w:rPr>
        <w:t>Oaks, 2nd edition, 1994.</w:t>
      </w:r>
    </w:p>
    <w:p w14:paraId="3FFFDCD7" w14:textId="77777777" w:rsidR="00675C95" w:rsidRPr="00675C95" w:rsidRDefault="00675C95" w:rsidP="00675C95">
      <w:pPr>
        <w:pStyle w:val="BodyText"/>
        <w:rPr>
          <w:rFonts w:ascii="Calibre" w:hAnsi="Calibre" w:cstheme="minorHAnsi"/>
          <w:sz w:val="20"/>
          <w:szCs w:val="20"/>
        </w:rPr>
      </w:pPr>
    </w:p>
    <w:p w14:paraId="66429ED9" w14:textId="5245B889"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James Reynolds and Graham Currie. </w:t>
      </w:r>
      <w:r w:rsidRPr="009E7EE3">
        <w:rPr>
          <w:rFonts w:ascii="Calibre" w:hAnsi="Calibre" w:cstheme="minorHAnsi"/>
          <w:i/>
          <w:iCs/>
          <w:sz w:val="20"/>
          <w:szCs w:val="20"/>
        </w:rPr>
        <w:t>New approaches and insights to managing on-road public transport priority</w:t>
      </w:r>
      <w:r w:rsidRPr="00675C95">
        <w:rPr>
          <w:rFonts w:ascii="Calibre" w:hAnsi="Calibre" w:cstheme="minorHAnsi"/>
          <w:sz w:val="20"/>
          <w:szCs w:val="20"/>
        </w:rPr>
        <w:t>, chapter 10,</w:t>
      </w:r>
      <w:r>
        <w:rPr>
          <w:rFonts w:ascii="Calibre" w:hAnsi="Calibre" w:cstheme="minorHAnsi"/>
          <w:sz w:val="20"/>
          <w:szCs w:val="20"/>
        </w:rPr>
        <w:t xml:space="preserve"> </w:t>
      </w:r>
      <w:r w:rsidRPr="00675C95">
        <w:rPr>
          <w:rFonts w:ascii="Calibre" w:hAnsi="Calibre" w:cstheme="minorHAnsi"/>
          <w:sz w:val="20"/>
          <w:szCs w:val="20"/>
        </w:rPr>
        <w:t>pages 172–201. Edward Elgar Publishing Limited, Cheltenham, UK, 2021. doi: 10.4337/9781788978668.00017.</w:t>
      </w:r>
    </w:p>
    <w:p w14:paraId="45E67455" w14:textId="77777777" w:rsidR="00675C95" w:rsidRPr="00675C95" w:rsidRDefault="00675C95" w:rsidP="00675C95">
      <w:pPr>
        <w:pStyle w:val="BodyText"/>
        <w:rPr>
          <w:rFonts w:ascii="Calibre" w:hAnsi="Calibre" w:cstheme="minorHAnsi"/>
          <w:sz w:val="20"/>
          <w:szCs w:val="20"/>
        </w:rPr>
      </w:pPr>
    </w:p>
    <w:p w14:paraId="7956D7E0" w14:textId="258A7FBC"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Anastasia Roukouni, Inés Aquilué Junyent, Miquel Martí Casanovas, and Gonçalo Homem de Almeida Correia. </w:t>
      </w:r>
      <w:r w:rsidRPr="009E7EE3">
        <w:rPr>
          <w:rFonts w:ascii="Calibre" w:hAnsi="Calibre" w:cstheme="minorHAnsi"/>
          <w:i/>
          <w:iCs/>
          <w:sz w:val="20"/>
          <w:szCs w:val="20"/>
        </w:rPr>
        <w:t>An analysis of the emerging “shared mobility hub” concept in european cities: Definition and a proposed typology</w:t>
      </w:r>
      <w:r w:rsidRPr="00675C95">
        <w:rPr>
          <w:rFonts w:ascii="Calibre" w:hAnsi="Calibre" w:cstheme="minorHAnsi"/>
          <w:sz w:val="20"/>
          <w:szCs w:val="20"/>
        </w:rPr>
        <w:t>. Sustainability</w:t>
      </w:r>
      <w:r>
        <w:rPr>
          <w:rFonts w:ascii="Calibre" w:hAnsi="Calibre" w:cstheme="minorHAnsi"/>
          <w:sz w:val="20"/>
          <w:szCs w:val="20"/>
        </w:rPr>
        <w:t xml:space="preserve"> </w:t>
      </w:r>
      <w:r w:rsidRPr="00675C95">
        <w:rPr>
          <w:rFonts w:ascii="Calibre" w:hAnsi="Calibre" w:cstheme="minorHAnsi"/>
          <w:sz w:val="20"/>
          <w:szCs w:val="20"/>
        </w:rPr>
        <w:t>(Switzerland), 15(6), 2023. doi: 10.3390/su15065222.</w:t>
      </w:r>
    </w:p>
    <w:p w14:paraId="085E4C69" w14:textId="77777777" w:rsidR="00675C95" w:rsidRPr="00675C95" w:rsidRDefault="00675C95" w:rsidP="00675C95">
      <w:pPr>
        <w:pStyle w:val="BodyText"/>
        <w:rPr>
          <w:rFonts w:ascii="Calibre" w:hAnsi="Calibre" w:cstheme="minorHAnsi"/>
          <w:sz w:val="20"/>
          <w:szCs w:val="20"/>
        </w:rPr>
      </w:pPr>
    </w:p>
    <w:p w14:paraId="2BBA86C3" w14:textId="791FE12B"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Lisa Salsberg, Abril Novoa Camino, David Sajecki, and Joshua B. Engel-Yan. </w:t>
      </w:r>
      <w:r w:rsidRPr="009E7EE3">
        <w:rPr>
          <w:rFonts w:ascii="Calibre" w:hAnsi="Calibre" w:cstheme="minorHAnsi"/>
          <w:i/>
          <w:iCs/>
          <w:sz w:val="20"/>
          <w:szCs w:val="20"/>
        </w:rPr>
        <w:t>Planning for mobility hubs: Creating great transit places</w:t>
      </w:r>
      <w:r w:rsidRPr="00675C95">
        <w:rPr>
          <w:rFonts w:ascii="Calibre" w:hAnsi="Calibre" w:cstheme="minorHAnsi"/>
          <w:sz w:val="20"/>
          <w:szCs w:val="20"/>
        </w:rPr>
        <w:t xml:space="preserve">. Transportation Association of Canada (TAC), 2010. </w:t>
      </w:r>
    </w:p>
    <w:p w14:paraId="53A06392" w14:textId="77777777" w:rsidR="00675C95" w:rsidRPr="00675C95" w:rsidRDefault="00675C95" w:rsidP="00675C95">
      <w:pPr>
        <w:pStyle w:val="BodyText"/>
        <w:rPr>
          <w:rFonts w:ascii="Calibre" w:hAnsi="Calibre" w:cstheme="minorHAnsi"/>
          <w:sz w:val="20"/>
          <w:szCs w:val="20"/>
        </w:rPr>
      </w:pPr>
    </w:p>
    <w:p w14:paraId="7B3AEAE9" w14:textId="5F746909" w:rsidR="00675C95" w:rsidRDefault="00675C95" w:rsidP="00675C95">
      <w:pPr>
        <w:pStyle w:val="BodyText"/>
        <w:rPr>
          <w:rFonts w:ascii="Calibre" w:hAnsi="Calibre" w:cstheme="minorHAnsi"/>
          <w:sz w:val="20"/>
          <w:szCs w:val="20"/>
        </w:rPr>
      </w:pPr>
      <w:r w:rsidRPr="00675C95">
        <w:rPr>
          <w:rFonts w:ascii="Calibre" w:hAnsi="Calibre" w:cstheme="minorHAnsi"/>
          <w:sz w:val="20"/>
          <w:szCs w:val="20"/>
        </w:rPr>
        <w:t xml:space="preserve">TRIP - Centre for Transport Research and Innovation for People. </w:t>
      </w:r>
      <w:r w:rsidRPr="009E7EE3">
        <w:rPr>
          <w:rFonts w:ascii="Calibre" w:hAnsi="Calibre" w:cstheme="minorHAnsi"/>
          <w:i/>
          <w:iCs/>
          <w:sz w:val="20"/>
          <w:szCs w:val="20"/>
        </w:rPr>
        <w:t>ROBUST: Electric shaRed mOBility hUbS Trial</w:t>
      </w:r>
      <w:r w:rsidRPr="00675C95">
        <w:rPr>
          <w:rFonts w:ascii="Calibre" w:hAnsi="Calibre" w:cstheme="minorHAnsi"/>
          <w:sz w:val="20"/>
          <w:szCs w:val="20"/>
        </w:rPr>
        <w:t xml:space="preserve">, 2025. URL </w:t>
      </w:r>
      <w:hyperlink r:id="rId17" w:history="1">
        <w:r w:rsidR="009E7EE3" w:rsidRPr="00E6261B">
          <w:rPr>
            <w:rStyle w:val="Hyperlink"/>
            <w:rFonts w:ascii="Calibre" w:hAnsi="Calibre" w:cstheme="minorHAnsi"/>
            <w:sz w:val="20"/>
            <w:szCs w:val="20"/>
          </w:rPr>
          <w:t>https://www.tcd.ie/transport-research/our-research/research-projects/ROBUST-electric-sharedmobility-hubs-trial/</w:t>
        </w:r>
      </w:hyperlink>
    </w:p>
    <w:p w14:paraId="74BBFE6D" w14:textId="77777777" w:rsidR="009E7EE3" w:rsidRPr="00675C95" w:rsidRDefault="009E7EE3" w:rsidP="00675C95">
      <w:pPr>
        <w:pStyle w:val="BodyText"/>
        <w:rPr>
          <w:rFonts w:ascii="Calibre" w:hAnsi="Calibre" w:cstheme="minorHAnsi"/>
          <w:sz w:val="20"/>
          <w:szCs w:val="20"/>
        </w:rPr>
      </w:pPr>
    </w:p>
    <w:p w14:paraId="1E52DC5D" w14:textId="380EC6B6" w:rsidR="00675C95" w:rsidRPr="009E7EE3" w:rsidRDefault="00675C95" w:rsidP="00675C95">
      <w:pPr>
        <w:pStyle w:val="BodyText"/>
        <w:rPr>
          <w:rFonts w:ascii="Calibre" w:hAnsi="Calibre" w:cstheme="minorHAnsi"/>
          <w:sz w:val="20"/>
          <w:szCs w:val="20"/>
          <w:lang w:val="en-IE"/>
        </w:rPr>
      </w:pPr>
      <w:r w:rsidRPr="00675C95">
        <w:rPr>
          <w:rFonts w:ascii="Calibre" w:hAnsi="Calibre" w:cstheme="minorHAnsi"/>
          <w:sz w:val="20"/>
          <w:szCs w:val="20"/>
        </w:rPr>
        <w:t xml:space="preserve">UK Design Council. </w:t>
      </w:r>
      <w:r w:rsidRPr="009E7EE3">
        <w:rPr>
          <w:rFonts w:ascii="Calibre" w:hAnsi="Calibre" w:cstheme="minorHAnsi"/>
          <w:i/>
          <w:iCs/>
          <w:sz w:val="20"/>
          <w:szCs w:val="20"/>
        </w:rPr>
        <w:t xml:space="preserve">The </w:t>
      </w:r>
      <w:r w:rsidR="009E7EE3">
        <w:rPr>
          <w:rFonts w:ascii="Calibre" w:hAnsi="Calibre" w:cstheme="minorHAnsi"/>
          <w:i/>
          <w:iCs/>
          <w:sz w:val="20"/>
          <w:szCs w:val="20"/>
        </w:rPr>
        <w:t>D</w:t>
      </w:r>
      <w:r w:rsidRPr="009E7EE3">
        <w:rPr>
          <w:rFonts w:ascii="Calibre" w:hAnsi="Calibre" w:cstheme="minorHAnsi"/>
          <w:i/>
          <w:iCs/>
          <w:sz w:val="20"/>
          <w:szCs w:val="20"/>
        </w:rPr>
        <w:t xml:space="preserve">ouble </w:t>
      </w:r>
      <w:r w:rsidR="009E7EE3">
        <w:rPr>
          <w:rFonts w:ascii="Calibre" w:hAnsi="Calibre" w:cstheme="minorHAnsi"/>
          <w:i/>
          <w:iCs/>
          <w:sz w:val="20"/>
          <w:szCs w:val="20"/>
        </w:rPr>
        <w:t>D</w:t>
      </w:r>
      <w:r w:rsidRPr="009E7EE3">
        <w:rPr>
          <w:rFonts w:ascii="Calibre" w:hAnsi="Calibre" w:cstheme="minorHAnsi"/>
          <w:i/>
          <w:iCs/>
          <w:sz w:val="20"/>
          <w:szCs w:val="20"/>
        </w:rPr>
        <w:t>iamond</w:t>
      </w:r>
      <w:r w:rsidRPr="00675C95">
        <w:rPr>
          <w:rFonts w:ascii="Calibre" w:hAnsi="Calibre" w:cstheme="minorHAnsi"/>
          <w:sz w:val="20"/>
          <w:szCs w:val="20"/>
        </w:rPr>
        <w:t xml:space="preserve">. undated. </w:t>
      </w:r>
      <w:r w:rsidRPr="009E7EE3">
        <w:rPr>
          <w:rFonts w:ascii="Calibre" w:hAnsi="Calibre" w:cstheme="minorHAnsi"/>
          <w:sz w:val="20"/>
          <w:szCs w:val="20"/>
          <w:lang w:val="en-IE"/>
        </w:rPr>
        <w:t xml:space="preserve">URL </w:t>
      </w:r>
      <w:hyperlink r:id="rId18" w:history="1">
        <w:r w:rsidR="009E7EE3" w:rsidRPr="009E7EE3">
          <w:rPr>
            <w:rStyle w:val="Hyperlink"/>
            <w:rFonts w:ascii="Calibre" w:hAnsi="Calibre" w:cstheme="minorHAnsi"/>
            <w:sz w:val="20"/>
            <w:szCs w:val="20"/>
            <w:lang w:val="en-IE"/>
          </w:rPr>
          <w:t>https://www.designcouncil.org.uk/our-resources/the-doublediamond/</w:t>
        </w:r>
      </w:hyperlink>
      <w:r w:rsidR="009E7EE3" w:rsidRPr="009E7EE3">
        <w:rPr>
          <w:rFonts w:ascii="Calibre" w:hAnsi="Calibre" w:cstheme="minorHAnsi"/>
          <w:sz w:val="20"/>
          <w:szCs w:val="20"/>
          <w:lang w:val="en-IE"/>
        </w:rPr>
        <w:t xml:space="preserve"> </w:t>
      </w:r>
    </w:p>
    <w:p w14:paraId="79478D4D" w14:textId="77777777" w:rsidR="009E7EE3" w:rsidRPr="009E7EE3" w:rsidRDefault="009E7EE3" w:rsidP="00675C95">
      <w:pPr>
        <w:pStyle w:val="BodyText"/>
        <w:rPr>
          <w:rFonts w:ascii="Calibre" w:hAnsi="Calibre" w:cstheme="minorHAnsi"/>
          <w:sz w:val="20"/>
          <w:szCs w:val="20"/>
          <w:lang w:val="en-IE"/>
        </w:rPr>
      </w:pPr>
    </w:p>
    <w:p w14:paraId="4842220F" w14:textId="04AEF589" w:rsidR="009E7EE3" w:rsidRPr="007F4B17" w:rsidRDefault="00675C95" w:rsidP="00675C95">
      <w:pPr>
        <w:pStyle w:val="BodyText"/>
        <w:rPr>
          <w:rFonts w:ascii="Calibre" w:hAnsi="Calibre" w:cstheme="minorHAnsi"/>
          <w:sz w:val="20"/>
          <w:szCs w:val="20"/>
          <w:lang w:val="en-IE"/>
        </w:rPr>
      </w:pPr>
      <w:r w:rsidRPr="009E7EE3">
        <w:rPr>
          <w:rFonts w:ascii="Calibre" w:hAnsi="Calibre" w:cstheme="minorHAnsi"/>
          <w:sz w:val="20"/>
          <w:szCs w:val="20"/>
          <w:lang w:val="en-IE"/>
        </w:rPr>
        <w:t xml:space="preserve">Hadley Wickham and Jennifer Bryan. </w:t>
      </w:r>
      <w:r w:rsidRPr="00C50E48">
        <w:rPr>
          <w:rFonts w:ascii="Calibre" w:hAnsi="Calibre" w:cstheme="minorHAnsi"/>
          <w:i/>
          <w:iCs/>
          <w:sz w:val="20"/>
          <w:szCs w:val="20"/>
        </w:rPr>
        <w:t>R packages</w:t>
      </w:r>
      <w:r w:rsidRPr="00675C95">
        <w:rPr>
          <w:rFonts w:ascii="Calibre" w:hAnsi="Calibre" w:cstheme="minorHAnsi"/>
          <w:sz w:val="20"/>
          <w:szCs w:val="20"/>
        </w:rPr>
        <w:t xml:space="preserve">. </w:t>
      </w:r>
      <w:r w:rsidRPr="007F4B17">
        <w:rPr>
          <w:rFonts w:ascii="Calibre" w:hAnsi="Calibre" w:cstheme="minorHAnsi"/>
          <w:sz w:val="20"/>
          <w:szCs w:val="20"/>
          <w:lang w:val="en-IE"/>
        </w:rPr>
        <w:t>"O</w:t>
      </w:r>
      <w:r w:rsidRPr="007F4B17">
        <w:rPr>
          <w:rFonts w:ascii="Calibre" w:hAnsi="Calibre" w:cstheme="minorHAnsi" w:hint="eastAsia"/>
          <w:sz w:val="20"/>
          <w:szCs w:val="20"/>
          <w:lang w:val="en-IE"/>
        </w:rPr>
        <w:t>’</w:t>
      </w:r>
      <w:r w:rsidRPr="007F4B17">
        <w:rPr>
          <w:rFonts w:ascii="Calibre" w:hAnsi="Calibre" w:cstheme="minorHAnsi"/>
          <w:sz w:val="20"/>
          <w:szCs w:val="20"/>
          <w:lang w:val="en-IE"/>
        </w:rPr>
        <w:t xml:space="preserve">Reilly Media, Inc.", 2023. URL </w:t>
      </w:r>
      <w:hyperlink r:id="rId19" w:history="1">
        <w:r w:rsidR="009E7EE3" w:rsidRPr="007F4B17">
          <w:rPr>
            <w:rStyle w:val="Hyperlink"/>
            <w:rFonts w:ascii="Calibre" w:hAnsi="Calibre" w:cstheme="minorHAnsi"/>
            <w:sz w:val="20"/>
            <w:szCs w:val="20"/>
            <w:lang w:val="en-IE"/>
          </w:rPr>
          <w:t>https://r-pkgs.org/</w:t>
        </w:r>
      </w:hyperlink>
      <w:r w:rsidR="009E7EE3" w:rsidRPr="007F4B17">
        <w:rPr>
          <w:rFonts w:ascii="Calibre" w:hAnsi="Calibre" w:cstheme="minorHAnsi"/>
          <w:sz w:val="20"/>
          <w:szCs w:val="20"/>
          <w:lang w:val="en-IE"/>
        </w:rPr>
        <w:t xml:space="preserve"> </w:t>
      </w:r>
    </w:p>
    <w:p w14:paraId="19313C7D" w14:textId="77777777" w:rsidR="009E7EE3" w:rsidRPr="007F4B17" w:rsidRDefault="009E7EE3" w:rsidP="00675C95">
      <w:pPr>
        <w:pStyle w:val="BodyText"/>
        <w:rPr>
          <w:rFonts w:ascii="Calibre" w:hAnsi="Calibre" w:cstheme="minorHAnsi"/>
          <w:sz w:val="20"/>
          <w:szCs w:val="20"/>
          <w:lang w:val="en-IE"/>
        </w:rPr>
      </w:pPr>
    </w:p>
    <w:p w14:paraId="748EF866" w14:textId="0489B7FA" w:rsidR="00CA1695" w:rsidRDefault="00675C95">
      <w:pPr>
        <w:pStyle w:val="BodyText"/>
      </w:pPr>
      <w:r w:rsidRPr="00675C95">
        <w:rPr>
          <w:rFonts w:ascii="Calibre" w:hAnsi="Calibre" w:cstheme="minorHAnsi"/>
          <w:sz w:val="20"/>
          <w:szCs w:val="20"/>
        </w:rPr>
        <w:t xml:space="preserve">Robert Yin. </w:t>
      </w:r>
      <w:r w:rsidRPr="00C50E48">
        <w:rPr>
          <w:rFonts w:ascii="Calibre" w:hAnsi="Calibre" w:cstheme="minorHAnsi"/>
          <w:i/>
          <w:iCs/>
          <w:sz w:val="20"/>
          <w:szCs w:val="20"/>
        </w:rPr>
        <w:t>Case study research and applications: design and methods</w:t>
      </w:r>
      <w:r w:rsidRPr="00675C95">
        <w:rPr>
          <w:rFonts w:ascii="Calibre" w:hAnsi="Calibre" w:cstheme="minorHAnsi"/>
          <w:sz w:val="20"/>
          <w:szCs w:val="20"/>
        </w:rPr>
        <w:t>. SAGE Publications, Inc., Thousand Oaks, CA, USA,</w:t>
      </w:r>
      <w:r w:rsidR="009E7EE3">
        <w:rPr>
          <w:rFonts w:ascii="Calibre" w:hAnsi="Calibre" w:cstheme="minorHAnsi"/>
          <w:sz w:val="20"/>
          <w:szCs w:val="20"/>
        </w:rPr>
        <w:t xml:space="preserve"> </w:t>
      </w:r>
      <w:r w:rsidRPr="00675C95">
        <w:rPr>
          <w:rFonts w:ascii="Calibre" w:hAnsi="Calibre" w:cstheme="minorHAnsi"/>
          <w:sz w:val="20"/>
          <w:szCs w:val="20"/>
        </w:rPr>
        <w:t>sixth edition, 2018.</w:t>
      </w:r>
      <w:r w:rsidR="00B4232A">
        <w:t xml:space="preserve"> </w:t>
      </w:r>
    </w:p>
    <w:sectPr w:rsidR="00CA1695">
      <w:headerReference w:type="even" r:id="rId20"/>
      <w:headerReference w:type="default" r:id="rId21"/>
      <w:footerReference w:type="even" r:id="rId22"/>
      <w:footerReference w:type="default" r:id="rId23"/>
      <w:headerReference w:type="first" r:id="rId24"/>
      <w:footerReference w:type="first" r:id="rId25"/>
      <w:pgSz w:w="11906" w:h="16838"/>
      <w:pgMar w:top="1701" w:right="1701" w:bottom="1134"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82E5" w14:textId="77777777" w:rsidR="00FD4D60" w:rsidRDefault="00FD4D60">
      <w:r>
        <w:separator/>
      </w:r>
    </w:p>
  </w:endnote>
  <w:endnote w:type="continuationSeparator" w:id="0">
    <w:p w14:paraId="4841F6D1" w14:textId="77777777" w:rsidR="00FD4D60" w:rsidRDefault="00FD4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libre">
    <w:altName w:val="Cambria"/>
    <w:panose1 w:val="020B0604020202020204"/>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B" w14:textId="77777777" w:rsidR="00CA1695" w:rsidRDefault="00CA16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C" w14:textId="77777777" w:rsidR="00CA1695" w:rsidRDefault="00CA1695">
    <w:pPr>
      <w:pStyle w:val="Footer"/>
      <w:jc w:val="right"/>
    </w:pPr>
  </w:p>
  <w:p w14:paraId="748EF86D" w14:textId="77777777" w:rsidR="00CA1695" w:rsidRDefault="00CA1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F" w14:textId="77777777" w:rsidR="00CA1695" w:rsidRDefault="00CA1695">
    <w:pPr>
      <w:pStyle w:val="Footer"/>
      <w:jc w:val="right"/>
    </w:pPr>
  </w:p>
  <w:p w14:paraId="748EF870" w14:textId="77777777" w:rsidR="00CA1695" w:rsidRDefault="00CA1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5828" w14:textId="77777777" w:rsidR="00FD4D60" w:rsidRDefault="00FD4D60">
      <w:r>
        <w:separator/>
      </w:r>
    </w:p>
  </w:footnote>
  <w:footnote w:type="continuationSeparator" w:id="0">
    <w:p w14:paraId="19FD8741" w14:textId="77777777" w:rsidR="00FD4D60" w:rsidRDefault="00FD4D60">
      <w:r>
        <w:continuationSeparator/>
      </w:r>
    </w:p>
  </w:footnote>
  <w:footnote w:id="1">
    <w:p w14:paraId="1FA0088A" w14:textId="7699F995" w:rsidR="004B70EA" w:rsidRPr="0052064B" w:rsidRDefault="004B70EA">
      <w:pPr>
        <w:pStyle w:val="FootnoteText"/>
        <w:rPr>
          <w:lang w:val="en-AU"/>
        </w:rPr>
      </w:pPr>
      <w:r>
        <w:rPr>
          <w:rStyle w:val="FootnoteReference"/>
        </w:rPr>
        <w:footnoteRef/>
      </w:r>
      <w:r>
        <w:t xml:space="preserve"> </w:t>
      </w:r>
      <w:r w:rsidR="00BD13FA">
        <w:t xml:space="preserve">CoMoUK (2019) notes examples of “a strong brand on the signage across a network that will help to raise the profile of the </w:t>
      </w:r>
      <w:r w:rsidR="00882953">
        <w:t>mobility</w:t>
      </w:r>
      <w:r w:rsidR="00BD13FA">
        <w:t xml:space="preserve"> hubs, provide a uniform identity and promote a shift to a multi-modal lifestyle”, including the Belgium </w:t>
      </w:r>
      <w:r w:rsidR="00882953">
        <w:t xml:space="preserve">Mobi-Punt. They also highlight the development of a similar nation-wide branding, signage and wayfinding approach for the UK as a direction for further work, but we are not aware of this having been published to date. </w:t>
      </w:r>
    </w:p>
  </w:footnote>
  <w:footnote w:id="2">
    <w:p w14:paraId="13CFDEA3" w14:textId="15E46B8C" w:rsidR="00E34E03" w:rsidRDefault="009200FC" w:rsidP="00E34E03">
      <w:pPr>
        <w:pStyle w:val="FootnoteText"/>
      </w:pPr>
      <w:r>
        <w:rPr>
          <w:rStyle w:val="FootnoteReference"/>
        </w:rPr>
        <w:footnoteRef/>
      </w:r>
      <w:r>
        <w:t xml:space="preserve"> </w:t>
      </w:r>
      <w:r w:rsidR="00E34E03">
        <w:t>More formally, the (null) hypothesis tested in this study is that it is not possible to develop software tools for generating</w:t>
      </w:r>
    </w:p>
    <w:p w14:paraId="79F5935E" w14:textId="289CC917" w:rsidR="009200FC" w:rsidRPr="009200FC" w:rsidRDefault="00E34E03" w:rsidP="00E34E03">
      <w:pPr>
        <w:pStyle w:val="FootnoteText"/>
        <w:rPr>
          <w:lang w:val="en-IE"/>
        </w:rPr>
      </w:pPr>
      <w:r>
        <w:t>mobility hub information displays that reflect best practices and are generally applicable to other sites.</w:t>
      </w:r>
    </w:p>
  </w:footnote>
  <w:footnote w:id="3">
    <w:p w14:paraId="782C9250" w14:textId="7C76DFE7" w:rsidR="005724EC" w:rsidRPr="005724EC" w:rsidRDefault="005724EC" w:rsidP="005724EC">
      <w:pPr>
        <w:pStyle w:val="FootnoteText"/>
        <w:rPr>
          <w:lang w:val="en-IE"/>
        </w:rPr>
      </w:pPr>
      <w:r>
        <w:rPr>
          <w:rStyle w:val="FootnoteReference"/>
        </w:rPr>
        <w:footnoteRef/>
      </w:r>
      <w:r>
        <w:t xml:space="preserve"> The unit of analysis was the implementing agency / location. Within each case a small number of mobility hubs were visited to allow for within-case comparison. These were: (Redbridge) South Woodford and High Street, Wanstead; (Camden) Goldington Crescent, and Doric Way; (Bristol) Abbey Wood, UWE Frenchay, and Gainsborough Square; and (Birmingham) Huntingtree Park and Andrew Road.</w:t>
      </w:r>
    </w:p>
  </w:footnote>
  <w:footnote w:id="4">
    <w:p w14:paraId="3B342490" w14:textId="486F293B" w:rsidR="005724EC" w:rsidRPr="005724EC" w:rsidRDefault="005724EC" w:rsidP="00961901">
      <w:pPr>
        <w:pStyle w:val="FootnoteText"/>
        <w:rPr>
          <w:lang w:val="en-IE"/>
        </w:rPr>
      </w:pPr>
      <w:r>
        <w:rPr>
          <w:rStyle w:val="FootnoteReference"/>
        </w:rPr>
        <w:footnoteRef/>
      </w:r>
      <w:r>
        <w:t xml:space="preserve"> </w:t>
      </w:r>
      <w:r w:rsidR="00961901">
        <w:t xml:space="preserve">These iterations were tracked using the Git version control system, and code used in the production of this paper is available at </w:t>
      </w:r>
      <w:hyperlink r:id="rId1" w:history="1">
        <w:r w:rsidR="00961901" w:rsidRPr="00E6261B">
          <w:rPr>
            <w:rStyle w:val="Hyperlink"/>
          </w:rPr>
          <w:t>https://github.com/James-Reynolds/WP5_mobilityHubTools_papers/blob/main/ReynoldsEtAl2026_CERC.Rmd</w:t>
        </w:r>
      </w:hyperlink>
      <w:r w:rsidR="00961901">
        <w:t xml:space="preserve">.The software package itself is available at </w:t>
      </w:r>
      <w:hyperlink r:id="rId2" w:history="1">
        <w:r w:rsidR="00961901" w:rsidRPr="00E6261B">
          <w:rPr>
            <w:rStyle w:val="Hyperlink"/>
          </w:rPr>
          <w:t>https://github.com/James-Reynolds/mobilityHubTools</w:t>
        </w:r>
      </w:hyperlink>
      <w:r w:rsidR="00961901">
        <w:t>, and is expected to be developed further during later parts of the ROBUST project.</w:t>
      </w:r>
    </w:p>
  </w:footnote>
  <w:footnote w:id="5">
    <w:p w14:paraId="320F637B" w14:textId="3BBDFBA6" w:rsidR="00DF799B" w:rsidRPr="00DF799B" w:rsidRDefault="00DF799B">
      <w:pPr>
        <w:pStyle w:val="FootnoteText"/>
        <w:rPr>
          <w:lang w:val="en-IE"/>
        </w:rPr>
      </w:pPr>
      <w:r>
        <w:rPr>
          <w:rStyle w:val="FootnoteReference"/>
        </w:rPr>
        <w:footnoteRef/>
      </w:r>
      <w:r>
        <w:t xml:space="preserve"> </w:t>
      </w:r>
      <w:r w:rsidR="00BC5307" w:rsidRPr="00BC5307">
        <w:t xml:space="preserve">See </w:t>
      </w:r>
      <w:hyperlink r:id="rId3" w:history="1">
        <w:r w:rsidR="00BC5307" w:rsidRPr="00E6261B">
          <w:rPr>
            <w:rStyle w:val="Hyperlink"/>
          </w:rPr>
          <w:t>https://github.com/James-Reynolds/WP5_mobilityHubTools_papers/tree/main/results</w:t>
        </w:r>
      </w:hyperlink>
      <w:r w:rsidR="00BC5307">
        <w:t xml:space="preserve"> </w:t>
      </w:r>
    </w:p>
  </w:footnote>
  <w:footnote w:id="6">
    <w:p w14:paraId="043D3968" w14:textId="6B8DAACD" w:rsidR="00AF1C07" w:rsidRPr="00AF1C07" w:rsidRDefault="00AF1C07" w:rsidP="00AF1C07">
      <w:pPr>
        <w:pStyle w:val="FootnoteText"/>
        <w:rPr>
          <w:lang w:val="en-IE"/>
        </w:rPr>
      </w:pPr>
      <w:r>
        <w:rPr>
          <w:rStyle w:val="FootnoteReference"/>
        </w:rPr>
        <w:footnoteRef/>
      </w:r>
      <w:r>
        <w:t xml:space="preserve"> More formally, these results disprove the (null) hypothesis tested in this paper, by showing that it is possible to develop software to produce mobility hub information displays using OSM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9" w14:textId="11C9F1D8" w:rsidR="00CA1695" w:rsidRDefault="001B1CF0">
    <w:pPr>
      <w:pStyle w:val="Header"/>
      <w:ind w:right="360"/>
    </w:pPr>
    <w:r>
      <w:rPr>
        <w:noProof/>
      </w:rPr>
      <mc:AlternateContent>
        <mc:Choice Requires="wps">
          <w:drawing>
            <wp:anchor distT="0" distB="0" distL="0" distR="0" simplePos="0" relativeHeight="251657728" behindDoc="1" locked="0" layoutInCell="0" allowOverlap="1" wp14:anchorId="081BC926" wp14:editId="60D2CB31">
              <wp:simplePos x="0" y="0"/>
              <wp:positionH relativeFrom="margin">
                <wp:align>right</wp:align>
              </wp:positionH>
              <wp:positionV relativeFrom="paragraph">
                <wp:posOffset>635</wp:posOffset>
              </wp:positionV>
              <wp:extent cx="14605" cy="14605"/>
              <wp:effectExtent l="0" t="0" r="4445" b="0"/>
              <wp:wrapSquare wrapText="bothSides"/>
              <wp:docPr id="10084554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748EF873" w14:textId="77777777" w:rsidR="00CA1695" w:rsidRDefault="00B4232A">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81BC926" id="Rectangle 1" o:spid="_x0000_s1026" style="position:absolute;margin-left:-50.05pt;margin-top:.05pt;width:1.15pt;height:1.1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748EF873" w14:textId="77777777" w:rsidR="00CA1695" w:rsidRDefault="00B4232A">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A" w14:textId="77777777" w:rsidR="00CA1695" w:rsidRDefault="00CA169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86E" w14:textId="77777777" w:rsidR="00CA1695" w:rsidRDefault="00CA1695">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95"/>
    <w:rsid w:val="000250C7"/>
    <w:rsid w:val="00030423"/>
    <w:rsid w:val="00050A70"/>
    <w:rsid w:val="00065D5F"/>
    <w:rsid w:val="000702F7"/>
    <w:rsid w:val="00081CA4"/>
    <w:rsid w:val="00085780"/>
    <w:rsid w:val="000F72BA"/>
    <w:rsid w:val="001026F3"/>
    <w:rsid w:val="00157A8A"/>
    <w:rsid w:val="001B1CF0"/>
    <w:rsid w:val="001C6A0D"/>
    <w:rsid w:val="00200BD4"/>
    <w:rsid w:val="002032AD"/>
    <w:rsid w:val="00234E3D"/>
    <w:rsid w:val="0025306B"/>
    <w:rsid w:val="00277030"/>
    <w:rsid w:val="002B043C"/>
    <w:rsid w:val="002D634A"/>
    <w:rsid w:val="002F3C13"/>
    <w:rsid w:val="00307D32"/>
    <w:rsid w:val="00317E71"/>
    <w:rsid w:val="003308E9"/>
    <w:rsid w:val="00333D8A"/>
    <w:rsid w:val="00354178"/>
    <w:rsid w:val="00375089"/>
    <w:rsid w:val="003804F6"/>
    <w:rsid w:val="00392F76"/>
    <w:rsid w:val="003F157D"/>
    <w:rsid w:val="003F3EFB"/>
    <w:rsid w:val="0042327F"/>
    <w:rsid w:val="00437FAD"/>
    <w:rsid w:val="00464760"/>
    <w:rsid w:val="00466846"/>
    <w:rsid w:val="004670B7"/>
    <w:rsid w:val="0049297E"/>
    <w:rsid w:val="004943A8"/>
    <w:rsid w:val="004A21EB"/>
    <w:rsid w:val="004B70EA"/>
    <w:rsid w:val="004D2788"/>
    <w:rsid w:val="00500A2B"/>
    <w:rsid w:val="0052064B"/>
    <w:rsid w:val="005417AD"/>
    <w:rsid w:val="00542439"/>
    <w:rsid w:val="005478A6"/>
    <w:rsid w:val="005724EC"/>
    <w:rsid w:val="00587412"/>
    <w:rsid w:val="005A3BAF"/>
    <w:rsid w:val="005B56D7"/>
    <w:rsid w:val="00627EE1"/>
    <w:rsid w:val="00675C95"/>
    <w:rsid w:val="0067777F"/>
    <w:rsid w:val="00697FED"/>
    <w:rsid w:val="006D09FF"/>
    <w:rsid w:val="00717708"/>
    <w:rsid w:val="00737DA4"/>
    <w:rsid w:val="00763950"/>
    <w:rsid w:val="00784E4A"/>
    <w:rsid w:val="00795028"/>
    <w:rsid w:val="007B388A"/>
    <w:rsid w:val="007F4B17"/>
    <w:rsid w:val="007F7DF4"/>
    <w:rsid w:val="00801997"/>
    <w:rsid w:val="00823199"/>
    <w:rsid w:val="0082758A"/>
    <w:rsid w:val="00862A47"/>
    <w:rsid w:val="00882078"/>
    <w:rsid w:val="00882953"/>
    <w:rsid w:val="008E48CF"/>
    <w:rsid w:val="008F0F77"/>
    <w:rsid w:val="00905511"/>
    <w:rsid w:val="00912B2E"/>
    <w:rsid w:val="009200FC"/>
    <w:rsid w:val="00931F9F"/>
    <w:rsid w:val="00951A8B"/>
    <w:rsid w:val="00961901"/>
    <w:rsid w:val="00963F45"/>
    <w:rsid w:val="00992B48"/>
    <w:rsid w:val="009A1ECF"/>
    <w:rsid w:val="009A72BE"/>
    <w:rsid w:val="009E7EE3"/>
    <w:rsid w:val="00A25615"/>
    <w:rsid w:val="00A47BD8"/>
    <w:rsid w:val="00A75386"/>
    <w:rsid w:val="00A813B9"/>
    <w:rsid w:val="00A8219A"/>
    <w:rsid w:val="00AA7D7A"/>
    <w:rsid w:val="00AC085B"/>
    <w:rsid w:val="00AE43F2"/>
    <w:rsid w:val="00AF1C07"/>
    <w:rsid w:val="00B20914"/>
    <w:rsid w:val="00B24ABF"/>
    <w:rsid w:val="00B2592E"/>
    <w:rsid w:val="00B32714"/>
    <w:rsid w:val="00B4232A"/>
    <w:rsid w:val="00B52737"/>
    <w:rsid w:val="00B609B3"/>
    <w:rsid w:val="00B715F5"/>
    <w:rsid w:val="00BC5307"/>
    <w:rsid w:val="00BD13FA"/>
    <w:rsid w:val="00BE0E0A"/>
    <w:rsid w:val="00C1633B"/>
    <w:rsid w:val="00C304C8"/>
    <w:rsid w:val="00C50E48"/>
    <w:rsid w:val="00CA1695"/>
    <w:rsid w:val="00CB1873"/>
    <w:rsid w:val="00CE2D93"/>
    <w:rsid w:val="00D176EA"/>
    <w:rsid w:val="00D41750"/>
    <w:rsid w:val="00D50AF0"/>
    <w:rsid w:val="00D74DA1"/>
    <w:rsid w:val="00D80979"/>
    <w:rsid w:val="00D90CAC"/>
    <w:rsid w:val="00DA3D14"/>
    <w:rsid w:val="00DB3A96"/>
    <w:rsid w:val="00DC6404"/>
    <w:rsid w:val="00DD61A7"/>
    <w:rsid w:val="00DF139C"/>
    <w:rsid w:val="00DF799B"/>
    <w:rsid w:val="00E32F8D"/>
    <w:rsid w:val="00E34E03"/>
    <w:rsid w:val="00E47FB2"/>
    <w:rsid w:val="00E76FF9"/>
    <w:rsid w:val="00E82AA9"/>
    <w:rsid w:val="00EA4B30"/>
    <w:rsid w:val="00ED625C"/>
    <w:rsid w:val="00F2679A"/>
    <w:rsid w:val="00F3793B"/>
    <w:rsid w:val="00F47190"/>
    <w:rsid w:val="00F56DEA"/>
    <w:rsid w:val="00F6217E"/>
    <w:rsid w:val="00F66CB1"/>
    <w:rsid w:val="00F71DD6"/>
    <w:rsid w:val="00FD4D60"/>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EF7F0"/>
  <w15:docId w15:val="{268A832E-6979-43AD-9903-6CE1B518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5B"/>
    <w:pPr>
      <w:keepLines/>
    </w:pPr>
    <w:rPr>
      <w:sz w:val="24"/>
      <w:szCs w:val="24"/>
      <w:lang w:val="en-GB" w:eastAsia="en-US"/>
    </w:rPr>
  </w:style>
  <w:style w:type="paragraph" w:styleId="Heading1">
    <w:name w:val="heading 1"/>
    <w:basedOn w:val="Normal"/>
    <w:next w:val="Normal"/>
    <w:qFormat/>
    <w:rsid w:val="0065775B"/>
    <w:pPr>
      <w:keepNext/>
      <w:jc w:val="both"/>
      <w:outlineLvl w:val="0"/>
    </w:pPr>
    <w:rPr>
      <w:i/>
      <w:iCs/>
    </w:rPr>
  </w:style>
  <w:style w:type="paragraph" w:styleId="Heading2">
    <w:name w:val="heading 2"/>
    <w:basedOn w:val="Normal"/>
    <w:next w:val="Normal"/>
    <w:qFormat/>
    <w:rsid w:val="0065775B"/>
    <w:pPr>
      <w:keepNext/>
      <w:outlineLvl w:val="1"/>
    </w:pPr>
    <w:rPr>
      <w:b/>
      <w:bCs/>
      <w:i/>
      <w:iCs/>
      <w:u w:val="single"/>
    </w:rPr>
  </w:style>
  <w:style w:type="paragraph" w:styleId="Heading3">
    <w:name w:val="heading 3"/>
    <w:basedOn w:val="Normal"/>
    <w:next w:val="Normal"/>
    <w:qFormat/>
    <w:rsid w:val="0065775B"/>
    <w:pPr>
      <w:keepNext/>
      <w:spacing w:before="240" w:after="60"/>
      <w:outlineLvl w:val="2"/>
    </w:pPr>
    <w:rPr>
      <w:rFonts w:ascii="Arial" w:hAnsi="Arial" w:cs="Arial"/>
      <w:b/>
      <w:bCs/>
      <w:sz w:val="26"/>
      <w:szCs w:val="26"/>
    </w:rPr>
  </w:style>
  <w:style w:type="paragraph" w:styleId="Heading4">
    <w:name w:val="heading 4"/>
    <w:basedOn w:val="Normal"/>
    <w:next w:val="Normal"/>
    <w:qFormat/>
    <w:rsid w:val="0065775B"/>
    <w:pPr>
      <w:keepNext/>
      <w:spacing w:before="120"/>
      <w:jc w:val="both"/>
      <w:outlineLvl w:val="3"/>
    </w:pPr>
    <w:rPr>
      <w:b/>
      <w:bCs/>
    </w:rPr>
  </w:style>
  <w:style w:type="paragraph" w:styleId="Heading6">
    <w:name w:val="heading 6"/>
    <w:basedOn w:val="Normal"/>
    <w:next w:val="Normal"/>
    <w:link w:val="Heading6Char"/>
    <w:uiPriority w:val="9"/>
    <w:semiHidden/>
    <w:unhideWhenUsed/>
    <w:qFormat/>
    <w:rsid w:val="00542D9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65775B"/>
  </w:style>
  <w:style w:type="character" w:customStyle="1" w:styleId="Heading6Char">
    <w:name w:val="Heading 6 Char"/>
    <w:basedOn w:val="DefaultParagraphFont"/>
    <w:link w:val="Heading6"/>
    <w:uiPriority w:val="9"/>
    <w:semiHidden/>
    <w:qFormat/>
    <w:rsid w:val="00542D9A"/>
    <w:rPr>
      <w:rFonts w:ascii="Calibri" w:eastAsia="Times New Roman" w:hAnsi="Calibri" w:cs="Times New Roman"/>
      <w:b/>
      <w:bCs/>
      <w:sz w:val="22"/>
      <w:szCs w:val="22"/>
      <w:lang w:val="en-GB" w:eastAsia="en-US"/>
    </w:rPr>
  </w:style>
  <w:style w:type="character" w:customStyle="1" w:styleId="FooterChar">
    <w:name w:val="Footer Char"/>
    <w:basedOn w:val="DefaultParagraphFont"/>
    <w:link w:val="Footer"/>
    <w:uiPriority w:val="99"/>
    <w:qFormat/>
    <w:rsid w:val="001461F9"/>
    <w:rPr>
      <w:sz w:val="24"/>
      <w:szCs w:val="24"/>
      <w:lang w:val="en-GB" w:eastAsia="en-US"/>
    </w:rPr>
  </w:style>
  <w:style w:type="character" w:styleId="Hyperlink">
    <w:name w:val="Hyperlink"/>
    <w:basedOn w:val="DefaultParagraphFont"/>
    <w:uiPriority w:val="99"/>
    <w:unhideWhenUsed/>
    <w:rsid w:val="00111D1A"/>
    <w:rPr>
      <w:color w:val="0000FF"/>
      <w:u w:val="single"/>
    </w:rPr>
  </w:style>
  <w:style w:type="character" w:customStyle="1" w:styleId="BalloonTextChar">
    <w:name w:val="Balloon Text Char"/>
    <w:basedOn w:val="DefaultParagraphFont"/>
    <w:link w:val="BalloonText"/>
    <w:uiPriority w:val="99"/>
    <w:semiHidden/>
    <w:qFormat/>
    <w:rsid w:val="00A65F43"/>
    <w:rPr>
      <w:rFonts w:ascii="Tahoma" w:hAnsi="Tahoma" w:cs="Tahoma"/>
      <w:sz w:val="16"/>
      <w:szCs w:val="16"/>
      <w:lang w:val="en-GB" w:eastAsia="en-US"/>
    </w:rPr>
  </w:style>
  <w:style w:type="character" w:styleId="Strong">
    <w:name w:val="Strong"/>
    <w:qFormat/>
    <w:rPr>
      <w:b/>
      <w:bCs/>
    </w:rPr>
  </w:style>
  <w:style w:type="character" w:styleId="Emphasis">
    <w:name w:val="Emphasis"/>
    <w:qFormat/>
    <w:rPr>
      <w:i/>
      <w:iCs/>
    </w:rPr>
  </w:style>
  <w:style w:type="character" w:customStyle="1" w:styleId="Aufzhlungszeichen">
    <w:name w:val="Aufzählungszeichen"/>
    <w:qFormat/>
    <w:rPr>
      <w:rFonts w:ascii="OpenSymbol" w:eastAsia="OpenSymbol" w:hAnsi="OpenSymbol" w:cs="OpenSymbol"/>
    </w:rPr>
  </w:style>
  <w:style w:type="paragraph" w:customStyle="1" w:styleId="berschrift">
    <w:name w:val="Überschrift"/>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semiHidden/>
    <w:rsid w:val="0065775B"/>
    <w:pPr>
      <w:jc w:val="both"/>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Verzeichnis">
    <w:name w:val="Verzeichnis"/>
    <w:basedOn w:val="Normal"/>
    <w:qFormat/>
    <w:pPr>
      <w:suppressLineNumbers/>
    </w:pPr>
    <w:rPr>
      <w:rFonts w:cs="Noto Sans Devanagari"/>
    </w:rPr>
  </w:style>
  <w:style w:type="paragraph" w:customStyle="1" w:styleId="Kopf-Fuzeile">
    <w:name w:val="Kopf-/Fußzeile"/>
    <w:basedOn w:val="Normal"/>
    <w:qFormat/>
  </w:style>
  <w:style w:type="paragraph" w:styleId="Header">
    <w:name w:val="header"/>
    <w:basedOn w:val="Normal"/>
    <w:semiHidden/>
    <w:rsid w:val="0065775B"/>
    <w:pPr>
      <w:tabs>
        <w:tab w:val="center" w:pos="4153"/>
        <w:tab w:val="right" w:pos="8306"/>
      </w:tabs>
    </w:pPr>
  </w:style>
  <w:style w:type="paragraph" w:styleId="BodyText2">
    <w:name w:val="Body Text 2"/>
    <w:basedOn w:val="Normal"/>
    <w:semiHidden/>
    <w:qFormat/>
    <w:rsid w:val="0065775B"/>
    <w:pPr>
      <w:spacing w:before="120"/>
      <w:jc w:val="both"/>
    </w:pPr>
    <w:rPr>
      <w:i/>
      <w:iCs/>
    </w:rPr>
  </w:style>
  <w:style w:type="paragraph" w:customStyle="1" w:styleId="NameofAuthors">
    <w:name w:val="Name of Authors"/>
    <w:basedOn w:val="Normal"/>
    <w:uiPriority w:val="99"/>
    <w:qFormat/>
    <w:rsid w:val="009D1661"/>
    <w:pPr>
      <w:spacing w:after="240" w:line="280" w:lineRule="exact"/>
      <w:jc w:val="center"/>
    </w:pPr>
    <w:rPr>
      <w:i/>
      <w:iCs/>
      <w:lang w:val="en-US"/>
    </w:rPr>
  </w:style>
  <w:style w:type="paragraph" w:customStyle="1" w:styleId="Affiliation">
    <w:name w:val="Affiliation"/>
    <w:basedOn w:val="NameofAuthors"/>
    <w:uiPriority w:val="99"/>
    <w:qFormat/>
    <w:rsid w:val="009D1661"/>
    <w:rPr>
      <w:i w:val="0"/>
      <w:iCs w:val="0"/>
      <w:sz w:val="20"/>
      <w:szCs w:val="20"/>
      <w:lang w:val="en-IE"/>
    </w:rPr>
  </w:style>
  <w:style w:type="paragraph" w:customStyle="1" w:styleId="TitlePaper">
    <w:name w:val="Title Paper"/>
    <w:basedOn w:val="Heading1"/>
    <w:uiPriority w:val="99"/>
    <w:qFormat/>
    <w:rsid w:val="00542D9A"/>
    <w:pPr>
      <w:jc w:val="center"/>
    </w:pPr>
    <w:rPr>
      <w:b/>
      <w:bCs/>
      <w:i w:val="0"/>
      <w:iCs w:val="0"/>
      <w:caps/>
      <w:kern w:val="2"/>
      <w:sz w:val="28"/>
      <w:szCs w:val="28"/>
      <w:lang w:eastAsia="it-IT"/>
    </w:rPr>
  </w:style>
  <w:style w:type="paragraph" w:styleId="Footer">
    <w:name w:val="footer"/>
    <w:basedOn w:val="Normal"/>
    <w:link w:val="FooterChar"/>
    <w:uiPriority w:val="99"/>
    <w:unhideWhenUsed/>
    <w:rsid w:val="001461F9"/>
    <w:pPr>
      <w:tabs>
        <w:tab w:val="center" w:pos="4513"/>
        <w:tab w:val="right" w:pos="9026"/>
      </w:tabs>
    </w:pPr>
  </w:style>
  <w:style w:type="paragraph" w:styleId="BalloonText">
    <w:name w:val="Balloon Text"/>
    <w:basedOn w:val="Normal"/>
    <w:link w:val="BalloonTextChar"/>
    <w:uiPriority w:val="99"/>
    <w:semiHidden/>
    <w:unhideWhenUsed/>
    <w:qFormat/>
    <w:rsid w:val="00A65F43"/>
    <w:rPr>
      <w:rFonts w:ascii="Tahoma" w:hAnsi="Tahoma" w:cs="Tahoma"/>
      <w:sz w:val="16"/>
      <w:szCs w:val="16"/>
    </w:rPr>
  </w:style>
  <w:style w:type="paragraph" w:customStyle="1" w:styleId="Rahmeninhalt">
    <w:name w:val="Rahmeninhalt"/>
    <w:basedOn w:val="Normal"/>
    <w:qFormat/>
  </w:style>
  <w:style w:type="paragraph" w:customStyle="1" w:styleId="Tabelleninhalt">
    <w:name w:val="Tabelleninhalt"/>
    <w:basedOn w:val="Normal"/>
    <w:qFormat/>
    <w:pPr>
      <w:widowControl w:val="0"/>
      <w:suppressLineNumbers/>
    </w:pPr>
  </w:style>
  <w:style w:type="paragraph" w:customStyle="1" w:styleId="Tabellenberschrift">
    <w:name w:val="Tabellenüberschrift"/>
    <w:basedOn w:val="Tabelleninhalt"/>
    <w:qFormat/>
    <w:pPr>
      <w:jc w:val="center"/>
    </w:pPr>
    <w:rPr>
      <w:b/>
      <w:bCs/>
    </w:rPr>
  </w:style>
  <w:style w:type="paragraph" w:styleId="FootnoteText">
    <w:name w:val="footnote text"/>
    <w:basedOn w:val="Normal"/>
    <w:rPr>
      <w:sz w:val="16"/>
      <w:szCs w:val="20"/>
    </w:rPr>
  </w:style>
  <w:style w:type="numbering" w:customStyle="1" w:styleId="KeineListe">
    <w:name w:val="Keine Liste"/>
    <w:uiPriority w:val="99"/>
    <w:semiHidden/>
    <w:unhideWhenUsed/>
    <w:qFormat/>
  </w:style>
  <w:style w:type="table" w:styleId="TableGrid">
    <w:name w:val="Table Grid"/>
    <w:basedOn w:val="TableNormal"/>
    <w:uiPriority w:val="59"/>
    <w:rsid w:val="00E9256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804F6"/>
    <w:rPr>
      <w:color w:val="605E5C"/>
      <w:shd w:val="clear" w:color="auto" w:fill="E1DFDD"/>
    </w:rPr>
  </w:style>
  <w:style w:type="character" w:customStyle="1" w:styleId="BodyTextChar">
    <w:name w:val="Body Text Char"/>
    <w:basedOn w:val="DefaultParagraphFont"/>
    <w:link w:val="BodyText"/>
    <w:semiHidden/>
    <w:rsid w:val="003F157D"/>
    <w:rPr>
      <w:sz w:val="24"/>
      <w:szCs w:val="24"/>
      <w:lang w:val="en-GB" w:eastAsia="en-US"/>
    </w:rPr>
  </w:style>
  <w:style w:type="character" w:styleId="FootnoteReference">
    <w:name w:val="footnote reference"/>
    <w:basedOn w:val="DefaultParagraphFont"/>
    <w:uiPriority w:val="99"/>
    <w:semiHidden/>
    <w:unhideWhenUsed/>
    <w:rsid w:val="009200FC"/>
    <w:rPr>
      <w:vertAlign w:val="superscript"/>
    </w:rPr>
  </w:style>
  <w:style w:type="character" w:styleId="CommentReference">
    <w:name w:val="annotation reference"/>
    <w:basedOn w:val="DefaultParagraphFont"/>
    <w:uiPriority w:val="99"/>
    <w:semiHidden/>
    <w:unhideWhenUsed/>
    <w:rsid w:val="001B1CF0"/>
    <w:rPr>
      <w:sz w:val="16"/>
      <w:szCs w:val="16"/>
    </w:rPr>
  </w:style>
  <w:style w:type="paragraph" w:styleId="CommentText">
    <w:name w:val="annotation text"/>
    <w:basedOn w:val="Normal"/>
    <w:link w:val="CommentTextChar"/>
    <w:uiPriority w:val="99"/>
    <w:unhideWhenUsed/>
    <w:rsid w:val="001B1CF0"/>
    <w:rPr>
      <w:sz w:val="20"/>
      <w:szCs w:val="20"/>
    </w:rPr>
  </w:style>
  <w:style w:type="character" w:customStyle="1" w:styleId="CommentTextChar">
    <w:name w:val="Comment Text Char"/>
    <w:basedOn w:val="DefaultParagraphFont"/>
    <w:link w:val="CommentText"/>
    <w:uiPriority w:val="99"/>
    <w:rsid w:val="001B1CF0"/>
    <w:rPr>
      <w:lang w:val="en-GB" w:eastAsia="en-US"/>
    </w:rPr>
  </w:style>
  <w:style w:type="paragraph" w:styleId="CommentSubject">
    <w:name w:val="annotation subject"/>
    <w:basedOn w:val="CommentText"/>
    <w:next w:val="CommentText"/>
    <w:link w:val="CommentSubjectChar"/>
    <w:uiPriority w:val="99"/>
    <w:semiHidden/>
    <w:unhideWhenUsed/>
    <w:rsid w:val="001B1CF0"/>
    <w:rPr>
      <w:b/>
      <w:bCs/>
    </w:rPr>
  </w:style>
  <w:style w:type="character" w:customStyle="1" w:styleId="CommentSubjectChar">
    <w:name w:val="Comment Subject Char"/>
    <w:basedOn w:val="CommentTextChar"/>
    <w:link w:val="CommentSubject"/>
    <w:uiPriority w:val="99"/>
    <w:semiHidden/>
    <w:rsid w:val="001B1CF0"/>
    <w:rPr>
      <w:b/>
      <w:bCs/>
      <w:lang w:val="en-GB" w:eastAsia="en-US"/>
    </w:rPr>
  </w:style>
  <w:style w:type="paragraph" w:styleId="Revision">
    <w:name w:val="Revision"/>
    <w:hidden/>
    <w:uiPriority w:val="99"/>
    <w:semiHidden/>
    <w:rsid w:val="00307D32"/>
    <w:pPr>
      <w:suppressAutoHyphens w:val="0"/>
    </w:pPr>
    <w:rPr>
      <w:sz w:val="24"/>
      <w:szCs w:val="24"/>
      <w:lang w:val="en-GB" w:eastAsia="en-US"/>
    </w:rPr>
  </w:style>
  <w:style w:type="character" w:styleId="FollowedHyperlink">
    <w:name w:val="FollowedHyperlink"/>
    <w:basedOn w:val="DefaultParagraphFont"/>
    <w:uiPriority w:val="99"/>
    <w:semiHidden/>
    <w:unhideWhenUsed/>
    <w:rsid w:val="00050A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underforest.com/" TargetMode="External"/><Relationship Id="rId18" Type="http://schemas.openxmlformats.org/officeDocument/2006/relationships/hyperlink" Target="https://www.designcouncil.org.uk/our-resources/the-doublediamon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mailto:james.reynolds@atu.ie)1" TargetMode="External"/><Relationship Id="rId12" Type="http://schemas.openxmlformats.org/officeDocument/2006/relationships/image" Target="media/image4.emf"/><Relationship Id="rId17" Type="http://schemas.openxmlformats.org/officeDocument/2006/relationships/hyperlink" Target="https://www.tcd.ie/transport-research/our-research/research-projects/ROBUST-electric-sharedmobility-hubs-tria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www.metrolinx.com/thebigmov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James-Reynolds/mobilityHubTools"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como.org.uk/mobility-hubs/starting-and-running-successful-hubs"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r-pkgs.org/"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s://www.como.org.uk/mobility-hubs/starting-and-running-successful-hubs" TargetMode="External"/><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James-Reynolds/WP5_mobilityHubTools_papers/tree/main/results" TargetMode="External"/><Relationship Id="rId2" Type="http://schemas.openxmlformats.org/officeDocument/2006/relationships/hyperlink" Target="https://github.com/James-Reynolds/mobilityHubTools" TargetMode="External"/><Relationship Id="rId1" Type="http://schemas.openxmlformats.org/officeDocument/2006/relationships/hyperlink" Target="https://github.com/James-Reynolds/WP5_mobilityHubTools_papers/blob/main/ReynoldsEtAl2026_CERC.Rm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FDFF3-1CBD-4E0D-A0B7-2D1A5C45FCD6}">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10</Pages>
  <Words>3607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CERC</vt:lpstr>
    </vt:vector>
  </TitlesOfParts>
  <Company>SChool of Business Studies, TCD</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dc:title>
  <dc:subject/>
  <dc:creator>Gabriela Gliga</dc:creator>
  <dc:description/>
  <cp:lastModifiedBy>JulianJ Reynolds</cp:lastModifiedBy>
  <cp:revision>6</cp:revision>
  <cp:lastPrinted>2026-09-10T15:49:00Z</cp:lastPrinted>
  <dcterms:created xsi:type="dcterms:W3CDTF">2026-09-08T09:49:00Z</dcterms:created>
  <dcterms:modified xsi:type="dcterms:W3CDTF">2026-09-10T15:50:00Z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ActionId">
    <vt:lpwstr>bba23f01-62d3-4252-a97c-525b8f9a18f8</vt:lpwstr>
  </property>
  <property fmtid="{D5CDD505-2E9C-101B-9397-08002B2CF9AE}" pid="3" name="MSIP_Label_06c24981-b6df-48f8-949b-0896357b9b03_ContentBits">
    <vt:lpwstr>0</vt:lpwstr>
  </property>
  <property fmtid="{D5CDD505-2E9C-101B-9397-08002B2CF9AE}" pid="4" name="MSIP_Label_06c24981-b6df-48f8-949b-0896357b9b03_Enabled">
    <vt:lpwstr>true</vt:lpwstr>
  </property>
  <property fmtid="{D5CDD505-2E9C-101B-9397-08002B2CF9AE}" pid="5" name="MSIP_Label_06c24981-b6df-48f8-949b-0896357b9b03_Method">
    <vt:lpwstr>Privileged</vt:lpwstr>
  </property>
  <property fmtid="{D5CDD505-2E9C-101B-9397-08002B2CF9AE}" pid="6" name="MSIP_Label_06c24981-b6df-48f8-949b-0896357b9b03_Name">
    <vt:lpwstr>Official</vt:lpwstr>
  </property>
  <property fmtid="{D5CDD505-2E9C-101B-9397-08002B2CF9AE}" pid="7" name="MSIP_Label_06c24981-b6df-48f8-949b-0896357b9b03_SetDate">
    <vt:lpwstr>2022-04-13T12:38:30Z</vt:lpwstr>
  </property>
  <property fmtid="{D5CDD505-2E9C-101B-9397-08002B2CF9AE}" pid="8" name="MSIP_Label_06c24981-b6df-48f8-949b-0896357b9b03_SiteId">
    <vt:lpwstr>dd615949-5bd0-4da0-ac52-28ef8d336373</vt:lpwstr>
  </property>
</Properties>
</file>