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04F4" w14:textId="77777777" w:rsidR="002F5234" w:rsidRDefault="00132CB7" w:rsidP="00132CB7">
      <w:pPr>
        <w:rPr>
          <w:b/>
        </w:rPr>
      </w:pPr>
      <w:r>
        <w:rPr>
          <w:b/>
        </w:rPr>
        <w:t>Introduction</w:t>
      </w:r>
    </w:p>
    <w:p w14:paraId="7846BBB6" w14:textId="77777777" w:rsidR="00132CB7" w:rsidRDefault="00132CB7" w:rsidP="00132CB7">
      <w:pPr>
        <w:rPr>
          <w:b/>
        </w:rPr>
      </w:pPr>
    </w:p>
    <w:p w14:paraId="4C9C225D" w14:textId="058FA7D7" w:rsidR="00E87AD7" w:rsidRDefault="001D214D" w:rsidP="004264E0">
      <w:pPr>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 xml:space="preserve">the frequency of a measurable character (e.g. allele, genotype, 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natural selection generating spatial differentiation in morph frequencies, gene flow homogenizing morph frequencies between populations </w:t>
      </w:r>
      <w:r w:rsidR="001B6128">
        <w:rPr>
          <w:rFonts w:ascii="Times New Roman" w:hAnsi="Times New Roman" w:cs="Times New Roman"/>
        </w:rPr>
        <w:t xml:space="preserve">and </w:t>
      </w:r>
      <w:r w:rsidR="009C2BBE">
        <w:rPr>
          <w:rFonts w:ascii="Times New Roman" w:hAnsi="Times New Roman" w:cs="Times New Roman"/>
        </w:rPr>
        <w:t xml:space="preserve">local genetic drift </w:t>
      </w:r>
      <w:r w:rsidR="004264E0">
        <w:rPr>
          <w:rFonts w:ascii="Times New Roman" w:hAnsi="Times New Roman" w:cs="Times New Roman"/>
        </w:rPr>
        <w:t xml:space="preserve">acting </w:t>
      </w:r>
      <w:r w:rsidR="009C2BBE">
        <w:rPr>
          <w:rFonts w:ascii="Times New Roman" w:hAnsi="Times New Roman" w:cs="Times New Roman"/>
        </w:rPr>
        <w:t xml:space="preserve">within populations </w:t>
      </w:r>
      <w:r w:rsidR="009C2BBE">
        <w:rPr>
          <w:rFonts w:ascii="Times New Roman" w:hAnsi="Times New Roman" w:cs="Times New Roman"/>
        </w:rPr>
        <w:fldChar w:fldCharType="begin" w:fldLock="1"/>
      </w:r>
      <w:r w:rsidR="009C2BBE">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"mendeley" : { "formattedCitation" : "(Haldane 1948; Felsenstein 1975; Slatkin and Maruyama 1975; Endler 1977; Saccheri et al. 2008; Volis and Zhang 2010; Takahashi 2015)", "plainTextFormattedCitation" : "(Haldane 1948; Felsenstein 1975; Slatkin and Maruyama 1975; Endler 1977; Saccheri et al. 2008; Volis and Zhang 2010; Takahashi 2015)", "previouslyFormattedCitation" : "(Haldane 1948; Felsenstein 1975; Slatkin and Maruyama 1975; Endler 1977;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9C2BBE" w:rsidRPr="009C2BBE">
        <w:rPr>
          <w:rFonts w:ascii="Times New Roman" w:hAnsi="Times New Roman" w:cs="Times New Roman"/>
          <w:noProof/>
        </w:rPr>
        <w:t>(Haldane 1948; Felsenstein 1975; Slatkin and Maruyama 1975; Endler 1977;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776D19B0" w:rsidR="00132CB7" w:rsidRDefault="0004207F" w:rsidP="00CD56FE">
      <w:pPr>
        <w:ind w:firstLine="360"/>
        <w:rPr>
          <w:rFonts w:ascii="Times New Roman" w:hAnsi="Times New Roman" w:cs="Times New Roman"/>
        </w:rPr>
      </w:pPr>
      <w:r w:rsidRPr="0016607B">
        <w:rPr>
          <w:rFonts w:ascii="Times New Roman" w:hAnsi="Times New Roman" w:cs="Times New Roman"/>
        </w:rPr>
        <w:t>While phenotypic or allelic clines are often interpreted as strong evidence of adaptive evolution, non-adaptive processes (e.g. genetic drift and gene flow) may also generate covariance between allele 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w:t>
      </w:r>
      <w:r w:rsidR="005F35F0">
        <w:rPr>
          <w:rFonts w:ascii="Times New Roman" w:hAnsi="Times New Roman" w:cs="Times New Roman"/>
        </w:rPr>
        <w:t>through</w:t>
      </w:r>
      <w:r w:rsidR="008E422C">
        <w:rPr>
          <w:rFonts w:ascii="Times New Roman" w:hAnsi="Times New Roman" w:cs="Times New Roman"/>
        </w:rPr>
        <w:t xml:space="preserve">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adaptive </w:t>
      </w:r>
      <w:r w:rsidR="00F847D0">
        <w:rPr>
          <w:rFonts w:ascii="Times New Roman" w:hAnsi="Times New Roman" w:cs="Times New Roman"/>
        </w:rPr>
        <w:t>differentiation between populations.</w:t>
      </w:r>
    </w:p>
    <w:p w14:paraId="5D7EC60A" w14:textId="4567D2BA" w:rsidR="00CD56FE" w:rsidRDefault="00CD56FE" w:rsidP="00CD56FE">
      <w:pPr>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all 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e. parallel 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epistasis),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r w:rsidR="00232888">
        <w:rPr>
          <w:rFonts w:ascii="Times New Roman" w:hAnsi="Times New Roman" w:cs="Times New Roman"/>
        </w:rPr>
        <w:t xml:space="preserve">. In other words, </w:t>
      </w:r>
      <w:r w:rsidR="005E54EE">
        <w:rPr>
          <w:rFonts w:ascii="Times New Roman" w:hAnsi="Times New Roman" w:cs="Times New Roman"/>
        </w:rPr>
        <w:t>stochastic processes may lead to deterministic outcomes</w:t>
      </w:r>
      <w:r w:rsidR="008B29B9">
        <w:rPr>
          <w:rFonts w:ascii="Times New Roman" w:hAnsi="Times New Roman" w:cs="Times New Roman"/>
        </w:rPr>
        <w:t xml:space="preserve">. For example, </w:t>
      </w:r>
      <w:r w:rsidR="005E54EE" w:rsidRPr="0016607B">
        <w:rPr>
          <w:rFonts w:ascii="Times New Roman" w:hAnsi="Times New Roman" w:cs="Times New Roman"/>
        </w:rPr>
        <w:t xml:space="preserve">stochastic forces have caused the repeated loss of the Mendelian inherited short-style (S) morph from tristylous populations of </w:t>
      </w:r>
      <w:r w:rsidR="005E54EE" w:rsidRPr="0016607B">
        <w:rPr>
          <w:rFonts w:ascii="Times New Roman" w:hAnsi="Times New Roman" w:cs="Times New Roman"/>
          <w:i/>
        </w:rPr>
        <w:t>Eichhornia paniculata</w:t>
      </w:r>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68E2">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"mendeley" : { "formattedCitation" : "(Barrett et al. 1989, 2009, Husband and Barrett 1992a,b)", "plainTextFormattedCitation" : "(Barrett et al. 1989, 2009, Husband and Barrett 1992a,b)", "previouslyFormattedCitation" : "(Barrett et al. 1989, 2009, Husband and Barrett 1992a,b)" }, "properties" : {  }, "schema" : "https://github.com/citation-style-language/schema/raw/master/csl-citation.json" }</w:instrText>
      </w:r>
      <w:r w:rsidR="004368E2">
        <w:rPr>
          <w:rFonts w:ascii="Times New Roman" w:hAnsi="Times New Roman" w:cs="Times New Roman"/>
        </w:rPr>
        <w:fldChar w:fldCharType="separate"/>
      </w:r>
      <w:r w:rsidR="004368E2" w:rsidRPr="004368E2">
        <w:rPr>
          <w:rFonts w:ascii="Times New Roman" w:hAnsi="Times New Roman" w:cs="Times New Roman"/>
          <w:noProof/>
        </w:rPr>
        <w:t>(Barrett et al. 1989, 2009, Husband and Barrett 1992a,b)</w:t>
      </w:r>
      <w:r w:rsidR="004368E2">
        <w:rPr>
          <w:rFonts w:ascii="Times New Roman" w:hAnsi="Times New Roman" w:cs="Times New Roman"/>
        </w:rPr>
        <w:fldChar w:fldCharType="end"/>
      </w:r>
      <w:r w:rsidR="002D3DBE">
        <w:rPr>
          <w:rFonts w:ascii="Times New Roman" w:hAnsi="Times New Roman" w:cs="Times New Roman"/>
        </w:rPr>
        <w:t>. This occurs because only the S-morph produces gametes containing the dominant allele necessary to produce the S-morph; crosses between the medium-style (M) and long-style (L) morph</w:t>
      </w:r>
      <w:r w:rsidR="00991E07">
        <w:rPr>
          <w:rFonts w:ascii="Times New Roman" w:hAnsi="Times New Roman" w:cs="Times New Roman"/>
        </w:rPr>
        <w:t>s</w:t>
      </w:r>
      <w:r w:rsidR="002D3DBE">
        <w:rPr>
          <w:rFonts w:ascii="Times New Roman" w:hAnsi="Times New Roman" w:cs="Times New Roman"/>
        </w:rPr>
        <w:t xml:space="preserve"> cannot produce plants with short styles</w:t>
      </w:r>
      <w:r w:rsidR="00991E07">
        <w:rPr>
          <w:rFonts w:ascii="Times New Roman" w:hAnsi="Times New Roman" w:cs="Times New Roman"/>
        </w:rPr>
        <w:t>,</w:t>
      </w:r>
      <w:r w:rsidR="002D3DBE">
        <w:rPr>
          <w:rFonts w:ascii="Times New Roman" w:hAnsi="Times New Roman" w:cs="Times New Roman"/>
        </w:rPr>
        <w:t xml:space="preserve"> making the S-morph particularly susceptible to loss via drift </w:t>
      </w:r>
      <w:r w:rsidR="002D3DBE">
        <w:rPr>
          <w:rFonts w:ascii="Times New Roman" w:hAnsi="Times New Roman" w:cs="Times New Roman"/>
        </w:rPr>
        <w:fldChar w:fldCharType="begin" w:fldLock="1"/>
      </w:r>
      <w:r w:rsidR="002D3DBE">
        <w:rPr>
          <w:rFonts w:ascii="Times New Roman" w:hAnsi="Times New Roman" w:cs="Times New Roman"/>
        </w:rPr>
        <w:instrText>ADDIN CSL_CITATION { "citationItems" : [ { "id" : "ITEM-1",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"ITEM-1", "issued" : { "date-parts" : [ [ "1993" ] ] }, "page" : "283-326", "title" : "The evolutionary biology of tristyly", "type" : "chapter" }, "uris" : [ "http://www.mendeley.com/documents/?uuid=a5e0ac1d-145b-41b0-a379-c9c52cb8c3b0" ] } ], "mendeley" : { "formattedCitation" : "(Barrett 1993)", "plainTextFormattedCitation" : "(Barrett 1993)", "previouslyFormattedCitation" : "(Barrett 1993)" }, "properties" : {  }, "schema" : "https://github.com/citation-style-language/schema/raw/master/csl-citation.json" }</w:instrText>
      </w:r>
      <w:r w:rsidR="002D3DBE">
        <w:rPr>
          <w:rFonts w:ascii="Times New Roman" w:hAnsi="Times New Roman" w:cs="Times New Roman"/>
        </w:rPr>
        <w:fldChar w:fldCharType="separate"/>
      </w:r>
      <w:r w:rsidR="002D3DBE" w:rsidRPr="002D3DBE">
        <w:rPr>
          <w:rFonts w:ascii="Times New Roman" w:hAnsi="Times New Roman" w:cs="Times New Roman"/>
          <w:noProof/>
        </w:rPr>
        <w:t>(Barrett 1993)</w:t>
      </w:r>
      <w:r w:rsidR="002D3DBE">
        <w:rPr>
          <w:rFonts w:ascii="Times New Roman" w:hAnsi="Times New Roman" w:cs="Times New Roman"/>
        </w:rPr>
        <w:fldChar w:fldCharType="end"/>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suggests 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In such cases, replicating</w:t>
      </w:r>
      <w:r w:rsidR="00304787">
        <w:rPr>
          <w:rFonts w:ascii="Times New Roman" w:hAnsi="Times New Roman" w:cs="Times New Roman"/>
        </w:rPr>
        <w:t xml:space="preserve"> phenotypic clines across many</w:t>
      </w:r>
      <w:r w:rsidR="00CE034C">
        <w:rPr>
          <w:rFonts w:ascii="Times New Roman" w:hAnsi="Times New Roman" w:cs="Times New Roman"/>
        </w:rPr>
        <w:t xml:space="preserve"> independent spatial locations can help us better understand the roles that drift, selection and gene flow play in the formation and maintenance of parallel clines. </w:t>
      </w:r>
    </w:p>
    <w:p w14:paraId="32ED8A9B" w14:textId="23B68C4A" w:rsidR="00CE034C" w:rsidRDefault="005961E8" w:rsidP="00330BBE">
      <w:pPr>
        <w:ind w:firstLine="360"/>
        <w:rPr>
          <w:rFonts w:ascii="Times New Roman" w:hAnsi="Times New Roman" w:cs="Times New Roman"/>
        </w:rPr>
      </w:pPr>
      <w:r>
        <w:rPr>
          <w:rFonts w:ascii="Times New Roman" w:hAnsi="Times New Roman" w:cs="Times New Roman"/>
        </w:rPr>
        <w:t xml:space="preserve">Clines are typically studied along latitudinal </w:t>
      </w:r>
      <w:r w:rsidR="007403D0">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007403D0">
        <w:rPr>
          <w:rFonts w:ascii="Times New Roman" w:hAnsi="Times New Roman" w:cs="Times New Roman"/>
        </w:rPr>
        <w:fldChar w:fldCharType="separate"/>
      </w:r>
      <w:r w:rsidR="007403D0" w:rsidRPr="007403D0">
        <w:rPr>
          <w:rFonts w:ascii="Times New Roman" w:hAnsi="Times New Roman" w:cs="Times New Roman"/>
          <w:noProof/>
        </w:rPr>
        <w:t>(</w:t>
      </w:r>
      <w:r w:rsidR="007403D0">
        <w:rPr>
          <w:rFonts w:ascii="Times New Roman" w:hAnsi="Times New Roman" w:cs="Times New Roman"/>
          <w:noProof/>
        </w:rPr>
        <w:t xml:space="preserve">e.g. </w:t>
      </w:r>
      <w:r w:rsidR="007403D0" w:rsidRPr="007403D0">
        <w:rPr>
          <w:rFonts w:ascii="Times New Roman" w:hAnsi="Times New Roman" w:cs="Times New Roman"/>
          <w:noProof/>
        </w:rPr>
        <w:t>Huey et al. 2000; Caicedo et al. 2004; Campitelli and Stinchcombe 2013)</w:t>
      </w:r>
      <w:r w:rsidR="007403D0">
        <w:rPr>
          <w:rFonts w:ascii="Times New Roman" w:hAnsi="Times New Roman" w:cs="Times New Roman"/>
        </w:rPr>
        <w:fldChar w:fldCharType="end"/>
      </w:r>
      <w:r w:rsidR="007403D0">
        <w:rPr>
          <w:rFonts w:ascii="Times New Roman" w:hAnsi="Times New Roman" w:cs="Times New Roman"/>
        </w:rPr>
        <w:t xml:space="preserve">, altitudinal </w:t>
      </w:r>
      <w:r w:rsidR="00C93675">
        <w:rPr>
          <w:rFonts w:ascii="Times New Roman" w:hAnsi="Times New Roman" w:cs="Times New Roman"/>
        </w:rPr>
        <w:fldChar w:fldCharType="begin" w:fldLock="1"/>
      </w:r>
      <w:r w:rsidR="00C93675">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00C93675">
        <w:rPr>
          <w:rFonts w:ascii="Times New Roman" w:hAnsi="Times New Roman" w:cs="Times New Roman"/>
        </w:rPr>
        <w:fldChar w:fldCharType="separate"/>
      </w:r>
      <w:r w:rsidR="00C93675" w:rsidRPr="00C93675">
        <w:rPr>
          <w:rFonts w:ascii="Times New Roman" w:hAnsi="Times New Roman" w:cs="Times New Roman"/>
          <w:noProof/>
        </w:rPr>
        <w:t xml:space="preserve">(Clausen et al. 1948; Luo et al. 2015; Zhao and </w:t>
      </w:r>
      <w:r w:rsidR="00C93675" w:rsidRPr="00C93675">
        <w:rPr>
          <w:rFonts w:ascii="Times New Roman" w:hAnsi="Times New Roman" w:cs="Times New Roman"/>
          <w:noProof/>
        </w:rPr>
        <w:lastRenderedPageBreak/>
        <w:t>Wang 2015)</w:t>
      </w:r>
      <w:r w:rsidR="00C93675">
        <w:rPr>
          <w:rFonts w:ascii="Times New Roman" w:hAnsi="Times New Roman" w:cs="Times New Roman"/>
        </w:rPr>
        <w:fldChar w:fldCharType="end"/>
      </w:r>
      <w:r w:rsidR="00C93675">
        <w:rPr>
          <w:rFonts w:ascii="Times New Roman" w:hAnsi="Times New Roman" w:cs="Times New Roman"/>
        </w:rPr>
        <w:t xml:space="preserve"> or longitudinal </w:t>
      </w:r>
      <w:r w:rsidR="005035A4">
        <w:rPr>
          <w:rFonts w:ascii="Times New Roman" w:hAnsi="Times New Roman" w:cs="Times New Roman"/>
        </w:rPr>
        <w:fldChar w:fldCharType="begin" w:fldLock="1"/>
      </w:r>
      <w:r w:rsidR="005035A4">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"mendeley" : { "formattedCitation" : "(Samis et al. 2008, 2012)", "plainTextFormattedCitation" : "(Samis et al. 2008, 2012)", "previouslyFormattedCitation" : "(Samis et al. 2008, 2012)" }, "properties" : {  }, "schema" : "https://github.com/citation-style-language/schema/raw/master/csl-citation.json" }</w:instrText>
      </w:r>
      <w:r w:rsidR="005035A4">
        <w:rPr>
          <w:rFonts w:ascii="Times New Roman" w:hAnsi="Times New Roman" w:cs="Times New Roman"/>
        </w:rPr>
        <w:fldChar w:fldCharType="separate"/>
      </w:r>
      <w:r w:rsidR="005035A4" w:rsidRPr="005035A4">
        <w:rPr>
          <w:rFonts w:ascii="Times New Roman" w:hAnsi="Times New Roman" w:cs="Times New Roman"/>
          <w:noProof/>
        </w:rPr>
        <w:t>(Samis et al. 2008, 2012)</w:t>
      </w:r>
      <w:r w:rsidR="005035A4">
        <w:rPr>
          <w:rFonts w:ascii="Times New Roman" w:hAnsi="Times New Roman" w:cs="Times New Roman"/>
        </w:rPr>
        <w:fldChar w:fldCharType="end"/>
      </w:r>
      <w:r w:rsidR="005035A4">
        <w:rPr>
          <w:rFonts w:ascii="Times New Roman" w:hAnsi="Times New Roman" w:cs="Times New Roman"/>
        </w:rPr>
        <w:t xml:space="preserve"> transects, since such transects are often associated with gradients in putative selective agents (e.g. temperature</w:t>
      </w:r>
      <w:r w:rsidR="005947F7">
        <w:rPr>
          <w:rFonts w:ascii="Times New Roman" w:hAnsi="Times New Roman" w:cs="Times New Roman"/>
        </w:rPr>
        <w:t>, precipitation, biotic interaction strength).</w:t>
      </w:r>
      <w:r w:rsidR="00481CA1">
        <w:rPr>
          <w:rFonts w:ascii="Times New Roman" w:hAnsi="Times New Roman" w:cs="Times New Roman"/>
        </w:rPr>
        <w:t xml:space="preserve"> </w:t>
      </w:r>
      <w:r w:rsidR="00243BEE">
        <w:rPr>
          <w:rFonts w:ascii="Times New Roman" w:hAnsi="Times New Roman" w:cs="Times New Roman"/>
        </w:rPr>
        <w:t xml:space="preserve">Importantly, </w:t>
      </w:r>
      <w:r w:rsidR="004645C2">
        <w:rPr>
          <w:rFonts w:ascii="Times New Roman" w:hAnsi="Times New Roman" w:cs="Times New Roman"/>
        </w:rPr>
        <w:t xml:space="preserve">geographical transects can also be associated with variation in demographic factors important for determining the extent to which drift will act in populations. This is especially </w:t>
      </w:r>
      <w:r w:rsidR="00401E0A">
        <w:rPr>
          <w:rFonts w:ascii="Times New Roman" w:hAnsi="Times New Roman" w:cs="Times New Roman"/>
        </w:rPr>
        <w:t xml:space="preserve">true </w:t>
      </w:r>
      <w:r w:rsidR="004645C2">
        <w:rPr>
          <w:rFonts w:ascii="Times New Roman" w:hAnsi="Times New Roman" w:cs="Times New Roman"/>
        </w:rPr>
        <w:t>during invasions or rapid range expansion</w:t>
      </w:r>
      <w:r w:rsidR="007A1337">
        <w:rPr>
          <w:rFonts w:ascii="Times New Roman" w:hAnsi="Times New Roman" w:cs="Times New Roman"/>
        </w:rPr>
        <w:t>s</w:t>
      </w:r>
      <w:r w:rsidR="004645C2">
        <w:rPr>
          <w:rFonts w:ascii="Times New Roman" w:hAnsi="Times New Roman" w:cs="Times New Roman"/>
        </w:rPr>
        <w:t xml:space="preserve"> when founder events result </w:t>
      </w:r>
      <w:r w:rsidR="007A1337">
        <w:rPr>
          <w:rFonts w:ascii="Times New Roman" w:hAnsi="Times New Roman" w:cs="Times New Roman"/>
        </w:rPr>
        <w:t>in smaller marginal populations</w:t>
      </w:r>
      <w:r w:rsidR="00401E0A">
        <w:rPr>
          <w:rFonts w:ascii="Times New Roman" w:hAnsi="Times New Roman" w:cs="Times New Roman"/>
        </w:rPr>
        <w:t xml:space="preserve"> exchanging fewer migrants</w:t>
      </w:r>
      <w:r w:rsidR="007A1337">
        <w:rPr>
          <w:rFonts w:ascii="Times New Roman" w:hAnsi="Times New Roman" w:cs="Times New Roman"/>
        </w:rPr>
        <w:t xml:space="preserve">, leading to reduced genetic diversity and increased differentiation relative to more central populations </w:t>
      </w:r>
      <w:r w:rsidR="00401E0A">
        <w:rPr>
          <w:rFonts w:ascii="Times New Roman" w:hAnsi="Times New Roman" w:cs="Times New Roman"/>
        </w:rPr>
        <w:fldChar w:fldCharType="begin" w:fldLock="1"/>
      </w:r>
      <w:r w:rsidR="00401E0A">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00401E0A">
        <w:rPr>
          <w:rFonts w:ascii="Times New Roman" w:hAnsi="Times New Roman" w:cs="Times New Roman"/>
        </w:rPr>
        <w:fldChar w:fldCharType="separate"/>
      </w:r>
      <w:r w:rsidR="00401E0A" w:rsidRPr="00401E0A">
        <w:rPr>
          <w:rFonts w:ascii="Times New Roman" w:hAnsi="Times New Roman" w:cs="Times New Roman"/>
          <w:noProof/>
        </w:rPr>
        <w:t>(Alleaume-Benharira et al. 2006; Eckert et al. 2008; Excoffier and Ray 2008)</w:t>
      </w:r>
      <w:r w:rsidR="00401E0A">
        <w:rPr>
          <w:rFonts w:ascii="Times New Roman" w:hAnsi="Times New Roman" w:cs="Times New Roman"/>
        </w:rPr>
        <w:fldChar w:fldCharType="end"/>
      </w:r>
      <w:r w:rsidR="00401E0A">
        <w:rPr>
          <w:rFonts w:ascii="Times New Roman" w:hAnsi="Times New Roman" w:cs="Times New Roman"/>
        </w:rPr>
        <w:t xml:space="preserve">. </w:t>
      </w:r>
      <w:r w:rsidR="00330BBE">
        <w:rPr>
          <w:rFonts w:ascii="Times New Roman" w:hAnsi="Times New Roman" w:cs="Times New Roman"/>
        </w:rPr>
        <w:t xml:space="preserve">Such spatial variation in demography may provide the foundation upon which parallel clines in non-additive traits can form. </w:t>
      </w:r>
      <w:r w:rsidR="00114599">
        <w:rPr>
          <w:rFonts w:ascii="Times New Roman" w:hAnsi="Times New Roman" w:cs="Times New Roman"/>
        </w:rPr>
        <w:t xml:space="preserve">Studies of </w:t>
      </w:r>
      <w:r w:rsidR="00330BBE">
        <w:rPr>
          <w:rFonts w:ascii="Times New Roman" w:hAnsi="Times New Roman" w:cs="Times New Roman"/>
        </w:rPr>
        <w:t>non-additive trait</w:t>
      </w:r>
      <w:r w:rsidR="00114599">
        <w:rPr>
          <w:rFonts w:ascii="Times New Roman" w:hAnsi="Times New Roman" w:cs="Times New Roman"/>
        </w:rPr>
        <w:t xml:space="preserve"> differentiation across replicate geographical gradients in selection and demography would provide the strongest test of the relative contribution of drift, selection, and gene flow in the formation of parallel clines. However, logistical challenges associated with replicating continental</w:t>
      </w:r>
      <w:r w:rsidR="00330BBE">
        <w:rPr>
          <w:rFonts w:ascii="Times New Roman" w:hAnsi="Times New Roman" w:cs="Times New Roman"/>
        </w:rPr>
        <w:t xml:space="preserve">-scale latitudinal, altitudinal or longitudinal transects preclude such replication for many systems. </w:t>
      </w:r>
    </w:p>
    <w:p w14:paraId="2D30C54E" w14:textId="76DFAD27" w:rsidR="00330BBE" w:rsidRDefault="00330BBE" w:rsidP="00330BBE">
      <w:pPr>
        <w:ind w:firstLine="360"/>
        <w:rPr>
          <w:rFonts w:ascii="Times New Roman" w:hAnsi="Times New Roman" w:cs="Times New Roman"/>
        </w:rPr>
      </w:pPr>
      <w:r w:rsidRPr="0016607B">
        <w:rPr>
          <w:rFonts w:ascii="Times New Roman" w:hAnsi="Times New Roman" w:cs="Times New Roman"/>
        </w:rPr>
        <w:t xml:space="preserve">Urbanization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r>
        <w:rPr>
          <w:rFonts w:ascii="Times New Roman" w:hAnsi="Times New Roman" w:cs="Times New Roman"/>
        </w:rPr>
        <w:t>. For example, small, more isolated urban populations of white-footed mice (</w:t>
      </w:r>
      <w:r w:rsidRPr="0016607B">
        <w:rPr>
          <w:rFonts w:ascii="Times New Roman" w:hAnsi="Times New Roman" w:cs="Times New Roman"/>
          <w:i/>
        </w:rPr>
        <w:t>Peromyscus leucopus</w:t>
      </w:r>
      <w:r>
        <w:rPr>
          <w:rFonts w:ascii="Times New Roman" w:hAnsi="Times New Roman" w:cs="Times New Roman"/>
        </w:rPr>
        <w:t xml:space="preserve">) in New-York City have reduced genetic diversity due to increased drift and reduced gene flow relative to non-urban populations </w:t>
      </w:r>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r w:rsidR="00AD2ABA">
        <w:rPr>
          <w:rFonts w:ascii="Times New Roman" w:hAnsi="Times New Roman" w:cs="Times New Roman"/>
        </w:rPr>
        <w:t xml:space="preserve">. </w:t>
      </w:r>
      <w:r w:rsidR="00AD2ABA" w:rsidRPr="0016607B">
        <w:rPr>
          <w:rFonts w:ascii="Times New Roman" w:hAnsi="Times New Roman" w:cs="Times New Roman"/>
        </w:rPr>
        <w:t>Similarly, contemporary urbanization has reduced the effective population size of urban fire salamanders (</w:t>
      </w:r>
      <w:r w:rsidR="00AD2ABA" w:rsidRPr="0016607B">
        <w:rPr>
          <w:rFonts w:ascii="Times New Roman" w:hAnsi="Times New Roman" w:cs="Times New Roman"/>
          <w:i/>
        </w:rPr>
        <w:t>Salamandra salamandra</w:t>
      </w:r>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r w:rsidR="00AD2ABA">
        <w:rPr>
          <w:rFonts w:ascii="Times New Roman" w:hAnsi="Times New Roman" w:cs="Times New Roman"/>
        </w:rPr>
        <w:t xml:space="preserve">. </w:t>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107CF1BC" w14:textId="6ED896E1" w:rsidR="006833B5" w:rsidRDefault="006833B5" w:rsidP="00330BBE">
      <w:pPr>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xml:space="preserve">, many of which can be potent agents of selection for many taxa. </w:t>
      </w:r>
      <w:r w:rsidRPr="0016607B">
        <w:rPr>
          <w:rFonts w:ascii="Times New Roman" w:hAnsi="Times New Roman" w:cs="Times New Roman"/>
        </w:rPr>
        <w:t>For example, industrial production around urban centres in eastern North America has increased concentrations of PCBs—a persistent environmental pollutant— in coastal estuaries, leading to parallel evolution of PCB resistance in four populations of Atlantic killifish (</w:t>
      </w:r>
      <w:r w:rsidRPr="0016607B">
        <w:rPr>
          <w:rFonts w:ascii="Times New Roman" w:hAnsi="Times New Roman" w:cs="Times New Roman"/>
          <w:i/>
        </w:rPr>
        <w:t>Fundulus heteroclitus</w:t>
      </w:r>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r>
        <w:rPr>
          <w:rFonts w:ascii="Times New Roman" w:hAnsi="Times New Roman" w:cs="Times New Roman"/>
        </w:rPr>
        <w:t>.</w:t>
      </w:r>
      <w:r w:rsidR="00633C9F">
        <w:rPr>
          <w:rFonts w:ascii="Times New Roman" w:hAnsi="Times New Roman" w:cs="Times New Roman"/>
        </w:rPr>
        <w:t xml:space="preserve"> Simil</w:t>
      </w:r>
      <w:r w:rsidR="009436BD">
        <w:rPr>
          <w:rFonts w:ascii="Times New Roman" w:hAnsi="Times New Roman" w:cs="Times New Roman"/>
        </w:rPr>
        <w:t>arly, increased urban temperatures have driven the evolution of greater thermal tolerance in urban Acorn ant (</w:t>
      </w:r>
      <w:r w:rsidR="009436BD" w:rsidRPr="009436BD">
        <w:rPr>
          <w:rFonts w:ascii="Times New Roman" w:hAnsi="Times New Roman" w:cs="Times New Roman"/>
          <w:i/>
        </w:rPr>
        <w:t>Temnothorax curvispinosus</w:t>
      </w:r>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 xml:space="preserve">. </w:t>
      </w:r>
      <w:r w:rsidR="00441CF4">
        <w:rPr>
          <w:rFonts w:ascii="Times New Roman" w:hAnsi="Times New Roman" w:cs="Times New Roman"/>
        </w:rPr>
        <w:t xml:space="preserve">In addition,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r w:rsidR="00441CF4">
        <w:rPr>
          <w:rFonts w:ascii="Times New Roman" w:hAnsi="Times New Roman" w:cs="Times New Roman"/>
        </w:rPr>
        <w:t>recently identified</w:t>
      </w:r>
      <w:r w:rsidR="00441CF4" w:rsidRPr="0016607B">
        <w:rPr>
          <w:rFonts w:ascii="Times New Roman" w:hAnsi="Times New Roman" w:cs="Times New Roman"/>
        </w:rPr>
        <w:t xml:space="preserve"> parallel urban-rural clines in the frequency of plants producing hydrogen cyanide (HCN) (i.e. cyanogenesis)—a potent antiherbivore defence—in populations of white clover (</w:t>
      </w:r>
      <w:r w:rsidR="00441CF4" w:rsidRPr="0016607B">
        <w:rPr>
          <w:rFonts w:ascii="Times New Roman" w:hAnsi="Times New Roman" w:cs="Times New Roman"/>
          <w:i/>
        </w:rPr>
        <w:t>Trifolium repens</w:t>
      </w:r>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r w:rsidR="00441CF4" w:rsidRPr="0016607B">
        <w:rPr>
          <w:rFonts w:ascii="Times New Roman" w:hAnsi="Times New Roman" w:cs="Times New Roman"/>
        </w:rPr>
        <w:t xml:space="preserve">While the authors identified lower winter surface temperatures in urban populations as a putative selective agent structuring </w:t>
      </w:r>
      <w:r w:rsidR="006331B0">
        <w:rPr>
          <w:rFonts w:ascii="Times New Roman" w:hAnsi="Times New Roman" w:cs="Times New Roman"/>
        </w:rPr>
        <w:t>urban-rural cyanogenesis clines</w:t>
      </w:r>
      <w:r w:rsidR="00441CF4" w:rsidRPr="0016607B">
        <w:rPr>
          <w:rFonts w:ascii="Times New Roman" w:hAnsi="Times New Roman" w:cs="Times New Roman"/>
        </w:rPr>
        <w:t xml:space="preserve"> clines, they did not consider the alternative hypothesis that these clines could be caused by genetic drift.</w:t>
      </w:r>
      <w:r w:rsidR="00441CF4">
        <w:rPr>
          <w:rFonts w:ascii="Times New Roman" w:hAnsi="Times New Roman" w:cs="Times New Roman"/>
        </w:rPr>
        <w:t xml:space="preserve"> </w:t>
      </w:r>
    </w:p>
    <w:p w14:paraId="0215E196" w14:textId="0D5664B2" w:rsidR="00633C9F" w:rsidRDefault="00441CF4" w:rsidP="00330BBE">
      <w:pPr>
        <w:ind w:firstLine="360"/>
        <w:rPr>
          <w:rFonts w:ascii="Times New Roman" w:hAnsi="Times New Roman" w:cs="Times New Roman"/>
        </w:rPr>
      </w:pPr>
      <w:r>
        <w:rPr>
          <w:rFonts w:ascii="Times New Roman" w:hAnsi="Times New Roman" w:cs="Times New Roman"/>
        </w:rPr>
        <w:t xml:space="preserve">The purpose of this paper is to examine under what conditions non-adaptive (e.g. genetic drift, gene flow) and adaptive (e.g. selection) </w:t>
      </w:r>
      <w:r w:rsidR="0015288B">
        <w:rPr>
          <w:rFonts w:ascii="Times New Roman" w:hAnsi="Times New Roman" w:cs="Times New Roman"/>
        </w:rPr>
        <w:t xml:space="preserve">processes </w:t>
      </w:r>
      <w:r>
        <w:rPr>
          <w:rFonts w:ascii="Times New Roman" w:hAnsi="Times New Roman" w:cs="Times New Roman"/>
        </w:rPr>
        <w:t xml:space="preserve">can generate clines in phenotypes with a non-additive genetic basis, using the cyanogenesis polymorphism in white clover as a model to this end. </w:t>
      </w:r>
      <w:r w:rsidR="00633C9F">
        <w:rPr>
          <w:rFonts w:ascii="Times New Roman" w:hAnsi="Times New Roman" w:cs="Times New Roman"/>
        </w:rPr>
        <w:t xml:space="preserve">White clover is native to Eurasia but has been intentionally introduced into temperate regions worldwide due to its importance in agriculture </w:t>
      </w:r>
      <w:r w:rsidR="00633C9F">
        <w:rPr>
          <w:rFonts w:ascii="Times New Roman" w:hAnsi="Times New Roman" w:cs="Times New Roman"/>
        </w:rPr>
        <w:fldChar w:fldCharType="begin" w:fldLock="1"/>
      </w:r>
      <w:r w:rsidR="00633C9F">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sidR="00633C9F">
        <w:rPr>
          <w:rFonts w:ascii="Times New Roman" w:hAnsi="Times New Roman" w:cs="Times New Roman"/>
        </w:rPr>
        <w:fldChar w:fldCharType="separate"/>
      </w:r>
      <w:r w:rsidR="00633C9F" w:rsidRPr="00633C9F">
        <w:rPr>
          <w:rFonts w:ascii="Times New Roman" w:hAnsi="Times New Roman" w:cs="Times New Roman"/>
          <w:noProof/>
        </w:rPr>
        <w:t>(Burdon 1983; Kjærgaard 2003)</w:t>
      </w:r>
      <w:r w:rsidR="00633C9F">
        <w:rPr>
          <w:rFonts w:ascii="Times New Roman" w:hAnsi="Times New Roman" w:cs="Times New Roman"/>
        </w:rPr>
        <w:fldChar w:fldCharType="end"/>
      </w:r>
      <w:r w:rsidR="00633C9F">
        <w:rPr>
          <w:rFonts w:ascii="Times New Roman" w:hAnsi="Times New Roman" w:cs="Times New Roman"/>
        </w:rPr>
        <w:t>. White clover and the cyanogenic</w:t>
      </w:r>
      <w:r w:rsidR="00733266">
        <w:rPr>
          <w:rFonts w:ascii="Times New Roman" w:hAnsi="Times New Roman" w:cs="Times New Roman"/>
        </w:rPr>
        <w:t xml:space="preserve"> polymorphism have</w:t>
      </w:r>
      <w:r w:rsidR="00633C9F">
        <w:rPr>
          <w:rFonts w:ascii="Times New Roman" w:hAnsi="Times New Roman" w:cs="Times New Roman"/>
        </w:rPr>
        <w:t xml:space="preserve"> a long-history of study among evolutionary biologists </w:t>
      </w:r>
      <w:r>
        <w:rPr>
          <w:rFonts w:ascii="Times New Roman" w:hAnsi="Times New Roman" w:cs="Times New Roman"/>
        </w:rPr>
        <w:t>as both</w:t>
      </w:r>
      <w:r w:rsidR="00633C9F">
        <w:rPr>
          <w:rFonts w:ascii="Times New Roman" w:hAnsi="Times New Roman" w:cs="Times New Roman"/>
        </w:rPr>
        <w:t xml:space="preserve"> l</w:t>
      </w:r>
      <w:r w:rsidR="00633C9F" w:rsidRPr="0016607B">
        <w:rPr>
          <w:rFonts w:ascii="Times New Roman" w:hAnsi="Times New Roman" w:cs="Times New Roman"/>
        </w:rPr>
        <w:t xml:space="preserve">atitudinal and altitudinal clines in cyanogenesis have been reported in clover’s 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1954a,b; de Araújo 1976)</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non-native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1958; Ganders 1990; Kooyers and Olsen 2012)</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ranges with higher frequencies of HCN reported in populations from warmer (e.g. lower elevation and further south)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1965)</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drier environments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(Kooyers et al. 2014)</w:t>
      </w:r>
      <w:r w:rsidR="00633C9F" w:rsidRPr="0016607B">
        <w:rPr>
          <w:rFonts w:ascii="Times New Roman" w:hAnsi="Times New Roman" w:cs="Times New Roman"/>
        </w:rPr>
        <w:fldChar w:fldCharType="end"/>
      </w:r>
      <w:r w:rsidR="00633C9F">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w:t>
      </w:r>
      <w:r w:rsidR="00050C7A">
        <w:rPr>
          <w:rFonts w:ascii="Times New Roman" w:hAnsi="Times New Roman" w:cs="Times New Roman"/>
        </w:rPr>
        <w:t>both</w:t>
      </w:r>
      <w:r w:rsidR="00BE5631">
        <w:rPr>
          <w:rFonts w:ascii="Times New Roman" w:hAnsi="Times New Roman" w:cs="Times New Roman"/>
        </w:rPr>
        <w:t xml:space="preserve"> loci to produce HCN</w:t>
      </w:r>
      <w:r w:rsidR="00434CF3">
        <w:rPr>
          <w:rFonts w:ascii="Times New Roman" w:hAnsi="Times New Roman" w:cs="Times New Roman"/>
        </w:rPr>
        <w:t xml:space="preserve">. </w:t>
      </w:r>
      <w:r w:rsidR="006832CD">
        <w:rPr>
          <w:rFonts w:ascii="Times New Roman" w:hAnsi="Times New Roman" w:cs="Times New Roman"/>
        </w:rPr>
        <w:t xml:space="preserve">As such, this trait exhibits duplicate recessive epistasis (i.e. complimentary epistasis, </w:t>
      </w:r>
      <w:r w:rsidR="006832C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recessivity at either locus (or both) results in individuals lacking HCN (i.e. acyanogenic, HCN–). </w:t>
      </w:r>
      <w:r w:rsidR="004B53AC">
        <w:rPr>
          <w:rFonts w:ascii="Times New Roman" w:hAnsi="Times New Roman" w:cs="Times New Roman"/>
        </w:rPr>
        <w:t xml:space="preserve">This genetic architecture has important consequences for how stochastic changes in allele frequencies are expected to affect the frequency of HCN: </w:t>
      </w:r>
      <w:r w:rsidR="00D90CB3">
        <w:rPr>
          <w:rFonts w:ascii="Times New Roman" w:hAnsi="Times New Roman" w:cs="Times New Roman"/>
        </w:rPr>
        <w:t>the frequency of HCN can only increase via drift if the frequency of the dominant alleles at both underlying loci drift upward (Table 1). Any other combination of frequency changes in the dominant alleles result in decreases in the frequency of HCN, making population</w:t>
      </w:r>
      <w:r w:rsidR="004B53AC">
        <w:rPr>
          <w:rFonts w:ascii="Times New Roman" w:hAnsi="Times New Roman" w:cs="Times New Roman"/>
        </w:rPr>
        <w:t>s</w:t>
      </w:r>
      <w:r w:rsidR="00D90CB3">
        <w:rPr>
          <w:rFonts w:ascii="Times New Roman" w:hAnsi="Times New Roman" w:cs="Times New Roman"/>
        </w:rPr>
        <w:t xml:space="preserve"> </w:t>
      </w:r>
      <w:r w:rsidR="004B53AC">
        <w:rPr>
          <w:rFonts w:ascii="Times New Roman" w:hAnsi="Times New Roman" w:cs="Times New Roman"/>
        </w:rPr>
        <w:t>especially</w:t>
      </w:r>
      <w:r w:rsidR="00D90CB3">
        <w:rPr>
          <w:rFonts w:ascii="Times New Roman" w:hAnsi="Times New Roman" w:cs="Times New Roman"/>
        </w:rPr>
        <w:t xml:space="preserve"> susceptible to loss of HCN via drift. </w:t>
      </w:r>
    </w:p>
    <w:p w14:paraId="7380BC13" w14:textId="34A5E7CB" w:rsidR="006B3084" w:rsidRPr="006B3084" w:rsidRDefault="00057DDD" w:rsidP="006B3084">
      <w:pPr>
        <w:ind w:firstLine="360"/>
        <w:rPr>
          <w:rFonts w:ascii="Times New Roman" w:hAnsi="Times New Roman" w:cs="Times New Roman"/>
          <w:b/>
        </w:rPr>
      </w:pPr>
      <w:r w:rsidRPr="006B3084">
        <w:rPr>
          <w:rFonts w:ascii="Times New Roman" w:hAnsi="Times New Roman" w:cs="Times New Roman"/>
        </w:rPr>
        <w:t xml:space="preserve">In this paper, we </w:t>
      </w:r>
      <w:r w:rsidR="00FD34BE">
        <w:rPr>
          <w:rFonts w:ascii="Times New Roman" w:hAnsi="Times New Roman" w:cs="Times New Roman"/>
        </w:rPr>
        <w:t>develop a series of spatially-</w:t>
      </w:r>
      <w:r w:rsidR="00F0773F">
        <w:rPr>
          <w:rFonts w:ascii="Times New Roman" w:hAnsi="Times New Roman" w:cs="Times New Roman"/>
        </w:rPr>
        <w:t xml:space="preserve">explicit, agent-based simulations to </w:t>
      </w:r>
      <w:r w:rsidRPr="006B3084">
        <w:rPr>
          <w:rFonts w:ascii="Times New Roman" w:hAnsi="Times New Roman" w:cs="Times New Roman"/>
        </w:rPr>
        <w:t xml:space="preserve">address the following specific questions: </w:t>
      </w:r>
      <w:commentRangeStart w:id="0"/>
      <w:r w:rsidRPr="006B3084">
        <w:rPr>
          <w:rFonts w:ascii="Times New Roman" w:hAnsi="Times New Roman" w:cs="Times New Roman"/>
        </w:rPr>
        <w:t xml:space="preserve">(1) How do drift, gene flow and selection interact in the formation and maintenance of spatial clines in HCN? </w:t>
      </w:r>
      <w:r w:rsidR="006B3084" w:rsidRPr="006B3084">
        <w:rPr>
          <w:rFonts w:ascii="Times New Roman" w:hAnsi="Times New Roman" w:cs="Times New Roman"/>
        </w:rPr>
        <w:t>(2) Is the formation of urban-rural clines in HCN contingent upon the colonization history of white clover in cities (i.e. urban to rural, rural to urban, always colonized)?</w:t>
      </w:r>
      <w:commentRangeEnd w:id="0"/>
      <w:r w:rsidR="00F14A5E">
        <w:rPr>
          <w:rStyle w:val="CommentReference"/>
        </w:rPr>
        <w:commentReference w:id="0"/>
      </w:r>
      <w:r w:rsidR="00893E83">
        <w:rPr>
          <w:rFonts w:ascii="Times New Roman" w:hAnsi="Times New Roman" w:cs="Times New Roman"/>
        </w:rPr>
        <w:t xml:space="preserve"> While we focus on cyanogenesis in clover as a model for answering these questions, our results will have implications for the formation of clines in traits with a non-additive genetic basis in a range of different systems.</w:t>
      </w:r>
    </w:p>
    <w:p w14:paraId="5FF58B75" w14:textId="35575C67" w:rsidR="00057DDD" w:rsidRDefault="00057DDD" w:rsidP="006B3084">
      <w:pPr>
        <w:ind w:firstLine="360"/>
        <w:rPr>
          <w:rFonts w:ascii="Times New Roman" w:hAnsi="Times New Roman" w:cs="Times New Roman"/>
        </w:rPr>
      </w:pPr>
    </w:p>
    <w:p w14:paraId="556D6B4A" w14:textId="77777777" w:rsidR="00786DFF" w:rsidRDefault="00786DFF" w:rsidP="00786DFF">
      <w:pPr>
        <w:rPr>
          <w:rFonts w:ascii="Times New Roman" w:hAnsi="Times New Roman" w:cs="Times New Roman"/>
        </w:rPr>
      </w:pPr>
    </w:p>
    <w:p w14:paraId="56BDE2CE" w14:textId="77777777" w:rsidR="00786DFF" w:rsidRDefault="00786DFF" w:rsidP="00786DFF">
      <w:pPr>
        <w:rPr>
          <w:rFonts w:ascii="Times New Roman" w:hAnsi="Times New Roman" w:cs="Times New Roman"/>
        </w:rPr>
        <w:sectPr w:rsidR="00786DFF" w:rsidSect="00C35587">
          <w:pgSz w:w="12240" w:h="15840"/>
          <w:pgMar w:top="1440" w:right="1440" w:bottom="1440" w:left="1440" w:header="708" w:footer="708" w:gutter="0"/>
          <w:cols w:space="708"/>
          <w:docGrid w:linePitch="360"/>
        </w:sectPr>
      </w:pPr>
    </w:p>
    <w:p w14:paraId="61B9DE55" w14:textId="304C5FA8" w:rsidR="00786DFF" w:rsidRPr="002A6C5A" w:rsidRDefault="002A6C5A" w:rsidP="00786DFF">
      <w:pPr>
        <w:rPr>
          <w:rFonts w:ascii="Times New Roman" w:hAnsi="Times New Roman" w:cs="Times New Roman"/>
        </w:rPr>
      </w:pPr>
      <w:commentRangeStart w:id="2"/>
      <w:r>
        <w:rPr>
          <w:rFonts w:ascii="Times New Roman" w:hAnsi="Times New Roman" w:cs="Times New Roman"/>
          <w:b/>
        </w:rPr>
        <w:t>Table 1</w:t>
      </w:r>
      <w:commentRangeEnd w:id="2"/>
      <w:r>
        <w:rPr>
          <w:rStyle w:val="CommentReference"/>
        </w:rPr>
        <w:commentReference w:id="2"/>
      </w:r>
      <w:r>
        <w:rPr>
          <w:rFonts w:ascii="Times New Roman" w:hAnsi="Times New Roman" w:cs="Times New Roman"/>
          <w:b/>
        </w:rPr>
        <w:t>:</w:t>
      </w:r>
      <w:r>
        <w:rPr>
          <w:rFonts w:ascii="Times New Roman" w:hAnsi="Times New Roman" w:cs="Times New Roman"/>
        </w:rPr>
        <w:t xml:space="preserve"> Direction of change in the frequency of HCN as the frequency of dominant alleles at underlying loci either increases or decreases. In three out of four cases, HCN frequencies decrease. This makes populations particularly susceptible to loss of HCN via drift.  </w:t>
      </w:r>
    </w:p>
    <w:tbl>
      <w:tblPr>
        <w:tblW w:w="4060" w:type="dxa"/>
        <w:tblLook w:val="04A0" w:firstRow="1" w:lastRow="0" w:firstColumn="1" w:lastColumn="0" w:noHBand="0" w:noVBand="1"/>
      </w:tblPr>
      <w:tblGrid>
        <w:gridCol w:w="1460"/>
        <w:gridCol w:w="1300"/>
        <w:gridCol w:w="1300"/>
      </w:tblGrid>
      <w:tr w:rsidR="002A6C5A" w:rsidRPr="002A6C5A" w14:paraId="08D2938E" w14:textId="77777777" w:rsidTr="002A6C5A">
        <w:trPr>
          <w:trHeight w:val="340"/>
        </w:trPr>
        <w:tc>
          <w:tcPr>
            <w:tcW w:w="1460" w:type="dxa"/>
            <w:tcBorders>
              <w:top w:val="single" w:sz="4" w:space="0" w:color="auto"/>
              <w:left w:val="single" w:sz="4" w:space="0" w:color="auto"/>
              <w:bottom w:val="double" w:sz="6" w:space="0" w:color="auto"/>
              <w:right w:val="nil"/>
            </w:tcBorders>
            <w:shd w:val="clear" w:color="auto" w:fill="auto"/>
            <w:noWrap/>
            <w:vAlign w:val="bottom"/>
            <w:hideMark/>
          </w:tcPr>
          <w:p w14:paraId="1C1B7C7B"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CYP79D15</w:t>
            </w:r>
          </w:p>
        </w:tc>
        <w:tc>
          <w:tcPr>
            <w:tcW w:w="1300" w:type="dxa"/>
            <w:tcBorders>
              <w:top w:val="single" w:sz="4" w:space="0" w:color="auto"/>
              <w:left w:val="nil"/>
              <w:bottom w:val="double" w:sz="6" w:space="0" w:color="auto"/>
              <w:right w:val="nil"/>
            </w:tcBorders>
            <w:shd w:val="clear" w:color="auto" w:fill="auto"/>
            <w:noWrap/>
            <w:vAlign w:val="bottom"/>
            <w:hideMark/>
          </w:tcPr>
          <w:p w14:paraId="65832FE1"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Li</w:t>
            </w:r>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4D0C997" w14:textId="77777777" w:rsidR="002A6C5A" w:rsidRPr="002A6C5A" w:rsidRDefault="002A6C5A" w:rsidP="002A6C5A">
            <w:pPr>
              <w:jc w:val="center"/>
              <w:rPr>
                <w:rFonts w:ascii="Calibri" w:eastAsia="Times New Roman" w:hAnsi="Calibri" w:cs="Times New Roman"/>
                <w:b/>
                <w:bCs/>
                <w:color w:val="000000"/>
                <w:lang w:val="en-US"/>
              </w:rPr>
            </w:pPr>
            <w:r w:rsidRPr="002A6C5A">
              <w:rPr>
                <w:rFonts w:ascii="Calibri" w:eastAsia="Times New Roman" w:hAnsi="Calibri" w:cs="Times New Roman"/>
                <w:b/>
                <w:bCs/>
                <w:color w:val="000000"/>
                <w:lang w:val="en-US"/>
              </w:rPr>
              <w:t>HCN</w:t>
            </w:r>
          </w:p>
        </w:tc>
      </w:tr>
      <w:tr w:rsidR="002A6C5A" w:rsidRPr="002A6C5A" w14:paraId="614E1DCD" w14:textId="77777777" w:rsidTr="002A6C5A">
        <w:trPr>
          <w:trHeight w:val="340"/>
        </w:trPr>
        <w:tc>
          <w:tcPr>
            <w:tcW w:w="1460" w:type="dxa"/>
            <w:tcBorders>
              <w:top w:val="nil"/>
              <w:left w:val="single" w:sz="4" w:space="0" w:color="auto"/>
              <w:bottom w:val="nil"/>
              <w:right w:val="nil"/>
            </w:tcBorders>
            <w:shd w:val="clear" w:color="auto" w:fill="auto"/>
            <w:noWrap/>
            <w:vAlign w:val="bottom"/>
            <w:hideMark/>
          </w:tcPr>
          <w:p w14:paraId="11735F1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auto" w:fill="auto"/>
            <w:noWrap/>
            <w:vAlign w:val="bottom"/>
            <w:hideMark/>
          </w:tcPr>
          <w:p w14:paraId="1212D6A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auto" w:fill="auto"/>
            <w:noWrap/>
            <w:vAlign w:val="bottom"/>
            <w:hideMark/>
          </w:tcPr>
          <w:p w14:paraId="77C1CFCF"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r>
      <w:tr w:rsidR="002A6C5A" w:rsidRPr="002A6C5A" w14:paraId="413723CB"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0CDA270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000000" w:fill="D0CECE"/>
            <w:noWrap/>
            <w:vAlign w:val="bottom"/>
            <w:hideMark/>
          </w:tcPr>
          <w:p w14:paraId="28170990"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6D695A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6BD53AC9"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7B65089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nil"/>
              <w:right w:val="nil"/>
            </w:tcBorders>
            <w:shd w:val="clear" w:color="000000" w:fill="D0CECE"/>
            <w:noWrap/>
            <w:vAlign w:val="bottom"/>
            <w:hideMark/>
          </w:tcPr>
          <w:p w14:paraId="6E06C378"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485CB4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51F4543D" w14:textId="77777777" w:rsidTr="002A6C5A">
        <w:trPr>
          <w:trHeight w:val="320"/>
        </w:trPr>
        <w:tc>
          <w:tcPr>
            <w:tcW w:w="1460" w:type="dxa"/>
            <w:tcBorders>
              <w:top w:val="nil"/>
              <w:left w:val="single" w:sz="4" w:space="0" w:color="auto"/>
              <w:bottom w:val="single" w:sz="4" w:space="0" w:color="auto"/>
              <w:right w:val="nil"/>
            </w:tcBorders>
            <w:shd w:val="clear" w:color="000000" w:fill="D0CECE"/>
            <w:noWrap/>
            <w:vAlign w:val="bottom"/>
            <w:hideMark/>
          </w:tcPr>
          <w:p w14:paraId="6E3D2DD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single" w:sz="4" w:space="0" w:color="auto"/>
              <w:right w:val="nil"/>
            </w:tcBorders>
            <w:shd w:val="clear" w:color="000000" w:fill="D0CECE"/>
            <w:noWrap/>
            <w:vAlign w:val="bottom"/>
            <w:hideMark/>
          </w:tcPr>
          <w:p w14:paraId="3C14CF5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single" w:sz="4" w:space="0" w:color="auto"/>
              <w:right w:val="single" w:sz="4" w:space="0" w:color="auto"/>
            </w:tcBorders>
            <w:shd w:val="clear" w:color="000000" w:fill="D0CECE"/>
            <w:noWrap/>
            <w:vAlign w:val="bottom"/>
            <w:hideMark/>
          </w:tcPr>
          <w:p w14:paraId="05636A5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bl>
    <w:p w14:paraId="3CF62C64" w14:textId="77777777" w:rsidR="002A6C5A" w:rsidRPr="00330BBE" w:rsidRDefault="002A6C5A" w:rsidP="00786DFF">
      <w:pPr>
        <w:rPr>
          <w:rFonts w:ascii="Times New Roman" w:hAnsi="Times New Roman" w:cs="Times New Roman"/>
        </w:rPr>
      </w:pPr>
    </w:p>
    <w:p w14:paraId="451FDB91" w14:textId="76153420" w:rsidR="00114599" w:rsidRPr="00CD56FE" w:rsidRDefault="00114599" w:rsidP="006833B5">
      <w:pPr>
        <w:tabs>
          <w:tab w:val="left" w:pos="5421"/>
        </w:tabs>
        <w:ind w:firstLine="360"/>
        <w:rPr>
          <w:rFonts w:ascii="Times New Roman" w:hAnsi="Times New Roman" w:cs="Times New Roman"/>
        </w:rPr>
      </w:pPr>
    </w:p>
    <w:sectPr w:rsidR="00114599"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7-12-14T11:18:00Z" w:initials="JS">
    <w:p w14:paraId="5EE3E752" w14:textId="1A4C6E11" w:rsidR="00F14A5E" w:rsidRDefault="00F14A5E">
      <w:pPr>
        <w:pStyle w:val="CommentText"/>
      </w:pPr>
      <w:r>
        <w:rPr>
          <w:rStyle w:val="CommentReference"/>
        </w:rPr>
        <w:annotationRef/>
      </w:r>
      <w:r>
        <w:t xml:space="preserve">May need to refine/break up questions once we see how the methods and results are shaping up. </w:t>
      </w:r>
      <w:bookmarkStart w:id="1" w:name="_GoBack"/>
      <w:bookmarkEnd w:id="1"/>
    </w:p>
  </w:comment>
  <w:comment w:id="2" w:author="James Santangelo" w:date="2017-12-13T18:45:00Z" w:initials="JS">
    <w:p w14:paraId="04AD1FE3" w14:textId="77777777" w:rsidR="002A6C5A" w:rsidRDefault="002A6C5A">
      <w:pPr>
        <w:pStyle w:val="CommentText"/>
      </w:pPr>
      <w:r>
        <w:rPr>
          <w:rStyle w:val="CommentReference"/>
        </w:rPr>
        <w:annotationRef/>
      </w:r>
      <w:r>
        <w:t>I think a table like this is an intuitive way of getting this point across but am open to other suggestions. Do you prefer this or the figure in the appraisal document? I like the figure but worry it may be too complicated with it being interactive since it’s harder to visualize the changes. Maybe having figure and table together in a single image somehow?</w:t>
      </w:r>
    </w:p>
    <w:p w14:paraId="07435FCE" w14:textId="77777777" w:rsidR="002A6C5A" w:rsidRDefault="002A6C5A">
      <w:pPr>
        <w:pStyle w:val="CommentText"/>
      </w:pPr>
    </w:p>
    <w:p w14:paraId="486FAA8D" w14:textId="0236103F" w:rsidR="002A6C5A" w:rsidRDefault="002A6C5A">
      <w:pPr>
        <w:pStyle w:val="CommentText"/>
      </w:pPr>
      <w:r>
        <w:t xml:space="preserve">Another option would be to have the table in the paper and in the caption link to an interactive version of the appraisal document figure that people could play around with. The downside here would be that the interactive html figure would have to be hosted on a server somewhere.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E3E752" w15:done="0"/>
  <w15:commentEx w15:paraId="486FA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50C7A"/>
    <w:rsid w:val="00057DDD"/>
    <w:rsid w:val="00114599"/>
    <w:rsid w:val="00132CB7"/>
    <w:rsid w:val="0015288B"/>
    <w:rsid w:val="001B2BDA"/>
    <w:rsid w:val="001B6128"/>
    <w:rsid w:val="001D214D"/>
    <w:rsid w:val="00232888"/>
    <w:rsid w:val="00243BEE"/>
    <w:rsid w:val="002A6C5A"/>
    <w:rsid w:val="002D3DBE"/>
    <w:rsid w:val="002F5234"/>
    <w:rsid w:val="00304787"/>
    <w:rsid w:val="00330BBE"/>
    <w:rsid w:val="003E6E40"/>
    <w:rsid w:val="00401E0A"/>
    <w:rsid w:val="004264E0"/>
    <w:rsid w:val="00431177"/>
    <w:rsid w:val="00434CF3"/>
    <w:rsid w:val="004368E2"/>
    <w:rsid w:val="00441CF4"/>
    <w:rsid w:val="004645C2"/>
    <w:rsid w:val="00481CA1"/>
    <w:rsid w:val="004B53AC"/>
    <w:rsid w:val="005035A4"/>
    <w:rsid w:val="00512611"/>
    <w:rsid w:val="0053447A"/>
    <w:rsid w:val="005947F7"/>
    <w:rsid w:val="005961E8"/>
    <w:rsid w:val="005D5471"/>
    <w:rsid w:val="005E54EE"/>
    <w:rsid w:val="005F35F0"/>
    <w:rsid w:val="006331B0"/>
    <w:rsid w:val="00633C9F"/>
    <w:rsid w:val="006832CD"/>
    <w:rsid w:val="006833B5"/>
    <w:rsid w:val="006B3084"/>
    <w:rsid w:val="00733266"/>
    <w:rsid w:val="007403D0"/>
    <w:rsid w:val="007417C3"/>
    <w:rsid w:val="00786DFF"/>
    <w:rsid w:val="007A1337"/>
    <w:rsid w:val="007B0DD2"/>
    <w:rsid w:val="007F0059"/>
    <w:rsid w:val="007F0471"/>
    <w:rsid w:val="008054DC"/>
    <w:rsid w:val="00893E83"/>
    <w:rsid w:val="008B29B9"/>
    <w:rsid w:val="008E422C"/>
    <w:rsid w:val="00924F82"/>
    <w:rsid w:val="009436BD"/>
    <w:rsid w:val="00991E07"/>
    <w:rsid w:val="009C2BBE"/>
    <w:rsid w:val="009E4CA6"/>
    <w:rsid w:val="00A157A4"/>
    <w:rsid w:val="00AC508B"/>
    <w:rsid w:val="00AD2ABA"/>
    <w:rsid w:val="00B8345F"/>
    <w:rsid w:val="00BE5631"/>
    <w:rsid w:val="00C13802"/>
    <w:rsid w:val="00C35587"/>
    <w:rsid w:val="00C6368D"/>
    <w:rsid w:val="00C93675"/>
    <w:rsid w:val="00CB2025"/>
    <w:rsid w:val="00CD56FE"/>
    <w:rsid w:val="00CE034C"/>
    <w:rsid w:val="00D1099C"/>
    <w:rsid w:val="00D90CB3"/>
    <w:rsid w:val="00E5291C"/>
    <w:rsid w:val="00E87AD7"/>
    <w:rsid w:val="00EA15D0"/>
    <w:rsid w:val="00F0773F"/>
    <w:rsid w:val="00F14A5E"/>
    <w:rsid w:val="00F472C3"/>
    <w:rsid w:val="00F847D0"/>
    <w:rsid w:val="00FD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0252AA-F362-B34C-A24A-6B61463B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18578</Words>
  <Characters>105899</Characters>
  <Application>Microsoft Macintosh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24</cp:revision>
  <dcterms:created xsi:type="dcterms:W3CDTF">2017-12-13T18:29:00Z</dcterms:created>
  <dcterms:modified xsi:type="dcterms:W3CDTF">2017-12-14T16:19:00Z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