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1100"/>
          <w:sz w:val="36"/>
        </w:rPr>
        <w:t>⚠️ DATA SOURCES — DO NOT MODIFY WITHOUT APPROVAL ⚠️</w:t>
      </w:r>
    </w:p>
    <w:p>
      <w:pPr>
        <w:jc w:val="center"/>
      </w:pPr>
      <w:r>
        <w:rPr>
          <w:color w:val="666666"/>
          <w:sz w:val="20"/>
        </w:rPr>
        <w:t>Owner: James Savage (j0s028j)  |  Last Verified: 2026-02-16</w:t>
      </w:r>
    </w:p>
    <w:p/>
    <w:p>
      <w:r>
        <w:rPr>
          <w:b/>
          <w:sz w:val="22"/>
        </w:rPr>
        <w:t>This document is the single source of truth for every data source, calculation, and business rule in the TNT/WTW/Leak dashboard. If you are modifying refresh.py, add_wtw_tab.py, or any BQ query, you MUST read this document first. Do not deviate from these specifications without explicit written approval from the owner.</w:t>
      </w:r>
    </w:p>
    <w:p/>
    <w:p>
      <w:pPr>
        <w:pStyle w:val="Heading1"/>
      </w:pPr>
      <w:r>
        <w:rPr>
          <w:color w:val="0053E2"/>
        </w:rPr>
        <w:t>1. Approved 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Project</w:t>
            </w:r>
          </w:p>
        </w:tc>
      </w:tr>
      <w:tr>
        <w:tc>
          <w:tcPr>
            <w:tcW w:type="dxa" w:w="2880"/>
          </w:tcPr>
          <w:p>
            <w:r>
              <w:t>Work Orders</w:t>
            </w:r>
          </w:p>
        </w:tc>
        <w:tc>
          <w:tcPr>
            <w:tcW w:type="dxa" w:w="2880"/>
          </w:tcPr>
          <w:p>
            <w:r>
              <w:t>crystal.sc_workorder</w:t>
            </w:r>
          </w:p>
        </w:tc>
        <w:tc>
          <w:tcPr>
            <w:tcW w:type="dxa" w:w="2880"/>
          </w:tcPr>
          <w:p>
            <w:r>
              <w:t>re-crystal-mdm-prod</w:t>
            </w:r>
          </w:p>
        </w:tc>
      </w:tr>
      <w:tr>
        <w:tc>
          <w:tcPr>
            <w:tcW w:type="dxa" w:w="2880"/>
          </w:tcPr>
          <w:p>
            <w:r>
              <w:t>Store Metrics (TnT, Dewpoint)</w:t>
            </w:r>
          </w:p>
        </w:tc>
        <w:tc>
          <w:tcPr>
            <w:tcW w:type="dxa" w:w="2880"/>
          </w:tcPr>
          <w:p>
            <w:r>
              <w:t>crystal.store_tabular_view</w:t>
            </w:r>
          </w:p>
        </w:tc>
        <w:tc>
          <w:tcPr>
            <w:tcW w:type="dxa" w:w="2880"/>
          </w:tcPr>
          <w:p>
            <w:r>
              <w:t>re-crystal-mdm-prod</w:t>
            </w:r>
          </w:p>
        </w:tc>
      </w:tr>
      <w:tr>
        <w:tc>
          <w:tcPr>
            <w:tcW w:type="dxa" w:w="2880"/>
          </w:tcPr>
          <w:p>
            <w:r>
              <w:t>Rack Scores</w:t>
            </w:r>
          </w:p>
        </w:tc>
        <w:tc>
          <w:tcPr>
            <w:tcW w:type="dxa" w:w="2880"/>
          </w:tcPr>
          <w:p>
            <w:r>
              <w:t>us_re_ods_prod_pub.dip_rack_scorecard</w:t>
            </w:r>
          </w:p>
        </w:tc>
        <w:tc>
          <w:tcPr>
            <w:tcW w:type="dxa" w:w="2880"/>
          </w:tcPr>
          <w:p>
            <w:r>
              <w:t>re-ods-prod</w:t>
            </w:r>
          </w:p>
        </w:tc>
      </w:tr>
      <w:tr>
        <w:tc>
          <w:tcPr>
            <w:tcW w:type="dxa" w:w="2880"/>
          </w:tcPr>
          <w:p>
            <w:r>
              <w:t>Labor Hours</w:t>
            </w:r>
          </w:p>
        </w:tc>
        <w:tc>
          <w:tcPr>
            <w:tcW w:type="dxa" w:w="2880"/>
          </w:tcPr>
          <w:p>
            <w:r>
              <w:t>us_re_ods_prod_pub.sc_walmart_workorder_labor_performed</w:t>
            </w:r>
          </w:p>
        </w:tc>
        <w:tc>
          <w:tcPr>
            <w:tcW w:type="dxa" w:w="2880"/>
          </w:tcPr>
          <w:p>
            <w:r>
              <w:t>re-ods-prod</w:t>
            </w:r>
          </w:p>
        </w:tc>
      </w:tr>
    </w:tbl>
    <w:p/>
    <w:p>
      <w:pPr>
        <w:pStyle w:val="Heading1"/>
      </w:pPr>
      <w:r>
        <w:rPr>
          <w:color w:val="0053E2"/>
        </w:rPr>
        <w:t>2. Rack Score Calculation</w:t>
      </w:r>
    </w:p>
    <w:p>
      <w:r>
        <w:rPr>
          <w:rFonts w:ascii="Courier New" w:hAnsi="Courier New"/>
          <w:b/>
          <w:sz w:val="20"/>
        </w:rPr>
        <w:t>Source: re-ods-prod.us_re_ods_prod_pub.dip_rack_scorecard</w:t>
      </w:r>
    </w:p>
    <w:p/>
    <w:p>
      <w:r>
        <w:rPr>
          <w:b/>
          <w:color w:val="EA1100"/>
          <w:sz w:val="24"/>
        </w:rPr>
        <w:t>⚠️ CRITICAL: result column encoding</w:t>
      </w:r>
    </w:p>
    <w:p>
      <w:pPr>
        <w:pStyle w:val="ListBullet"/>
      </w:pPr>
      <w:r>
        <w:t>result = 1 → TEST FAILED (not passed!)</w:t>
      </w:r>
    </w:p>
    <w:p>
      <w:pPr>
        <w:pStyle w:val="ListBullet"/>
      </w:pPr>
      <w:r>
        <w:t>result = 0 → TEST PASSED</w:t>
      </w:r>
    </w:p>
    <w:p>
      <w:pPr>
        <w:pStyle w:val="ListBullet"/>
      </w:pPr>
      <w:r>
        <w:t>Filter to groupKey = "rackCallLetter" only (rack-level tests)</w:t>
      </w:r>
    </w:p>
    <w:p>
      <w:pPr>
        <w:pStyle w:val="ListBullet"/>
      </w:pPr>
      <w:r>
        <w:t>Exclude groupKey = "defrost" (circuit-level cycling checks)</w:t>
      </w:r>
    </w:p>
    <w:p>
      <w:pPr>
        <w:pStyle w:val="ListBullet"/>
      </w:pPr>
      <w:r>
        <w:t>Use most recent testDate per store</w:t>
      </w:r>
    </w:p>
    <w:p>
      <w:pPr>
        <w:pStyle w:val="ListBullet"/>
      </w:pPr>
      <w:r>
        <w:t>Rack Score = 100 × (tests where result=0) / (total tests)</w:t>
      </w:r>
    </w:p>
    <w:p/>
    <w:p>
      <w:r>
        <w:rPr>
          <w:b/>
        </w:rPr>
        <w:t>Validation — Store 14 on 2026-01-07:</w:t>
      </w:r>
    </w:p>
    <w:p>
      <w:pPr>
        <w:pStyle w:val="ListBullet"/>
      </w:pPr>
      <w:r>
        <w:t>38 rack-level tests, 2 failed → Rack Score = 94.74%</w:t>
      </w:r>
    </w:p>
    <w:p>
      <w:pPr>
        <w:pStyle w:val="ListBullet"/>
      </w:pPr>
      <w:r>
        <w:t>Crystal PM at completion = 94.94% (within 0.34%)</w:t>
      </w:r>
    </w:p>
    <w:p>
      <w:pPr>
        <w:pStyle w:val="ListBullet"/>
      </w:pPr>
      <w:r>
        <w:t>Previous wrong table showed 63.91% — a 30% error</w:t>
      </w:r>
    </w:p>
    <w:p/>
    <w:p>
      <w:pPr>
        <w:pStyle w:val="Heading1"/>
      </w:pPr>
      <w:r>
        <w:rPr>
          <w:color w:val="0053E2"/>
        </w:rPr>
        <w:t>3. PM Score Calculation</w:t>
      </w:r>
    </w:p>
    <w:p>
      <w:r>
        <w:rPr>
          <w:b/>
          <w:sz w:val="22"/>
        </w:rPr>
        <w:t>PM Score = Average of AVAILABLE components (NULL excluded, NOT treated as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Pass Threshold</w:t>
            </w:r>
          </w:p>
        </w:tc>
        <w:tc>
          <w:tcPr>
            <w:tcW w:type="dxa" w:w="2160"/>
          </w:tcPr>
          <w:p>
            <w:r>
              <w:t>If NULL</w:t>
            </w:r>
          </w:p>
        </w:tc>
      </w:tr>
      <w:tr>
        <w:tc>
          <w:tcPr>
            <w:tcW w:type="dxa" w:w="2160"/>
          </w:tcPr>
          <w:p>
            <w:r>
              <w:t>Rack Score</w:t>
            </w:r>
          </w:p>
        </w:tc>
        <w:tc>
          <w:tcPr>
            <w:tcW w:type="dxa" w:w="2160"/>
          </w:tcPr>
          <w:p>
            <w:r>
              <w:t>dip_rack_scorecard</w:t>
            </w:r>
          </w:p>
        </w:tc>
        <w:tc>
          <w:tcPr>
            <w:tcW w:type="dxa" w:w="2160"/>
          </w:tcPr>
          <w:p>
            <w:r>
              <w:t>≥ 90%</w:t>
            </w:r>
          </w:p>
        </w:tc>
        <w:tc>
          <w:tcPr>
            <w:tcW w:type="dxa" w:w="2160"/>
          </w:tcPr>
          <w:p>
            <w:r>
              <w:t>Excluded</w:t>
            </w:r>
          </w:p>
        </w:tc>
      </w:tr>
      <w:tr>
        <w:tc>
          <w:tcPr>
            <w:tcW w:type="dxa" w:w="2160"/>
          </w:tcPr>
          <w:p>
            <w:r>
              <w:t>TnT Score</w:t>
            </w:r>
          </w:p>
        </w:tc>
        <w:tc>
          <w:tcPr>
            <w:tcW w:type="dxa" w:w="2160"/>
          </w:tcPr>
          <w:p>
            <w:r>
              <w:t>store_tabular_view.twt_ref</w:t>
            </w:r>
          </w:p>
        </w:tc>
        <w:tc>
          <w:tcPr>
            <w:tcW w:type="dxa" w:w="2160"/>
          </w:tcPr>
          <w:p>
            <w:r>
              <w:t>≥ 90% WM / ≥ 87% Sams</w:t>
            </w:r>
          </w:p>
        </w:tc>
        <w:tc>
          <w:tcPr>
            <w:tcW w:type="dxa" w:w="2160"/>
          </w:tcPr>
          <w:p>
            <w:r>
              <w:t>Excluded</w:t>
            </w:r>
          </w:p>
        </w:tc>
      </w:tr>
      <w:tr>
        <w:tc>
          <w:tcPr>
            <w:tcW w:type="dxa" w:w="2160"/>
          </w:tcPr>
          <w:p>
            <w:r>
              <w:t>Dewpoint</w:t>
            </w:r>
          </w:p>
        </w:tc>
        <w:tc>
          <w:tcPr>
            <w:tcW w:type="dxa" w:w="2160"/>
          </w:tcPr>
          <w:p>
            <w:r>
              <w:t>store_tabular_view.dewpoint</w:t>
            </w:r>
          </w:p>
        </w:tc>
        <w:tc>
          <w:tcPr>
            <w:tcW w:type="dxa" w:w="2160"/>
          </w:tcPr>
          <w:p>
            <w:r>
              <w:t>≤ 52°F (100 if pass, 0 if fail)</w:t>
            </w:r>
          </w:p>
        </w:tc>
        <w:tc>
          <w:tcPr>
            <w:tcW w:type="dxa" w:w="2160"/>
          </w:tcPr>
          <w:p>
            <w:r>
              <w:t>Excluded</w:t>
            </w:r>
          </w:p>
        </w:tc>
      </w:tr>
    </w:tbl>
    <w:p/>
    <w:p>
      <w:pPr>
        <w:pStyle w:val="Heading1"/>
      </w:pPr>
      <w:r>
        <w:rPr>
          <w:color w:val="0053E2"/>
        </w:rPr>
        <w:t>4. Column Type Reference (Join Gotchas)</w:t>
      </w:r>
    </w:p>
    <w:p>
      <w:pPr>
        <w:pStyle w:val="ListBullet"/>
      </w:pPr>
      <w:r>
        <w:t>sc_workorder.store_nbr is STRING → use SAFE_CAST(store_nbr AS INT64) to join to store_tabular_view</w:t>
      </w:r>
    </w:p>
    <w:p>
      <w:pPr>
        <w:pStyle w:val="ListBullet"/>
      </w:pPr>
      <w:r>
        <w:t>sc_workorder.tracking_nbr is INT64 → matches labor_performed.tracking_number (INT64)</w:t>
      </w:r>
    </w:p>
    <w:p>
      <w:pPr>
        <w:pStyle w:val="ListBullet"/>
      </w:pPr>
      <w:r>
        <w:t>dip_rack_scorecard.storeNo is STRING → joins to sc_workorder.store_nbr directly</w:t>
      </w:r>
    </w:p>
    <w:p>
      <w:pPr>
        <w:pStyle w:val="ListBullet"/>
      </w:pPr>
      <w:r>
        <w:t>store_tabular_view.fs_market is INT64 → CAST to STRING for display</w:t>
      </w:r>
    </w:p>
    <w:p/>
    <w:p>
      <w:pPr>
        <w:pStyle w:val="Heading1"/>
      </w:pPr>
      <w:r>
        <w:rPr>
          <w:color w:val="EA1100"/>
        </w:rPr>
        <w:t>5. BANNED Data Sources</w:t>
      </w:r>
    </w:p>
    <w:p>
      <w:r>
        <w:rPr>
          <w:rFonts w:ascii="Courier New" w:hAnsi="Courier New"/>
          <w:b/>
          <w:color w:val="EA1100"/>
        </w:rPr>
        <w:t>crystal.rack_comprehensive_performance_data</w:t>
      </w:r>
    </w:p>
    <w:p>
      <w:r>
        <w:t>This table is BANNED. Data is stale (only through Oct 2024). It produced wildly incorrect rack scores (e.g., Store 14: 63.91% vs correct 95.0%). Using this table caused 500+ stores to be incorrectly flagged for critical reopen. If you find this table referenced anywhere in the codebase, it is a bug.</w:t>
      </w:r>
    </w:p>
    <w:p/>
    <w:p>
      <w:pPr>
        <w:pStyle w:val="Heading1"/>
      </w:pPr>
      <w:r>
        <w:rPr>
          <w:color w:val="0053E2"/>
        </w:rPr>
        <w:t>6. Before You Change Anything</w:t>
      </w:r>
    </w:p>
    <w:p>
      <w:r>
        <w:rPr>
          <w:b/>
          <w:sz w:val="22"/>
        </w:rPr>
        <w:t>1. Read this document completely.</w:t>
      </w:r>
    </w:p>
    <w:p>
      <w:r>
        <w:rPr>
          <w:b/>
          <w:sz w:val="22"/>
        </w:rPr>
        <w:t>2. Check the banned sources list.</w:t>
      </w:r>
    </w:p>
    <w:p>
      <w:r>
        <w:rPr>
          <w:b/>
          <w:sz w:val="22"/>
        </w:rPr>
        <w:t>3. Validate against Crystal — pick 3 stores, compare PM scores.</w:t>
      </w:r>
    </w:p>
    <w:p>
      <w:r>
        <w:rPr>
          <w:b/>
          <w:sz w:val="22"/>
        </w:rPr>
        <w:t>4. Get written approval from the owner before merging.</w:t>
      </w:r>
    </w:p>
    <w:p>
      <w:r>
        <w:rPr>
          <w:b/>
          <w:sz w:val="22"/>
        </w:rPr>
        <w:t>5. Update the change log in DATA_SOURCES.md with what changed and who approved.</w:t>
      </w:r>
    </w:p>
    <w:p/>
    <w:p>
      <w:r>
        <w:rPr>
          <w:b/>
          <w:color w:val="EA1100"/>
          <w:sz w:val="24"/>
        </w:rPr>
        <w:t>If you skip these steps and break the dashboard, that's on you.</w:t>
      </w:r>
    </w:p>
    <w:p/>
    <w:p>
      <w:pPr>
        <w:jc w:val="center"/>
      </w:pPr>
      <w:r>
        <w:rPr>
          <w:i/>
          <w:color w:val="CCCCCC"/>
          <w:sz w:val="16"/>
        </w:rPr>
        <w:t>Generated by Kodiak 🐶 | code-puppy | 2026-02-16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