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39CCB927" w:rsidR="00DA2C62" w:rsidRPr="008947B7" w:rsidRDefault="003568CB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3.9.0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631A10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B6C25B5" w:rsidR="00B752C8" w:rsidRPr="004028A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33EB9DFC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615CA958" w:rsidR="00A43180" w:rsidRPr="003F409A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7FA3CDB1" w14:textId="0B68E6AC" w:rsidR="00114718" w:rsidRPr="00383D45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`project_model` to allow rapid exploration of future climate scenarios using end-of-century climate model output without iteratively re-fitting the model.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7514B83E" w:rsidR="00B752C8" w:rsidRPr="0085045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fixing the unconditional simulation of </w:t>
      </w:r>
      <w:r>
        <w:rPr>
          <w:rFonts w:ascii="Times New Roman" w:hAnsi="Times New Roman" w:cs="Times New Roman"/>
          <w:sz w:val="24"/>
          <w:szCs w:val="24"/>
        </w:rPr>
        <w:t>{beta1/beta2/epsilon1/epsilon2}</w:t>
      </w:r>
      <w:r>
        <w:rPr>
          <w:rFonts w:ascii="Times New Roman" w:hAnsi="Times New Roman" w:cs="Times New Roman"/>
          <w:sz w:val="24"/>
          <w:szCs w:val="24"/>
        </w:rPr>
        <w:t xml:space="preserve">, the package author has disabled the Vector Autoregressive features specified via `VamConfig`.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`VamConfig` options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F097C2" w14:textId="65D5E585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</w:t>
      </w:r>
      <w:r w:rsidR="003740F7">
        <w:rPr>
          <w:rFonts w:ascii="Times New Roman" w:hAnsi="Times New Roman" w:cs="Times New Roman"/>
          <w:sz w:val="24"/>
          <w:szCs w:val="24"/>
        </w:rPr>
        <w:lastRenderedPageBreak/>
        <w:t>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C23D2" w14:textId="77777777" w:rsidR="00E1369C" w:rsidRDefault="00E1369C">
      <w:pPr>
        <w:spacing w:after="0" w:line="240" w:lineRule="auto"/>
      </w:pPr>
      <w:r>
        <w:separator/>
      </w:r>
    </w:p>
  </w:endnote>
  <w:endnote w:type="continuationSeparator" w:id="0">
    <w:p w14:paraId="5200C10C" w14:textId="77777777" w:rsidR="00E1369C" w:rsidRDefault="00E1369C">
      <w:pPr>
        <w:spacing w:after="0" w:line="240" w:lineRule="auto"/>
      </w:pPr>
      <w:r>
        <w:continuationSeparator/>
      </w:r>
    </w:p>
  </w:endnote>
  <w:endnote w:type="continuationNotice" w:id="1">
    <w:p w14:paraId="0B1C98D8" w14:textId="77777777" w:rsidR="00E1369C" w:rsidRDefault="00E136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1132A" w14:textId="77777777" w:rsidR="00E1369C" w:rsidRDefault="00E1369C">
      <w:pPr>
        <w:spacing w:after="0" w:line="240" w:lineRule="auto"/>
      </w:pPr>
      <w:r>
        <w:separator/>
      </w:r>
    </w:p>
  </w:footnote>
  <w:footnote w:type="continuationSeparator" w:id="0">
    <w:p w14:paraId="0CAC79A2" w14:textId="77777777" w:rsidR="00E1369C" w:rsidRDefault="00E1369C">
      <w:pPr>
        <w:spacing w:after="0" w:line="240" w:lineRule="auto"/>
      </w:pPr>
      <w:r>
        <w:continuationSeparator/>
      </w:r>
    </w:p>
  </w:footnote>
  <w:footnote w:type="continuationNotice" w:id="1">
    <w:p w14:paraId="05EB299A" w14:textId="77777777" w:rsidR="00E1369C" w:rsidRDefault="00E136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7716-1F57-42DF-83C8-1494BC99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68</cp:revision>
  <cp:lastPrinted>2019-07-08T14:54:00Z</cp:lastPrinted>
  <dcterms:created xsi:type="dcterms:W3CDTF">2020-08-07T20:57:00Z</dcterms:created>
  <dcterms:modified xsi:type="dcterms:W3CDTF">2022-02-26T21:25:00Z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