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22840C1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77777777"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commonly saved to terminal (see Table 1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09C87FB8"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and/or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766191"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6F297323" w:rsidR="002A7026" w:rsidRDefault="00766191"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26D3E74D"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766191"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766191"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766191"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766191"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766191"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766191"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766191"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766191"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C0BEE05" w:rsidR="002F41BB" w:rsidRPr="002F41BB" w:rsidRDefault="002F41BB"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Overdisperison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766191"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766191"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766191"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766191"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766191"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766191"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766191"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766191"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766191"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766191"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66191"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66191"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66191"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07956C8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766191"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3B198518" w14:textId="2CB32487" w:rsidR="00DA2C62"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6D40D145" w:rsidR="00191F85" w:rsidRDefault="00191F85" w:rsidP="00DA2C62">
      <w:pPr>
        <w:spacing w:after="0" w:line="480" w:lineRule="auto"/>
        <w:rPr>
          <w:rFonts w:ascii="Times New Roman" w:eastAsiaTheme="minorEastAsia" w:hAnsi="Times New Roman" w:cs="Times New Roman"/>
          <w:iCs/>
          <w:sz w:val="24"/>
          <w:szCs w:val="24"/>
        </w:rPr>
      </w:pPr>
    </w:p>
    <w:p w14:paraId="4531C995" w14:textId="2A512F2D" w:rsidR="007565E5" w:rsidRPr="00E02D5F" w:rsidRDefault="007565E5" w:rsidP="007565E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Identifiability constraints</w:t>
      </w:r>
      <w:r w:rsidRPr="00E02D5F">
        <w:rPr>
          <w:rFonts w:ascii="Times New Roman" w:eastAsiaTheme="minorEastAsia" w:hAnsi="Times New Roman" w:cs="Times New Roman"/>
          <w:iCs/>
          <w:sz w:val="24"/>
          <w:szCs w:val="24"/>
        </w:rPr>
        <w:t>:</w:t>
      </w:r>
    </w:p>
    <w:p w14:paraId="6AA944F1" w14:textId="09A6F104" w:rsidR="007565E5" w:rsidRDefault="007565E5"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model as described requires several identifiability constraints to ensure that the resulting Hessian is positive definite (and hence allow calculation of asymptotic standard errors):</w:t>
      </w:r>
    </w:p>
    <w:p w14:paraId="6478CA0B" w14:textId="5DA08F6C" w:rsid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All loadings matrices are defined to be lower-triangular (i.e., elements above the diagonal are fixed at 0);</w:t>
      </w:r>
    </w:p>
    <w:p w14:paraId="73AB0510" w14:textId="1BFF5151" w:rsidR="007565E5" w:rsidRP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When estimating spatial random fields </w:t>
      </w:r>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oMath>
      <w:r>
        <w:rPr>
          <w:rFonts w:ascii="Times New Roman" w:eastAsiaTheme="minorEastAsia" w:hAnsi="Times New Roman" w:cs="Times New Roman"/>
          <w:iCs/>
          <w:sz w:val="24"/>
          <w:szCs w:val="24"/>
        </w:rPr>
        <w:t xml:space="preserve"> and estimating a loadings matrix across years for spatio-temporal variation, it is helpful to impose a sum-to-zero constraint on factors of the loadings matrix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This ensures that spatial terms represent the distribution in an “average” year, defined as times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all columns;</w:t>
      </w:r>
    </w:p>
    <w:p w14:paraId="754667FF" w14:textId="77777777" w:rsidR="00766191" w:rsidRPr="00766191"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loadings across species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across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 magnitude of these two matrices is confounded.  The solution adopted here is to impose the constraint that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sup>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f</m:t>
                </m:r>
                <m:r>
                  <w:rPr>
                    <w:rFonts w:ascii="Cambria Math" w:eastAsiaTheme="minorEastAsia" w:hAnsi="Cambria Math" w:cs="Times New Roman"/>
                    <w:sz w:val="24"/>
                    <w:szCs w:val="24"/>
                  </w:rPr>
                  <m:t>,t)</m:t>
                </m:r>
              </m:e>
            </m:nary>
          </m:e>
        </m:nary>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both linear predictors</w:t>
      </w:r>
      <w:r w:rsidR="00CC04D1">
        <w:rPr>
          <w:rFonts w:ascii="Times New Roman" w:eastAsiaTheme="minorEastAsia" w:hAnsi="Times New Roman" w:cs="Times New Roman"/>
          <w:sz w:val="24"/>
          <w:szCs w:val="24"/>
        </w:rPr>
        <w:t xml:space="preserve">, such that the magnitude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CC04D1">
        <w:rPr>
          <w:rFonts w:ascii="Times New Roman" w:eastAsiaTheme="minorEastAsia" w:hAnsi="Times New Roman" w:cs="Times New Roman"/>
          <w:sz w:val="24"/>
          <w:szCs w:val="24"/>
        </w:rPr>
        <w:t xml:space="preserve"> can be interpreted similarly to other loadings matrices</w:t>
      </w:r>
      <w:r>
        <w:rPr>
          <w:rFonts w:ascii="Times New Roman" w:eastAsiaTheme="minorEastAsia" w:hAnsi="Times New Roman" w:cs="Times New Roman"/>
          <w:sz w:val="24"/>
          <w:szCs w:val="24"/>
        </w:rPr>
        <w:t>.</w:t>
      </w:r>
    </w:p>
    <w:p w14:paraId="2CDF5AE8" w14:textId="226CCC32" w:rsidR="007565E5" w:rsidRPr="00766191" w:rsidRDefault="00F33E43" w:rsidP="0076619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The model also has issues arising from “label switching,” i.e., where any column of any loadings matrix could be multiplied by negative-one (and similarly for the associated factor) without any change in the model predicts and likelihood.  This implies that the negative log-likelihood has a series of local minima that all have the same properties.  We do not address “label switching” because it does not have any practical effect on maximum-likelihood estimation or resulting predictions, but we note that it gives rise to numerical complexities when tuning or interpreting mixing for conventional samplers within a Bayesian estimation paradigm</w:t>
      </w:r>
      <w:bookmarkStart w:id="1" w:name="_GoBack"/>
      <w:bookmarkEnd w:id="1"/>
      <w:r>
        <w:rPr>
          <w:rFonts w:ascii="Times New Roman" w:eastAsiaTheme="minorEastAsia" w:hAnsi="Times New Roman" w:cs="Times New Roman"/>
          <w:sz w:val="24"/>
          <w:szCs w:val="24"/>
        </w:rPr>
        <w:t xml:space="preserve">.  </w:t>
      </w:r>
    </w:p>
    <w:p w14:paraId="0AA76101" w14:textId="77777777" w:rsidR="007565E5" w:rsidRDefault="007565E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766191"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766191"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1B233672"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Pr>
          <w:rFonts w:ascii="Times New Roman" w:eastAsiaTheme="minorEastAsia" w:hAnsi="Times New Roman" w:cs="Times New Roman"/>
          <w:iCs/>
          <w:sz w:val="24"/>
          <w:szCs w:val="24"/>
        </w:rPr>
        <w:t xml:space="preserve"> (see Table 2).</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w:t>
      </w:r>
      <w:r w:rsidRPr="005A6191">
        <w:rPr>
          <w:rFonts w:ascii="Times New Roman" w:eastAsiaTheme="minorEastAsia" w:hAnsi="Times New Roman" w:cs="Times New Roman"/>
          <w:iCs/>
          <w:sz w:val="24"/>
          <w:szCs w:val="24"/>
        </w:rPr>
        <w:lastRenderedPageBreak/>
        <w:t xml:space="preserve">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E6D6ADE" w14:textId="77777777" w:rsidR="00AE49D6" w:rsidRPr="00AE49D6" w:rsidRDefault="00DA2C62" w:rsidP="00AE49D6">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AE49D6" w:rsidRPr="00AE49D6">
        <w:rPr>
          <w:rFonts w:ascii="Times New Roman" w:hAnsi="Times New Roman" w:cs="Times New Roman"/>
          <w:sz w:val="24"/>
        </w:rPr>
        <w:t xml:space="preserve">Edwards, A.M., and Auger‐Méthé, M. 2019. Some guidance on using mathematical notation in ecology. Methods Ecol. Evol. </w:t>
      </w:r>
      <w:r w:rsidR="00AE49D6" w:rsidRPr="00AE49D6">
        <w:rPr>
          <w:rFonts w:ascii="Times New Roman" w:hAnsi="Times New Roman" w:cs="Times New Roman"/>
          <w:b/>
          <w:bCs/>
          <w:sz w:val="24"/>
        </w:rPr>
        <w:t>10</w:t>
      </w:r>
      <w:r w:rsidR="00AE49D6" w:rsidRPr="00AE49D6">
        <w:rPr>
          <w:rFonts w:ascii="Times New Roman" w:hAnsi="Times New Roman" w:cs="Times New Roman"/>
          <w:sz w:val="24"/>
        </w:rPr>
        <w:t>(1): 92–99. doi:10.1111/2041-210X.13105.</w:t>
      </w:r>
    </w:p>
    <w:p w14:paraId="56A9ACD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Engle, R.F., and Granger, C.W. 1987. Co-integration and error correction: representation, estimation, and testing. Econom. J. Econom. Soc.: 251–276.</w:t>
      </w:r>
    </w:p>
    <w:p w14:paraId="4658F7B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Gelman, A., and Hill, J. 2007. Data analysis using regression and multilevel/hierarchical models. Cambridge University Press, Cambridge, UK.</w:t>
      </w:r>
    </w:p>
    <w:p w14:paraId="5E2517F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Godefroid, M., Boldt, J.L., Thorson, J.T., Forrest, R., Gauthier, S., Flostrand, L., Ian Perry, R., Ross, A.R.S., and Galbraith, M. 2019. Spatio-temporal models provide new insights on the biotic and abiotic drivers shaping Pacific Herring (Clupea pallasi) distribution. Prog. Oceanogr. </w:t>
      </w:r>
      <w:r w:rsidRPr="00AE49D6">
        <w:rPr>
          <w:rFonts w:ascii="Times New Roman" w:hAnsi="Times New Roman" w:cs="Times New Roman"/>
          <w:b/>
          <w:bCs/>
          <w:sz w:val="24"/>
        </w:rPr>
        <w:t>178</w:t>
      </w:r>
      <w:r w:rsidRPr="00AE49D6">
        <w:rPr>
          <w:rFonts w:ascii="Times New Roman" w:hAnsi="Times New Roman" w:cs="Times New Roman"/>
          <w:sz w:val="24"/>
        </w:rPr>
        <w:t>: 102198. doi:10.1016/j.pocean.2019.102198.</w:t>
      </w:r>
    </w:p>
    <w:p w14:paraId="5015B77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AE49D6">
        <w:rPr>
          <w:rFonts w:ascii="Times New Roman" w:hAnsi="Times New Roman" w:cs="Times New Roman"/>
          <w:b/>
          <w:bCs/>
          <w:sz w:val="24"/>
        </w:rPr>
        <w:t>76</w:t>
      </w:r>
      <w:r w:rsidRPr="00AE49D6">
        <w:rPr>
          <w:rFonts w:ascii="Times New Roman" w:hAnsi="Times New Roman" w:cs="Times New Roman"/>
          <w:sz w:val="24"/>
        </w:rPr>
        <w:t>(6): 1748–1761. doi:10.1093/icesjms/fsz075.</w:t>
      </w:r>
    </w:p>
    <w:p w14:paraId="6C2D6FA1"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AE49D6">
        <w:rPr>
          <w:rFonts w:ascii="Times New Roman" w:hAnsi="Times New Roman" w:cs="Times New Roman"/>
          <w:b/>
          <w:bCs/>
          <w:sz w:val="24"/>
        </w:rPr>
        <w:t>75</w:t>
      </w:r>
      <w:r w:rsidRPr="00AE49D6">
        <w:rPr>
          <w:rFonts w:ascii="Times New Roman" w:hAnsi="Times New Roman" w:cs="Times New Roman"/>
          <w:sz w:val="24"/>
        </w:rPr>
        <w:t>(1): 158–177. doi:10.1093/icesjms/fsx120.</w:t>
      </w:r>
    </w:p>
    <w:p w14:paraId="2620744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AE49D6">
        <w:rPr>
          <w:rFonts w:ascii="Times New Roman" w:hAnsi="Times New Roman" w:cs="Times New Roman"/>
          <w:b/>
          <w:bCs/>
          <w:sz w:val="24"/>
        </w:rPr>
        <w:t>193</w:t>
      </w:r>
      <w:r w:rsidRPr="00AE49D6">
        <w:rPr>
          <w:rFonts w:ascii="Times New Roman" w:hAnsi="Times New Roman" w:cs="Times New Roman"/>
          <w:sz w:val="24"/>
        </w:rPr>
        <w:t>(Supplement C): 129–142. doi:10.1016/j.fishres.2017.04.006.</w:t>
      </w:r>
    </w:p>
    <w:p w14:paraId="461A1E0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Hocking, D.J., Thorson, J.T., O’Neil, K., and Letcher, B.H. 2018. A geostatistical state-space model of animal densities for stream networks. Ecol. Appl. </w:t>
      </w:r>
      <w:r w:rsidRPr="00AE49D6">
        <w:rPr>
          <w:rFonts w:ascii="Times New Roman" w:hAnsi="Times New Roman" w:cs="Times New Roman"/>
          <w:b/>
          <w:bCs/>
          <w:sz w:val="24"/>
        </w:rPr>
        <w:t>28</w:t>
      </w:r>
      <w:r w:rsidRPr="00AE49D6">
        <w:rPr>
          <w:rFonts w:ascii="Times New Roman" w:hAnsi="Times New Roman" w:cs="Times New Roman"/>
          <w:sz w:val="24"/>
        </w:rPr>
        <w:t>(7): 1782–1796. doi:10.1002/eap.1767.</w:t>
      </w:r>
    </w:p>
    <w:p w14:paraId="72FE3ED7"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AE49D6">
        <w:rPr>
          <w:rFonts w:ascii="Times New Roman" w:hAnsi="Times New Roman" w:cs="Times New Roman"/>
          <w:b/>
          <w:bCs/>
          <w:sz w:val="24"/>
        </w:rPr>
        <w:t>84</w:t>
      </w:r>
      <w:r w:rsidRPr="00AE49D6">
        <w:rPr>
          <w:rFonts w:ascii="Times New Roman" w:hAnsi="Times New Roman" w:cs="Times New Roman"/>
          <w:sz w:val="24"/>
        </w:rPr>
        <w:t>(407): 717–726. doi:10.2307/2289653.</w:t>
      </w:r>
    </w:p>
    <w:p w14:paraId="1EBDB19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Kristensen, K., Nielsen, A., Berg, C.W., Skaug, H., and Bell, B.M. 2016. TMB: Automatic differentiation and Laplace approximation. J. Stat. Softw. </w:t>
      </w:r>
      <w:r w:rsidRPr="00AE49D6">
        <w:rPr>
          <w:rFonts w:ascii="Times New Roman" w:hAnsi="Times New Roman" w:cs="Times New Roman"/>
          <w:b/>
          <w:bCs/>
          <w:sz w:val="24"/>
        </w:rPr>
        <w:t>70</w:t>
      </w:r>
      <w:r w:rsidRPr="00AE49D6">
        <w:rPr>
          <w:rFonts w:ascii="Times New Roman" w:hAnsi="Times New Roman" w:cs="Times New Roman"/>
          <w:sz w:val="24"/>
        </w:rPr>
        <w:t>(5): 1–21. doi:10.18637/jss.v070.i05.</w:t>
      </w:r>
    </w:p>
    <w:p w14:paraId="6E52046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2012. Continuous domain spatial models in R-INLA. ISBA Bull. </w:t>
      </w:r>
      <w:r w:rsidRPr="00AE49D6">
        <w:rPr>
          <w:rFonts w:ascii="Times New Roman" w:hAnsi="Times New Roman" w:cs="Times New Roman"/>
          <w:b/>
          <w:bCs/>
          <w:sz w:val="24"/>
        </w:rPr>
        <w:t>19</w:t>
      </w:r>
      <w:r w:rsidRPr="00AE49D6">
        <w:rPr>
          <w:rFonts w:ascii="Times New Roman" w:hAnsi="Times New Roman" w:cs="Times New Roman"/>
          <w:sz w:val="24"/>
        </w:rPr>
        <w:t>(4): 14–20.</w:t>
      </w:r>
    </w:p>
    <w:p w14:paraId="5B80DA5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F., and Rue, H. 2015. Bayesian spatial modelling with r-inla. J. Stat. Softw. </w:t>
      </w:r>
      <w:r w:rsidRPr="00AE49D6">
        <w:rPr>
          <w:rFonts w:ascii="Times New Roman" w:hAnsi="Times New Roman" w:cs="Times New Roman"/>
          <w:b/>
          <w:bCs/>
          <w:sz w:val="24"/>
        </w:rPr>
        <w:t>63</w:t>
      </w:r>
      <w:r w:rsidRPr="00AE49D6">
        <w:rPr>
          <w:rFonts w:ascii="Times New Roman" w:hAnsi="Times New Roman" w:cs="Times New Roman"/>
          <w:sz w:val="24"/>
        </w:rPr>
        <w:t>(19): 1–25. doi:10.18637/jss.v063.i19.</w:t>
      </w:r>
    </w:p>
    <w:p w14:paraId="7945D28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Rue, H., and Lindström, J. 2011. An explicit link between Gaussian fields and Gaussian Markov random fields: the stochastic partial differential equation approach. J. R. Stat. Soc. Ser. B Stat. Methodol. </w:t>
      </w:r>
      <w:r w:rsidRPr="00AE49D6">
        <w:rPr>
          <w:rFonts w:ascii="Times New Roman" w:hAnsi="Times New Roman" w:cs="Times New Roman"/>
          <w:b/>
          <w:bCs/>
          <w:sz w:val="24"/>
        </w:rPr>
        <w:t>73</w:t>
      </w:r>
      <w:r w:rsidRPr="00AE49D6">
        <w:rPr>
          <w:rFonts w:ascii="Times New Roman" w:hAnsi="Times New Roman" w:cs="Times New Roman"/>
          <w:sz w:val="24"/>
        </w:rPr>
        <w:t>(4): 423–498. doi:10.1111/j.1467-9868.2011.00777.x.</w:t>
      </w:r>
    </w:p>
    <w:p w14:paraId="06ABC1A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AE49D6">
        <w:rPr>
          <w:rFonts w:ascii="Times New Roman" w:hAnsi="Times New Roman" w:cs="Times New Roman"/>
          <w:b/>
          <w:bCs/>
          <w:sz w:val="24"/>
        </w:rPr>
        <w:t>8</w:t>
      </w:r>
      <w:r w:rsidRPr="00AE49D6">
        <w:rPr>
          <w:rFonts w:ascii="Times New Roman" w:hAnsi="Times New Roman" w:cs="Times New Roman"/>
          <w:sz w:val="24"/>
        </w:rPr>
        <w:t>(11): 1235–1246.</w:t>
      </w:r>
    </w:p>
    <w:p w14:paraId="0631919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R Core Team. 2017. R: A Language and Environment for Statistical Computing. R Foundation for Statistical Computing, Vienna, Austria. Available from https://www.R-project.org/.</w:t>
      </w:r>
    </w:p>
    <w:p w14:paraId="36AA365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Searle, S.R., Casella, G., and McCulloch, C.E. 1992. Variance components. John Wiley &amp; Sons, Hoboken, New Jersey.</w:t>
      </w:r>
    </w:p>
    <w:p w14:paraId="3AF3E9E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AE49D6">
        <w:rPr>
          <w:rFonts w:ascii="Times New Roman" w:hAnsi="Times New Roman" w:cs="Times New Roman"/>
          <w:b/>
          <w:bCs/>
          <w:sz w:val="24"/>
        </w:rPr>
        <w:t>71</w:t>
      </w:r>
      <w:r w:rsidRPr="00AE49D6">
        <w:rPr>
          <w:rFonts w:ascii="Times New Roman" w:hAnsi="Times New Roman" w:cs="Times New Roman"/>
          <w:sz w:val="24"/>
        </w:rPr>
        <w:t>(11): 1655–1666. doi:10.1139/cjfas-2013-0508.</w:t>
      </w:r>
    </w:p>
    <w:p w14:paraId="3A60CFC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Skaug, H., and Fournier, D. 2006. Automatic approximation of the marginal likelihood in non-Gaussian hierarchical models. Comput. Stat. Data Anal. </w:t>
      </w:r>
      <w:r w:rsidRPr="00AE49D6">
        <w:rPr>
          <w:rFonts w:ascii="Times New Roman" w:hAnsi="Times New Roman" w:cs="Times New Roman"/>
          <w:b/>
          <w:bCs/>
          <w:sz w:val="24"/>
        </w:rPr>
        <w:t>51</w:t>
      </w:r>
      <w:r w:rsidRPr="00AE49D6">
        <w:rPr>
          <w:rFonts w:ascii="Times New Roman" w:hAnsi="Times New Roman" w:cs="Times New Roman"/>
          <w:sz w:val="24"/>
        </w:rPr>
        <w:t>(2): 699–709.</w:t>
      </w:r>
    </w:p>
    <w:p w14:paraId="2F10F4F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AE49D6">
        <w:rPr>
          <w:rFonts w:ascii="Times New Roman" w:hAnsi="Times New Roman" w:cs="Times New Roman"/>
          <w:b/>
          <w:bCs/>
          <w:sz w:val="24"/>
        </w:rPr>
        <w:t>75</w:t>
      </w:r>
      <w:r w:rsidRPr="00AE49D6">
        <w:rPr>
          <w:rFonts w:ascii="Times New Roman" w:hAnsi="Times New Roman" w:cs="Times New Roman"/>
          <w:sz w:val="24"/>
        </w:rPr>
        <w:t>(9): 1369–1382. doi:10.1139/cjfas-2017-0266.</w:t>
      </w:r>
    </w:p>
    <w:p w14:paraId="38928D7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AE49D6">
        <w:rPr>
          <w:rFonts w:ascii="Times New Roman" w:hAnsi="Times New Roman" w:cs="Times New Roman"/>
          <w:b/>
          <w:bCs/>
          <w:sz w:val="24"/>
        </w:rPr>
        <w:t>210</w:t>
      </w:r>
      <w:r w:rsidRPr="00AE49D6">
        <w:rPr>
          <w:rFonts w:ascii="Times New Roman" w:hAnsi="Times New Roman" w:cs="Times New Roman"/>
          <w:sz w:val="24"/>
        </w:rPr>
        <w:t>: 143–161. doi:10.1016/j.fishres.2018.10.013.</w:t>
      </w:r>
    </w:p>
    <w:p w14:paraId="694A9B2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AE49D6">
        <w:rPr>
          <w:rFonts w:ascii="Times New Roman" w:hAnsi="Times New Roman" w:cs="Times New Roman"/>
          <w:b/>
          <w:bCs/>
          <w:sz w:val="24"/>
        </w:rPr>
        <w:t>20</w:t>
      </w:r>
      <w:r w:rsidRPr="00AE49D6">
        <w:rPr>
          <w:rFonts w:ascii="Times New Roman" w:hAnsi="Times New Roman" w:cs="Times New Roman"/>
          <w:sz w:val="24"/>
        </w:rPr>
        <w:t>(6): 1083–1099. doi:10.1111/faf.12398.</w:t>
      </w:r>
    </w:p>
    <w:p w14:paraId="6E2ED71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AE49D6">
        <w:rPr>
          <w:rFonts w:ascii="Times New Roman" w:hAnsi="Times New Roman" w:cs="Times New Roman"/>
          <w:b/>
          <w:bCs/>
          <w:sz w:val="24"/>
        </w:rPr>
        <w:t>74</w:t>
      </w:r>
      <w:r w:rsidRPr="00AE49D6">
        <w:rPr>
          <w:rFonts w:ascii="Times New Roman" w:hAnsi="Times New Roman" w:cs="Times New Roman"/>
          <w:sz w:val="24"/>
        </w:rPr>
        <w:t>(5): 1311–1321. doi:10.1093/icesjms/fsw193.</w:t>
      </w:r>
    </w:p>
    <w:p w14:paraId="15FFA3B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AE49D6">
        <w:rPr>
          <w:rFonts w:ascii="Times New Roman" w:hAnsi="Times New Roman" w:cs="Times New Roman"/>
          <w:b/>
          <w:bCs/>
          <w:sz w:val="24"/>
        </w:rPr>
        <w:t>181</w:t>
      </w:r>
      <w:r w:rsidRPr="00AE49D6">
        <w:rPr>
          <w:rFonts w:ascii="Times New Roman" w:hAnsi="Times New Roman" w:cs="Times New Roman"/>
          <w:sz w:val="24"/>
        </w:rPr>
        <w:t>: 102244. doi:10.1016/j.pocean.2019.102244.</w:t>
      </w:r>
    </w:p>
    <w:p w14:paraId="0B3798A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Haltuch, M.A. 2018. Spatiotemporal analysis of compositional data: increased precision and improved workflow using model-based inputs to stock assessment. Can. J. Fish. Aquat. Sci. </w:t>
      </w:r>
      <w:r w:rsidRPr="00AE49D6">
        <w:rPr>
          <w:rFonts w:ascii="Times New Roman" w:hAnsi="Times New Roman" w:cs="Times New Roman"/>
          <w:b/>
          <w:bCs/>
          <w:sz w:val="24"/>
        </w:rPr>
        <w:t>76</w:t>
      </w:r>
      <w:r w:rsidRPr="00AE49D6">
        <w:rPr>
          <w:rFonts w:ascii="Times New Roman" w:hAnsi="Times New Roman" w:cs="Times New Roman"/>
          <w:sz w:val="24"/>
        </w:rPr>
        <w:t>(3): 401–414. doi:10.1139/cjfas-2018-0015.</w:t>
      </w:r>
    </w:p>
    <w:p w14:paraId="6EE78F2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AE49D6">
        <w:rPr>
          <w:rFonts w:ascii="Times New Roman" w:hAnsi="Times New Roman" w:cs="Times New Roman"/>
          <w:b/>
          <w:bCs/>
          <w:sz w:val="24"/>
        </w:rPr>
        <w:t>25</w:t>
      </w:r>
      <w:r w:rsidRPr="00AE49D6">
        <w:rPr>
          <w:rFonts w:ascii="Times New Roman" w:hAnsi="Times New Roman" w:cs="Times New Roman"/>
          <w:sz w:val="24"/>
        </w:rPr>
        <w:t>(9): 1144–1158. doi:10.1111/geb.12464.</w:t>
      </w:r>
    </w:p>
    <w:p w14:paraId="446C11F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AE49D6">
        <w:rPr>
          <w:rFonts w:ascii="Times New Roman" w:hAnsi="Times New Roman" w:cs="Times New Roman"/>
          <w:b/>
          <w:bCs/>
          <w:sz w:val="24"/>
        </w:rPr>
        <w:t>175</w:t>
      </w:r>
      <w:r w:rsidRPr="00AE49D6">
        <w:rPr>
          <w:rFonts w:ascii="Times New Roman" w:hAnsi="Times New Roman" w:cs="Times New Roman"/>
          <w:sz w:val="24"/>
        </w:rPr>
        <w:t>: 66–74. doi:10.1016/j.fishres.2015.11.016.</w:t>
      </w:r>
    </w:p>
    <w:p w14:paraId="00F99370"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Minto, C. 2015. Mixed effects: a unifying framework for statistical modelling in fisheries biology. ICES J. Mar. Sci. J. Cons. </w:t>
      </w:r>
      <w:r w:rsidRPr="00AE49D6">
        <w:rPr>
          <w:rFonts w:ascii="Times New Roman" w:hAnsi="Times New Roman" w:cs="Times New Roman"/>
          <w:b/>
          <w:bCs/>
          <w:sz w:val="24"/>
        </w:rPr>
        <w:t>72</w:t>
      </w:r>
      <w:r w:rsidRPr="00AE49D6">
        <w:rPr>
          <w:rFonts w:ascii="Times New Roman" w:hAnsi="Times New Roman" w:cs="Times New Roman"/>
          <w:sz w:val="24"/>
        </w:rPr>
        <w:t>(5): 1245–1256. doi:10.1093/icesjms/fsu213.</w:t>
      </w:r>
    </w:p>
    <w:p w14:paraId="0199E25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Munch, S.B., and Swain, D.P. 2017. Estimating partial regulation in spatiotemporal models of community dynamics. Ecology </w:t>
      </w:r>
      <w:r w:rsidRPr="00AE49D6">
        <w:rPr>
          <w:rFonts w:ascii="Times New Roman" w:hAnsi="Times New Roman" w:cs="Times New Roman"/>
          <w:b/>
          <w:bCs/>
          <w:sz w:val="24"/>
        </w:rPr>
        <w:t>98</w:t>
      </w:r>
      <w:r w:rsidRPr="00AE49D6">
        <w:rPr>
          <w:rFonts w:ascii="Times New Roman" w:hAnsi="Times New Roman" w:cs="Times New Roman"/>
          <w:sz w:val="24"/>
        </w:rPr>
        <w:t>(5): 1277–1289. doi:10.1002/ecy.1760.</w:t>
      </w:r>
    </w:p>
    <w:p w14:paraId="078CF55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AE49D6">
        <w:rPr>
          <w:rFonts w:ascii="Times New Roman" w:hAnsi="Times New Roman" w:cs="Times New Roman"/>
          <w:b/>
          <w:bCs/>
          <w:sz w:val="24"/>
        </w:rPr>
        <w:t>7</w:t>
      </w:r>
      <w:r w:rsidRPr="00AE49D6">
        <w:rPr>
          <w:rFonts w:ascii="Times New Roman" w:hAnsi="Times New Roman" w:cs="Times New Roman"/>
          <w:sz w:val="24"/>
        </w:rPr>
        <w:t>(8): 990–1002. doi:10.1111/2041-210X.12567.</w:t>
      </w:r>
    </w:p>
    <w:p w14:paraId="45AD698D"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AE49D6">
        <w:rPr>
          <w:rFonts w:ascii="Times New Roman" w:hAnsi="Times New Roman" w:cs="Times New Roman"/>
          <w:b/>
          <w:bCs/>
          <w:sz w:val="24"/>
        </w:rPr>
        <w:t>283</w:t>
      </w:r>
      <w:r w:rsidRPr="00AE49D6">
        <w:rPr>
          <w:rFonts w:ascii="Times New Roman" w:hAnsi="Times New Roman" w:cs="Times New Roman"/>
          <w:sz w:val="24"/>
        </w:rPr>
        <w:t>(1840): 20161853. doi:10.1098/rspb.2016.1853.</w:t>
      </w:r>
    </w:p>
    <w:p w14:paraId="28B72E5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AE49D6">
        <w:rPr>
          <w:rFonts w:ascii="Times New Roman" w:hAnsi="Times New Roman" w:cs="Times New Roman"/>
          <w:b/>
          <w:bCs/>
          <w:sz w:val="24"/>
        </w:rPr>
        <w:t>285</w:t>
      </w:r>
      <w:r w:rsidRPr="00AE49D6">
        <w:rPr>
          <w:rFonts w:ascii="Times New Roman" w:hAnsi="Times New Roman" w:cs="Times New Roman"/>
          <w:sz w:val="24"/>
        </w:rPr>
        <w:t>(1888): 20180915. doi:10.1098/rspb.2018.0915.</w:t>
      </w:r>
    </w:p>
    <w:p w14:paraId="1679CAD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AE49D6">
        <w:rPr>
          <w:rFonts w:ascii="Times New Roman" w:hAnsi="Times New Roman" w:cs="Times New Roman"/>
          <w:b/>
          <w:bCs/>
          <w:sz w:val="24"/>
        </w:rPr>
        <w:t>72</w:t>
      </w:r>
      <w:r w:rsidRPr="00AE49D6">
        <w:rPr>
          <w:rFonts w:ascii="Times New Roman" w:hAnsi="Times New Roman" w:cs="Times New Roman"/>
          <w:sz w:val="24"/>
        </w:rPr>
        <w:t>(5): 1297–1310. doi:10.1093/icesjms/fsu243.</w:t>
      </w:r>
    </w:p>
    <w:p w14:paraId="5966C6D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AE49D6">
        <w:rPr>
          <w:rFonts w:ascii="Times New Roman" w:hAnsi="Times New Roman" w:cs="Times New Roman"/>
          <w:b/>
          <w:bCs/>
          <w:sz w:val="24"/>
        </w:rPr>
        <w:t>96</w:t>
      </w:r>
      <w:r w:rsidRPr="00AE49D6">
        <w:rPr>
          <w:rFonts w:ascii="Times New Roman" w:hAnsi="Times New Roman" w:cs="Times New Roman"/>
          <w:sz w:val="24"/>
        </w:rPr>
        <w:t>(5): 1202–1212. doi:10.1890/14-0739.1.</w:t>
      </w:r>
    </w:p>
    <w:p w14:paraId="56E7C75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Thorson, Scheuerell, M.D., Shelton, A.O., See, K.E., Skaug, H.J., and Kristensen, K. 2015b. Spatial factor analysis: a new tool for estimating joint species distributions and correlations in species range. Methods Ecol. Evol. </w:t>
      </w:r>
      <w:r w:rsidRPr="00AE49D6">
        <w:rPr>
          <w:rFonts w:ascii="Times New Roman" w:hAnsi="Times New Roman" w:cs="Times New Roman"/>
          <w:b/>
          <w:bCs/>
          <w:sz w:val="24"/>
        </w:rPr>
        <w:t>6</w:t>
      </w:r>
      <w:r w:rsidRPr="00AE49D6">
        <w:rPr>
          <w:rFonts w:ascii="Times New Roman" w:hAnsi="Times New Roman" w:cs="Times New Roman"/>
          <w:sz w:val="24"/>
        </w:rPr>
        <w:t>(6): 627–637. doi:10.1111/2041-210X.12359.</w:t>
      </w:r>
    </w:p>
    <w:p w14:paraId="14D6C07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AE49D6">
        <w:rPr>
          <w:rFonts w:ascii="Times New Roman" w:hAnsi="Times New Roman" w:cs="Times New Roman"/>
          <w:b/>
          <w:bCs/>
          <w:sz w:val="24"/>
        </w:rPr>
        <w:t>84</w:t>
      </w:r>
      <w:r w:rsidRPr="00AE49D6">
        <w:rPr>
          <w:rFonts w:ascii="Times New Roman" w:hAnsi="Times New Roman" w:cs="Times New Roman"/>
          <w:sz w:val="24"/>
        </w:rPr>
        <w:t>(407): 710–716.</w:t>
      </w:r>
    </w:p>
    <w:p w14:paraId="3CB8F6F8" w14:textId="1558F6E4"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180EA8A4" w:rsidR="00BA0241" w:rsidRDefault="00BA0241">
      <w:pPr>
        <w:rPr>
          <w:rFonts w:ascii="Times New Roman" w:eastAsiaTheme="minorEastAsia" w:hAnsi="Times New Roman" w:cs="Times New Roman"/>
          <w:iCs/>
          <w:sz w:val="24"/>
          <w:szCs w:val="24"/>
        </w:rPr>
      </w:pPr>
    </w:p>
    <w:p w14:paraId="3003E4A9" w14:textId="77777777" w:rsidR="00BA0241" w:rsidRDefault="00BA0241" w:rsidP="00DA2C62">
      <w:pPr>
        <w:spacing w:after="0" w:line="480" w:lineRule="auto"/>
        <w:rPr>
          <w:rFonts w:ascii="Times New Roman" w:eastAsiaTheme="minorEastAsia" w:hAnsi="Times New Roman" w:cs="Times New Roman"/>
          <w:iCs/>
          <w:sz w:val="24"/>
          <w:szCs w:val="24"/>
        </w:rPr>
        <w:sectPr w:rsidR="00BA0241" w:rsidSect="00F64E99">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04415C7" w14:textId="498065E5" w:rsidR="00BA0241" w:rsidRDefault="00BA0241"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sidR="00A449AC">
        <w:rPr>
          <w:rFonts w:ascii="Times New Roman" w:eastAsiaTheme="minorEastAsia" w:hAnsi="Times New Roman" w:cs="Times New Roman"/>
          <w:iCs/>
          <w:sz w:val="24"/>
          <w:szCs w:val="24"/>
        </w:rPr>
        <w:t xml:space="preserve"> – List of S3 objects defined in package VAST (or its primary dependency FishStatsUtils), listing S3 methods defined for each class as well as the intended purpose of each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A0241" w14:paraId="0D01258B" w14:textId="77777777" w:rsidTr="00BA0241">
        <w:tc>
          <w:tcPr>
            <w:tcW w:w="4649" w:type="dxa"/>
            <w:tcBorders>
              <w:top w:val="single" w:sz="4" w:space="0" w:color="auto"/>
              <w:bottom w:val="single" w:sz="4" w:space="0" w:color="auto"/>
            </w:tcBorders>
          </w:tcPr>
          <w:p w14:paraId="4ACB14D4" w14:textId="3084B6F9"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4649" w:type="dxa"/>
            <w:tcBorders>
              <w:top w:val="single" w:sz="4" w:space="0" w:color="auto"/>
              <w:bottom w:val="single" w:sz="4" w:space="0" w:color="auto"/>
            </w:tcBorders>
          </w:tcPr>
          <w:p w14:paraId="6BEAE1BA" w14:textId="6E6C3E2E"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4650" w:type="dxa"/>
            <w:tcBorders>
              <w:top w:val="single" w:sz="4" w:space="0" w:color="auto"/>
              <w:bottom w:val="single" w:sz="4" w:space="0" w:color="auto"/>
            </w:tcBorders>
          </w:tcPr>
          <w:p w14:paraId="2CE29F2C" w14:textId="499A4EBD"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BA0241" w14:paraId="3E45C257" w14:textId="77777777" w:rsidTr="00BA0241">
        <w:tc>
          <w:tcPr>
            <w:tcW w:w="4649" w:type="dxa"/>
            <w:tcBorders>
              <w:top w:val="single" w:sz="4" w:space="0" w:color="auto"/>
            </w:tcBorders>
          </w:tcPr>
          <w:p w14:paraId="05BE10A0" w14:textId="7876BD29"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0009EEB6" w14:textId="6C9026A3" w:rsidR="00BA0241" w:rsidRDefault="00BA0241" w:rsidP="00BA0241">
            <w:pPr>
              <w:spacing w:line="480" w:lineRule="auto"/>
              <w:rPr>
                <w:rFonts w:ascii="Times New Roman" w:eastAsiaTheme="minorEastAsia" w:hAnsi="Times New Roman" w:cs="Times New Roman"/>
                <w:iCs/>
                <w:sz w:val="24"/>
                <w:szCs w:val="24"/>
              </w:rPr>
            </w:pPr>
          </w:p>
        </w:tc>
        <w:tc>
          <w:tcPr>
            <w:tcW w:w="4649" w:type="dxa"/>
            <w:tcBorders>
              <w:top w:val="single" w:sz="4" w:space="0" w:color="auto"/>
            </w:tcBorders>
          </w:tcPr>
          <w:p w14:paraId="5EB14892" w14:textId="03141013" w:rsidR="00996628" w:rsidRPr="00A2136E"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18176BD9" w14:textId="5FF89677" w:rsidR="00BA0241" w:rsidRDefault="00BA0241" w:rsidP="00BA0241">
            <w:pPr>
              <w:spacing w:line="480" w:lineRule="auto"/>
              <w:rPr>
                <w:rFonts w:ascii="Times New Roman" w:eastAsiaTheme="minorEastAsia" w:hAnsi="Times New Roman" w:cs="Times New Roman"/>
                <w:iCs/>
                <w:sz w:val="24"/>
                <w:szCs w:val="24"/>
              </w:rPr>
            </w:pPr>
          </w:p>
        </w:tc>
        <w:tc>
          <w:tcPr>
            <w:tcW w:w="4650" w:type="dxa"/>
            <w:tcBorders>
              <w:top w:val="single" w:sz="4" w:space="0" w:color="auto"/>
            </w:tcBorders>
          </w:tcPr>
          <w:p w14:paraId="5591325B" w14:textId="16C6BFD3"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77E12563" w14:textId="77777777" w:rsidTr="00BA0241">
        <w:tc>
          <w:tcPr>
            <w:tcW w:w="4649" w:type="dxa"/>
          </w:tcPr>
          <w:p w14:paraId="153D5FD8" w14:textId="604CBAE5"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6E92ABF2" w14:textId="76A3183B"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0BDB51E3" w14:textId="5A6AD126"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B657AAA" w14:textId="77777777" w:rsidTr="00BA0241">
        <w:tc>
          <w:tcPr>
            <w:tcW w:w="4649" w:type="dxa"/>
          </w:tcPr>
          <w:p w14:paraId="2B6D428F" w14:textId="5660DF27"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3644273" w14:textId="1B40D775"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0855F672" w14:textId="2C4E0C74"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4DC1D86" w14:textId="74E27108"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2C4BAED" w14:textId="77777777" w:rsidTr="00BA0241">
        <w:tc>
          <w:tcPr>
            <w:tcW w:w="4649" w:type="dxa"/>
          </w:tcPr>
          <w:p w14:paraId="2F1FB58F" w14:textId="77777777"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6E84F4B4" w14:textId="686BFAFC"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7DACA1B6" w14:textId="496B6D4D"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BA0241" w14:paraId="4DBBD985" w14:textId="77777777" w:rsidTr="00BA0241">
        <w:tc>
          <w:tcPr>
            <w:tcW w:w="4649" w:type="dxa"/>
          </w:tcPr>
          <w:p w14:paraId="30440106" w14:textId="1C113CE1"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3BE7FE60" w14:textId="1E2064D8"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4E166F62" w14:textId="07DA03AF"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0883EEA4" w14:textId="77777777" w:rsidTr="00BA0241">
        <w:tc>
          <w:tcPr>
            <w:tcW w:w="4649" w:type="dxa"/>
          </w:tcPr>
          <w:p w14:paraId="3A9491C4"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70A8ECDC" w14:textId="19885CD7"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B9399E7" w14:textId="1D311C76"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75F294BE" w14:textId="77777777" w:rsidTr="00BA0241">
        <w:tc>
          <w:tcPr>
            <w:tcW w:w="4649" w:type="dxa"/>
          </w:tcPr>
          <w:p w14:paraId="4866B423" w14:textId="5704BF82" w:rsidR="003D65F9" w:rsidRPr="00BA0241"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27198326" w14:textId="040781A3" w:rsidR="003D65F9" w:rsidRPr="00996628"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8C919E1" w14:textId="555A9004"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5F6E7F93" w14:textId="77777777" w:rsidTr="00BA0241">
        <w:tc>
          <w:tcPr>
            <w:tcW w:w="4649" w:type="dxa"/>
          </w:tcPr>
          <w:p w14:paraId="76412C37"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3D4A291A" w14:textId="78ED5F68"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1178C4E" w14:textId="3E744E19"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4FAF0686" w14:textId="77777777" w:rsidTr="00BA0241">
        <w:tc>
          <w:tcPr>
            <w:tcW w:w="4649" w:type="dxa"/>
          </w:tcPr>
          <w:p w14:paraId="2D21122E"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68C33823" w14:textId="51ABDE1A"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4650" w:type="dxa"/>
          </w:tcPr>
          <w:p w14:paraId="244D9738" w14:textId="00A5DA4A"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FEBCB1F" w14:textId="77777777" w:rsidR="00BA0241" w:rsidRPr="00493EE0" w:rsidRDefault="00BA0241" w:rsidP="00DA2C62">
      <w:pPr>
        <w:spacing w:after="0" w:line="480" w:lineRule="auto"/>
        <w:rPr>
          <w:rFonts w:ascii="Times New Roman" w:eastAsiaTheme="minorEastAsia" w:hAnsi="Times New Roman" w:cs="Times New Roman"/>
          <w:iCs/>
          <w:sz w:val="24"/>
          <w:szCs w:val="24"/>
        </w:rPr>
      </w:pPr>
    </w:p>
    <w:p w14:paraId="14EDFB82" w14:textId="77777777" w:rsidR="00ED3001" w:rsidRDefault="00ED3001" w:rsidP="009B37E6">
      <w:pPr>
        <w:sectPr w:rsidR="00ED3001" w:rsidSect="00BA0241">
          <w:pgSz w:w="16838" w:h="11906" w:orient="landscape"/>
          <w:pgMar w:top="1440" w:right="1440" w:bottom="1440" w:left="1440" w:header="720" w:footer="720" w:gutter="0"/>
          <w:lnNumType w:countBy="1" w:restart="continuous"/>
          <w:cols w:space="720"/>
          <w:docGrid w:linePitch="360"/>
        </w:sectPr>
      </w:pPr>
    </w:p>
    <w:p w14:paraId="4E8DC8EA" w14:textId="01E6B868" w:rsidR="00ED3001"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Table 2 – List of slots in vector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0"/>
        <w:gridCol w:w="2091"/>
      </w:tblGrid>
      <w:tr w:rsidR="00ED3001" w14:paraId="7472EDF7" w14:textId="77777777" w:rsidTr="00905785">
        <w:tc>
          <w:tcPr>
            <w:tcW w:w="3005" w:type="dxa"/>
            <w:tcBorders>
              <w:bottom w:val="single" w:sz="4" w:space="0" w:color="auto"/>
            </w:tcBorders>
          </w:tcPr>
          <w:p w14:paraId="30618B8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Slot name</w:t>
            </w:r>
          </w:p>
        </w:tc>
        <w:tc>
          <w:tcPr>
            <w:tcW w:w="3920" w:type="dxa"/>
            <w:tcBorders>
              <w:bottom w:val="single" w:sz="4" w:space="0" w:color="auto"/>
            </w:tcBorders>
          </w:tcPr>
          <w:p w14:paraId="2931AD2E"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What it does</w:t>
            </w:r>
          </w:p>
        </w:tc>
        <w:tc>
          <w:tcPr>
            <w:tcW w:w="2091" w:type="dxa"/>
            <w:tcBorders>
              <w:bottom w:val="single" w:sz="4" w:space="0" w:color="auto"/>
            </w:tcBorders>
          </w:tcPr>
          <w:p w14:paraId="71CD84F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Examples of usage</w:t>
            </w:r>
          </w:p>
        </w:tc>
      </w:tr>
      <w:tr w:rsidR="00ED3001" w14:paraId="54A3E7E9" w14:textId="77777777" w:rsidTr="00905785">
        <w:tc>
          <w:tcPr>
            <w:tcW w:w="3005" w:type="dxa"/>
            <w:tcBorders>
              <w:top w:val="single" w:sz="4" w:space="0" w:color="auto"/>
              <w:bottom w:val="dotted" w:sz="4" w:space="0" w:color="auto"/>
            </w:tcBorders>
          </w:tcPr>
          <w:p w14:paraId="78200ED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SD_site_density</w:t>
            </w:r>
          </w:p>
        </w:tc>
        <w:tc>
          <w:tcPr>
            <w:tcW w:w="3920" w:type="dxa"/>
            <w:tcBorders>
              <w:top w:val="single" w:sz="4" w:space="0" w:color="auto"/>
              <w:bottom w:val="dotted" w:sz="4" w:space="0" w:color="auto"/>
            </w:tcBorders>
          </w:tcPr>
          <w:p w14:paraId="00E666E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single" w:sz="4" w:space="0" w:color="auto"/>
              <w:bottom w:val="dotted" w:sz="4" w:space="0" w:color="auto"/>
            </w:tcBorders>
          </w:tcPr>
          <w:p w14:paraId="2205D40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715D9F99" w14:textId="77777777" w:rsidTr="00905785">
        <w:tc>
          <w:tcPr>
            <w:tcW w:w="3005" w:type="dxa"/>
            <w:tcBorders>
              <w:top w:val="dotted" w:sz="4" w:space="0" w:color="auto"/>
              <w:bottom w:val="dotted" w:sz="4" w:space="0" w:color="auto"/>
            </w:tcBorders>
          </w:tcPr>
          <w:p w14:paraId="2F04B30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SD_site_logdensity</w:t>
            </w:r>
          </w:p>
        </w:tc>
        <w:tc>
          <w:tcPr>
            <w:tcW w:w="3920" w:type="dxa"/>
            <w:tcBorders>
              <w:top w:val="dotted" w:sz="4" w:space="0" w:color="auto"/>
              <w:bottom w:val="dotted" w:sz="4" w:space="0" w:color="auto"/>
            </w:tcBorders>
          </w:tcPr>
          <w:p w14:paraId="625583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dotted" w:sz="4" w:space="0" w:color="auto"/>
              <w:bottom w:val="dotted" w:sz="4" w:space="0" w:color="auto"/>
            </w:tcBorders>
          </w:tcPr>
          <w:p w14:paraId="05A6F6F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AB33665" w14:textId="77777777" w:rsidTr="00905785">
        <w:tc>
          <w:tcPr>
            <w:tcW w:w="3005" w:type="dxa"/>
            <w:tcBorders>
              <w:top w:val="dotted" w:sz="4" w:space="0" w:color="auto"/>
              <w:bottom w:val="dotted" w:sz="4" w:space="0" w:color="auto"/>
            </w:tcBorders>
          </w:tcPr>
          <w:p w14:paraId="2FC09510"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Calculate_Range</w:t>
            </w:r>
          </w:p>
        </w:tc>
        <w:tc>
          <w:tcPr>
            <w:tcW w:w="3920" w:type="dxa"/>
            <w:tcBorders>
              <w:top w:val="dotted" w:sz="4" w:space="0" w:color="auto"/>
              <w:bottom w:val="dotted" w:sz="4" w:space="0" w:color="auto"/>
            </w:tcBorders>
          </w:tcPr>
          <w:p w14:paraId="0A2350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center of gravity for use in measuring distribution shifts</w:t>
            </w:r>
          </w:p>
        </w:tc>
        <w:tc>
          <w:tcPr>
            <w:tcW w:w="2091" w:type="dxa"/>
            <w:tcBorders>
              <w:top w:val="dotted" w:sz="4" w:space="0" w:color="auto"/>
              <w:bottom w:val="dotted" w:sz="4" w:space="0" w:color="auto"/>
            </w:tcBorders>
          </w:tcPr>
          <w:p w14:paraId="07D89405" w14:textId="2637E1CC"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{"citationID":"qmcb0IKc","properties":{"formattedCitation":"(Thorson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p>
        </w:tc>
      </w:tr>
      <w:tr w:rsidR="00ED3001" w14:paraId="4F398780" w14:textId="77777777" w:rsidTr="00905785">
        <w:tc>
          <w:tcPr>
            <w:tcW w:w="3005" w:type="dxa"/>
            <w:tcBorders>
              <w:top w:val="dotted" w:sz="4" w:space="0" w:color="auto"/>
              <w:bottom w:val="dotted" w:sz="4" w:space="0" w:color="auto"/>
            </w:tcBorders>
          </w:tcPr>
          <w:p w14:paraId="683A8B7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SD_observation_density</w:t>
            </w:r>
          </w:p>
        </w:tc>
        <w:tc>
          <w:tcPr>
            <w:tcW w:w="3920" w:type="dxa"/>
            <w:tcBorders>
              <w:top w:val="dotted" w:sz="4" w:space="0" w:color="auto"/>
              <w:bottom w:val="dotted" w:sz="4" w:space="0" w:color="auto"/>
            </w:tcBorders>
          </w:tcPr>
          <w:p w14:paraId="29055F1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response variable measured in each sample</w:t>
            </w:r>
          </w:p>
        </w:tc>
        <w:tc>
          <w:tcPr>
            <w:tcW w:w="2091" w:type="dxa"/>
            <w:tcBorders>
              <w:top w:val="dotted" w:sz="4" w:space="0" w:color="auto"/>
              <w:bottom w:val="dotted" w:sz="4" w:space="0" w:color="auto"/>
            </w:tcBorders>
          </w:tcPr>
          <w:p w14:paraId="4E1D25A2"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922ECE4" w14:textId="77777777" w:rsidTr="00905785">
        <w:tc>
          <w:tcPr>
            <w:tcW w:w="3005" w:type="dxa"/>
            <w:tcBorders>
              <w:top w:val="dotted" w:sz="4" w:space="0" w:color="auto"/>
              <w:bottom w:val="dotted" w:sz="4" w:space="0" w:color="auto"/>
            </w:tcBorders>
          </w:tcPr>
          <w:p w14:paraId="6D10168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Calculate_effective_area</w:t>
            </w:r>
          </w:p>
        </w:tc>
        <w:tc>
          <w:tcPr>
            <w:tcW w:w="3920" w:type="dxa"/>
            <w:tcBorders>
              <w:top w:val="dotted" w:sz="4" w:space="0" w:color="auto"/>
              <w:bottom w:val="dotted" w:sz="4" w:space="0" w:color="auto"/>
            </w:tcBorders>
          </w:tcPr>
          <w:p w14:paraId="1D3E5CB8"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effective area occupied for use in measuring range expansion/contraction</w:t>
            </w:r>
          </w:p>
        </w:tc>
        <w:tc>
          <w:tcPr>
            <w:tcW w:w="2091" w:type="dxa"/>
            <w:tcBorders>
              <w:top w:val="dotted" w:sz="4" w:space="0" w:color="auto"/>
              <w:bottom w:val="dotted" w:sz="4" w:space="0" w:color="auto"/>
            </w:tcBorders>
          </w:tcPr>
          <w:p w14:paraId="7C77C08D" w14:textId="39343ED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{"citationID":"0O1OJbZ0","properties":{"formattedCitation":"(Thorson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p>
        </w:tc>
      </w:tr>
      <w:tr w:rsidR="00ED3001" w14:paraId="40C7AAE2" w14:textId="77777777" w:rsidTr="00905785">
        <w:tc>
          <w:tcPr>
            <w:tcW w:w="3005" w:type="dxa"/>
            <w:tcBorders>
              <w:top w:val="dotted" w:sz="4" w:space="0" w:color="auto"/>
              <w:bottom w:val="dotted" w:sz="4" w:space="0" w:color="auto"/>
            </w:tcBorders>
          </w:tcPr>
          <w:p w14:paraId="6BE6B07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Calculate_Cov_SE</w:t>
            </w:r>
          </w:p>
        </w:tc>
        <w:tc>
          <w:tcPr>
            <w:tcW w:w="3920" w:type="dxa"/>
            <w:tcBorders>
              <w:top w:val="dotted" w:sz="4" w:space="0" w:color="auto"/>
              <w:bottom w:val="dotted" w:sz="4" w:space="0" w:color="auto"/>
            </w:tcBorders>
          </w:tcPr>
          <w:p w14:paraId="0C0D4DB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correlation / covariance among categories</w:t>
            </w:r>
          </w:p>
        </w:tc>
        <w:tc>
          <w:tcPr>
            <w:tcW w:w="2091" w:type="dxa"/>
            <w:tcBorders>
              <w:top w:val="dotted" w:sz="4" w:space="0" w:color="auto"/>
              <w:bottom w:val="dotted" w:sz="4" w:space="0" w:color="auto"/>
            </w:tcBorders>
          </w:tcPr>
          <w:p w14:paraId="756BB9E6" w14:textId="64530226"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{"citationID":"0lVhR7Wd","properties":{"formattedCitation":"(Godefroid et al. 2019)","plainCitation":"(Godefroid et al. 2019)","noteIndex":0},"citationItems":[{"id":4915,"uris":["http://zotero.org/users/251206/items/6CHQS98J"],"uri":["http://zotero.org/users/251206/items/6CHQS98J"],"itemData":{"id":4915,"type":"article-journal","abstract":"Determining how fish respond to variation in biotic and abiotic conditions is a crucial prerequisite to forecasting changes in productivity and spatial distribution of fish stocks and designing sustainable marine resource management strategies. In the present study, we investigated the physical and biological drivers of the spatio-temporal dynamics of Pacific Herring (Clupea pallasi), which is a marine forage fish species important for commercial fisheries and First Nations in the northeastern Pacific. We fit multivariate spatio-temporal models to fisheries-independent trawl- and acoustics-based data collected off the West Coast of Vancouver Island (WCVI), Canada, during summers over the period 2006–2014. We evaluated the effects of the main ocean environmental drivers of WCVI lower trophic level productivity, including sea surface temperature (SST), chlorophyll a, fluorescence, salinity, oxygen, transmissivity and zooplankton density on variation in Pacific Herring biomass. Models were also used to measure spatio-temporal covariation with other pelagic, semi-pelagic, and bottom-associated fish species occurring off the WCVI to address potential competitive and predation interactions. Through application of these spatio-temporal models we found: (i) Pacific Herring biomass off the WCVI increased during 2006–2014; the highest Pacific Herring biomass was repeatedly found on the continental shelf (depths &lt; 185 m) while low densities were usually observed along the shelf break (depths &gt; 185 m), where Euphausiids, Pacific Hake, Sablefish and Arrowtooth Flounder were more abundant, which could reflect predation avoidance behaviour; (ii), the local biomass of Pacific Herring was related quadratically to the average SST in May; (iii) a positive covariation in spatio-temporal densities between Pacific Herring and its common zooplankton prey, supporting a potential bottom-up control hypothesis; (iv) a negative covariation in spatio-temporal densities between Pacific Herring and both Pacific Hake and Pacific Sardine, which could reflect predation and competitive interactions, respectively; and (v) a positive covariation in spatio-temporal densities between Pacific Herring and several groundfish species (i.e., Arrowtooth Flounder, Sablefish, Pacific Halibut, Pacific Cod), which highlights the need for an accurate assessment of the relative contribution of those species to the total summer predation pressure experienced by Pacific Herring off the WCVI. The findings of this study contribute to a better understanding of the WCVI marine ecosystem.","container-title":"Progress in Oceanography","DOI":"10.1016/j.pocean.2019.102198","ISSN":"0079-6611","journalAbbreviation":"Progress in Oceanography","language":"en","page":"102198","source":"ScienceDirect","title":"Spatio-temporal models provide new insights on the biotic and abiotic drivers shaping Pacific Herring (Clupea pallasi) distribution","volume":"178","author":[{"family":"Godefroid","given":"Martin"},{"family":"Boldt","given":"Jennifer L."},{"family":"Thorson","given":"James T."},{"family":"Forrest","given":"Robyn"},{"family":"Gauthier","given":"Stéphane"},{"family":"Flostrand","given":"Linnea"},{"family":"Ian Perry","given":"R."},{"family":"Ross","given":"Andrew R. S."},{"family":"Galbraith","given":"Moira"}],"issued":{"date-parts":[["2019",11,1]]}}}],"schema":"https://github.com/citation-style-language/schema/raw/master/csl-citation.json"}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(Godefroid et al. 2019)</w:t>
            </w:r>
            <w:r>
              <w:rPr>
                <w:rFonts w:ascii="Times New Roman" w:eastAsiaTheme="minorEastAsia" w:hAnsi="Times New Roman" w:cs="Times New Roman"/>
                <w:iCs/>
                <w:sz w:val="24"/>
                <w:szCs w:val="24"/>
              </w:rPr>
              <w:fldChar w:fldCharType="end"/>
            </w:r>
          </w:p>
        </w:tc>
      </w:tr>
      <w:tr w:rsidR="00ED3001" w14:paraId="63FDFF42" w14:textId="77777777" w:rsidTr="00905785">
        <w:tc>
          <w:tcPr>
            <w:tcW w:w="3005" w:type="dxa"/>
            <w:tcBorders>
              <w:top w:val="dotted" w:sz="4" w:space="0" w:color="auto"/>
              <w:bottom w:val="dotted" w:sz="4" w:space="0" w:color="auto"/>
            </w:tcBorders>
          </w:tcPr>
          <w:p w14:paraId="46F3838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Calculate_Synchrony</w:t>
            </w:r>
          </w:p>
        </w:tc>
        <w:tc>
          <w:tcPr>
            <w:tcW w:w="3920" w:type="dxa"/>
            <w:tcBorders>
              <w:top w:val="dotted" w:sz="4" w:space="0" w:color="auto"/>
              <w:bottom w:val="dotted" w:sz="4" w:space="0" w:color="auto"/>
            </w:tcBorders>
          </w:tcPr>
          <w:p w14:paraId="0709D3AC"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reduction in variance associated with asynchrony among species and/or locations</w:t>
            </w:r>
          </w:p>
        </w:tc>
        <w:tc>
          <w:tcPr>
            <w:tcW w:w="2091" w:type="dxa"/>
            <w:tcBorders>
              <w:top w:val="dotted" w:sz="4" w:space="0" w:color="auto"/>
              <w:bottom w:val="dotted" w:sz="4" w:space="0" w:color="auto"/>
            </w:tcBorders>
          </w:tcPr>
          <w:p w14:paraId="1F0A2A1B" w14:textId="7E74BD2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{"citationID":"XIC0mlbs","properties":{"formattedCitation":"(Thorson et al. 2018)","plainCitation":"(Thorson et al. 2018)","noteIndex":0},"citationItems":[{"id":2216,"uris":["http://zotero.org/users/251206/items/JVZJXY3J"],"uri":["http://zotero.org/users/251206/items/JVZJXY3J"],"itemData":{"id":2216,"type":"article-journal","abstract":"Variance of community abundance will be reduced relative to its theoretical maximum whenever population densities fluctuate asynchronously. Fishing communities and mobile predators can switch among fish species and/or fishing locations with asynchronous dynamics, thereby buffering against variable resource densities (termed ‘portfolio effects’, PEs). However, whether variation among species or locations represent the dominant contributor to PE remains relatively unexplored. Here, we apply a spatio-temporal model to multidecadal time series (1982–2015) for 20 bottom-associated fishes in seven marine ecosystems. For each ecosystem, we compute the reduction in variance over time in total biomass relative to its theoretical maximum if species and locations were perfectly correlated (total PE). We also compute the reduction in variance due to asynchrony among species at each location (species PE) or the reduction due to asynchrony among locations for each species (spatial PE). We specifically compute total, species and spatial PE in 10-year moving windows to detect changes over time. Our analyses revealed that spatial PE are stronger than species PE in six of seven ecosystems, and that ecosystems where species PE is constant over time can exhibit shifts in locations that strongly contribute to PE. We therefore recommend that spatial and total PE be monitored as ecosystem indicators representing risk exposure for human and natural consumers.","container-title":"Proc. R. Soc. B","DOI":"10.1098/rspb.2018.0915","ISSN":"0962-8452, 1471-2954","issue":"1888","journalAbbreviation":"Proc. R. Soc. B","language":"en","note":"PMID: 30282649","page":"20180915","source":"rspb.royalsocietypublishing.org","title":"Spatial heterogeneity contributes more to portfolio effects than species variability in bottom-associated marine fishes","volume":"285","author":[{"family":"Thorson","given":"James T."},{"family":"Scheuerell","given":"Mark D."},{"family":"Olden","given":"Julian D."},{"family":"Schindler","given":"Daniel E."}],"issued":{"date-parts":[["2018",10,10]]}}}],"schema":"https://github.com/citation-style-language/schema/raw/master/csl-citation.json"}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2018)</w:t>
            </w:r>
            <w:r>
              <w:rPr>
                <w:rFonts w:ascii="Times New Roman" w:eastAsiaTheme="minorEastAsia" w:hAnsi="Times New Roman" w:cs="Times New Roman"/>
                <w:iCs/>
                <w:sz w:val="24"/>
                <w:szCs w:val="24"/>
              </w:rPr>
              <w:fldChar w:fldCharType="end"/>
            </w:r>
          </w:p>
        </w:tc>
      </w:tr>
      <w:tr w:rsidR="00ED3001" w14:paraId="67E10355" w14:textId="77777777" w:rsidTr="00905785">
        <w:tc>
          <w:tcPr>
            <w:tcW w:w="3005" w:type="dxa"/>
            <w:tcBorders>
              <w:top w:val="dotted" w:sz="4" w:space="0" w:color="auto"/>
              <w:bottom w:val="dotted" w:sz="4" w:space="0" w:color="auto"/>
            </w:tcBorders>
          </w:tcPr>
          <w:p w14:paraId="223682A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Calculate_Coherence</w:t>
            </w:r>
          </w:p>
        </w:tc>
        <w:tc>
          <w:tcPr>
            <w:tcW w:w="3920" w:type="dxa"/>
            <w:tcBorders>
              <w:top w:val="dotted" w:sz="4" w:space="0" w:color="auto"/>
              <w:bottom w:val="dotted" w:sz="4" w:space="0" w:color="auto"/>
            </w:tcBorders>
          </w:tcPr>
          <w:p w14:paraId="2040492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the Gini coefficient for axes of covariation among categories </w:t>
            </w:r>
          </w:p>
        </w:tc>
        <w:tc>
          <w:tcPr>
            <w:tcW w:w="2091" w:type="dxa"/>
            <w:tcBorders>
              <w:top w:val="dotted" w:sz="4" w:space="0" w:color="auto"/>
              <w:bottom w:val="dotted" w:sz="4" w:space="0" w:color="auto"/>
            </w:tcBorders>
          </w:tcPr>
          <w:p w14:paraId="5D42D48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5973EECB" w14:textId="77777777" w:rsidTr="00905785">
        <w:tc>
          <w:tcPr>
            <w:tcW w:w="3005" w:type="dxa"/>
            <w:tcBorders>
              <w:top w:val="dotted" w:sz="4" w:space="0" w:color="auto"/>
              <w:bottom w:val="dotted" w:sz="4" w:space="0" w:color="auto"/>
            </w:tcBorders>
          </w:tcPr>
          <w:p w14:paraId="3E49B31D"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Calculate_proportion</w:t>
            </w:r>
          </w:p>
        </w:tc>
        <w:tc>
          <w:tcPr>
            <w:tcW w:w="3920" w:type="dxa"/>
            <w:tcBorders>
              <w:top w:val="dotted" w:sz="4" w:space="0" w:color="auto"/>
              <w:bottom w:val="dotted" w:sz="4" w:space="0" w:color="auto"/>
            </w:tcBorders>
          </w:tcPr>
          <w:p w14:paraId="2C69343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Convert indices to a proportion in a multivariate model;  breaks </w:t>
            </w:r>
            <w:r>
              <w:rPr>
                <w:rFonts w:ascii="Times New Roman" w:eastAsiaTheme="minorEastAsia" w:hAnsi="Times New Roman" w:cs="Times New Roman"/>
                <w:iCs/>
                <w:sz w:val="24"/>
                <w:szCs w:val="24"/>
              </w:rPr>
              <w:lastRenderedPageBreak/>
              <w:t>separability across categories and therefore users typically use an approximation to calculate input sample size</w:t>
            </w:r>
          </w:p>
        </w:tc>
        <w:tc>
          <w:tcPr>
            <w:tcW w:w="2091" w:type="dxa"/>
            <w:tcBorders>
              <w:top w:val="dotted" w:sz="4" w:space="0" w:color="auto"/>
              <w:bottom w:val="dotted" w:sz="4" w:space="0" w:color="auto"/>
            </w:tcBorders>
          </w:tcPr>
          <w:p w14:paraId="5B049278" w14:textId="73E4AF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{"citationID":"Htig5J0I","properties":{"formattedCitation":"(Thorson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22FFD7F7" w14:textId="77777777" w:rsidTr="00905785">
        <w:tc>
          <w:tcPr>
            <w:tcW w:w="3005" w:type="dxa"/>
            <w:tcBorders>
              <w:top w:val="dotted" w:sz="4" w:space="0" w:color="auto"/>
              <w:bottom w:val="dotted" w:sz="4" w:space="0" w:color="auto"/>
            </w:tcBorders>
          </w:tcPr>
          <w:p w14:paraId="4F9CBC7C"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normalize_GMRF_in_CPP</w:t>
            </w:r>
          </w:p>
        </w:tc>
        <w:tc>
          <w:tcPr>
            <w:tcW w:w="3920" w:type="dxa"/>
            <w:tcBorders>
              <w:top w:val="dotted" w:sz="4" w:space="0" w:color="auto"/>
              <w:bottom w:val="dotted" w:sz="4" w:space="0" w:color="auto"/>
            </w:tcBorders>
          </w:tcPr>
          <w:p w14:paraId="4AF7B9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potentially speed up GMRF calculations, although early testing didn’t indicate substantial improvements (could be explored more)</w:t>
            </w:r>
          </w:p>
        </w:tc>
        <w:tc>
          <w:tcPr>
            <w:tcW w:w="2091" w:type="dxa"/>
            <w:tcBorders>
              <w:top w:val="dotted" w:sz="4" w:space="0" w:color="auto"/>
              <w:bottom w:val="dotted" w:sz="4" w:space="0" w:color="auto"/>
            </w:tcBorders>
          </w:tcPr>
          <w:p w14:paraId="1C988A56"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56AF5CA" w14:textId="77777777" w:rsidTr="00905785">
        <w:tc>
          <w:tcPr>
            <w:tcW w:w="3005" w:type="dxa"/>
            <w:tcBorders>
              <w:top w:val="dotted" w:sz="4" w:space="0" w:color="auto"/>
              <w:bottom w:val="dotted" w:sz="4" w:space="0" w:color="auto"/>
            </w:tcBorders>
          </w:tcPr>
          <w:p w14:paraId="4C0CE69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Calculate_Fratio</w:t>
            </w:r>
          </w:p>
        </w:tc>
        <w:tc>
          <w:tcPr>
            <w:tcW w:w="3920" w:type="dxa"/>
            <w:tcBorders>
              <w:top w:val="dotted" w:sz="4" w:space="0" w:color="auto"/>
              <w:bottom w:val="dotted" w:sz="4" w:space="0" w:color="auto"/>
            </w:tcBorders>
          </w:tcPr>
          <w:p w14:paraId="25F6E9C0"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exploitation rate using a MICE-in-space model</w:t>
            </w:r>
          </w:p>
        </w:tc>
        <w:tc>
          <w:tcPr>
            <w:tcW w:w="2091" w:type="dxa"/>
            <w:tcBorders>
              <w:top w:val="dotted" w:sz="4" w:space="0" w:color="auto"/>
              <w:bottom w:val="dotted" w:sz="4" w:space="0" w:color="auto"/>
            </w:tcBorders>
          </w:tcPr>
          <w:p w14:paraId="0C723BC0" w14:textId="640F3B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{"citationID":"hH0FLBBg","properties":{"formattedCitation":"(Thorson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640381E9" w14:textId="77777777" w:rsidTr="00905785">
        <w:tc>
          <w:tcPr>
            <w:tcW w:w="3005" w:type="dxa"/>
            <w:tcBorders>
              <w:top w:val="dotted" w:sz="4" w:space="0" w:color="auto"/>
              <w:bottom w:val="dotted" w:sz="4" w:space="0" w:color="auto"/>
            </w:tcBorders>
          </w:tcPr>
          <w:p w14:paraId="4364135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Estimate_B0</w:t>
            </w:r>
          </w:p>
        </w:tc>
        <w:tc>
          <w:tcPr>
            <w:tcW w:w="3920" w:type="dxa"/>
            <w:tcBorders>
              <w:top w:val="dotted" w:sz="4" w:space="0" w:color="auto"/>
              <w:bottom w:val="dotted" w:sz="4" w:space="0" w:color="auto"/>
            </w:tcBorders>
          </w:tcPr>
          <w:p w14:paraId="714692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unfished density using a MICE-in-space model</w:t>
            </w:r>
          </w:p>
        </w:tc>
        <w:tc>
          <w:tcPr>
            <w:tcW w:w="2091" w:type="dxa"/>
            <w:tcBorders>
              <w:top w:val="dotted" w:sz="4" w:space="0" w:color="auto"/>
              <w:bottom w:val="dotted" w:sz="4" w:space="0" w:color="auto"/>
            </w:tcBorders>
          </w:tcPr>
          <w:p w14:paraId="3B73C96F" w14:textId="317F1AA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{"citationID":"NQrwzYGT","properties":{"formattedCitation":"(Thorson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1CB3F1A0" w14:textId="77777777" w:rsidTr="00905785">
        <w:tc>
          <w:tcPr>
            <w:tcW w:w="3005" w:type="dxa"/>
            <w:tcBorders>
              <w:top w:val="dotted" w:sz="4" w:space="0" w:color="auto"/>
              <w:bottom w:val="dotted" w:sz="4" w:space="0" w:color="auto"/>
            </w:tcBorders>
          </w:tcPr>
          <w:p w14:paraId="759BB8A2"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Project_factors</w:t>
            </w:r>
          </w:p>
        </w:tc>
        <w:tc>
          <w:tcPr>
            <w:tcW w:w="3920" w:type="dxa"/>
            <w:tcBorders>
              <w:top w:val="dotted" w:sz="4" w:space="0" w:color="auto"/>
              <w:bottom w:val="dotted" w:sz="4" w:space="0" w:color="auto"/>
            </w:tcBorders>
          </w:tcPr>
          <w:p w14:paraId="72071BC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Project factors to extrapolation-grid;  Useful to visualize factors when using fine_scale=TRUE</w:t>
            </w:r>
          </w:p>
        </w:tc>
        <w:tc>
          <w:tcPr>
            <w:tcW w:w="2091" w:type="dxa"/>
            <w:tcBorders>
              <w:top w:val="dotted" w:sz="4" w:space="0" w:color="auto"/>
              <w:bottom w:val="dotted" w:sz="4" w:space="0" w:color="auto"/>
            </w:tcBorders>
          </w:tcPr>
          <w:p w14:paraId="15C0B38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097C8419" w14:textId="77777777" w:rsidTr="00905785">
        <w:tc>
          <w:tcPr>
            <w:tcW w:w="3005" w:type="dxa"/>
            <w:tcBorders>
              <w:top w:val="dotted" w:sz="4" w:space="0" w:color="auto"/>
              <w:bottom w:val="dotted" w:sz="4" w:space="0" w:color="auto"/>
            </w:tcBorders>
          </w:tcPr>
          <w:p w14:paraId="3E4947B7"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treat_nonencounter_as_zero</w:t>
            </w:r>
          </w:p>
        </w:tc>
        <w:tc>
          <w:tcPr>
            <w:tcW w:w="3920" w:type="dxa"/>
            <w:tcBorders>
              <w:top w:val="dotted" w:sz="4" w:space="0" w:color="auto"/>
              <w:bottom w:val="dotted" w:sz="4" w:space="0" w:color="auto"/>
            </w:tcBorders>
          </w:tcPr>
          <w:p w14:paraId="1C5100F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internally track combinations of category and year that are never encountered and therefore should be treated as having zero abundance;  Useful for compositional-expansion</w:t>
            </w:r>
          </w:p>
        </w:tc>
        <w:tc>
          <w:tcPr>
            <w:tcW w:w="2091" w:type="dxa"/>
            <w:tcBorders>
              <w:top w:val="dotted" w:sz="4" w:space="0" w:color="auto"/>
              <w:bottom w:val="dotted" w:sz="4" w:space="0" w:color="auto"/>
            </w:tcBorders>
          </w:tcPr>
          <w:p w14:paraId="6A9FA4A7" w14:textId="447B7E18"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{"citationID":"E1LDo5BU","properties":{"formattedCitation":"(Thorson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55BEB795" w14:textId="77777777" w:rsidTr="00905785">
        <w:tc>
          <w:tcPr>
            <w:tcW w:w="3005" w:type="dxa"/>
            <w:tcBorders>
              <w:top w:val="dotted" w:sz="4" w:space="0" w:color="auto"/>
              <w:bottom w:val="single" w:sz="4" w:space="0" w:color="auto"/>
            </w:tcBorders>
          </w:tcPr>
          <w:p w14:paraId="08E45601"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simulate_random_effects</w:t>
            </w:r>
          </w:p>
        </w:tc>
        <w:tc>
          <w:tcPr>
            <w:tcW w:w="3920" w:type="dxa"/>
            <w:tcBorders>
              <w:top w:val="dotted" w:sz="4" w:space="0" w:color="auto"/>
              <w:bottom w:val="single" w:sz="4" w:space="0" w:color="auto"/>
            </w:tcBorders>
          </w:tcPr>
          <w:p w14:paraId="3AC40A34"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Option governing behaviour of bootstrap simulator;  determines whether simulator re-simulates </w:t>
            </w:r>
            <w:r>
              <w:rPr>
                <w:rFonts w:ascii="Times New Roman" w:eastAsiaTheme="minorEastAsia" w:hAnsi="Times New Roman" w:cs="Times New Roman"/>
                <w:iCs/>
                <w:sz w:val="24"/>
                <w:szCs w:val="24"/>
              </w:rPr>
              <w:lastRenderedPageBreak/>
              <w:t>random-effects conditional on fixed effects (default) or not.</w:t>
            </w:r>
          </w:p>
        </w:tc>
        <w:tc>
          <w:tcPr>
            <w:tcW w:w="2091" w:type="dxa"/>
            <w:tcBorders>
              <w:top w:val="dotted" w:sz="4" w:space="0" w:color="auto"/>
              <w:bottom w:val="single" w:sz="4" w:space="0" w:color="auto"/>
            </w:tcBorders>
          </w:tcPr>
          <w:p w14:paraId="0DC83C51" w14:textId="07A4B49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{"citationID":"WqGcTFOe","properties":{"formattedCitation":"(Thorson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bl>
    <w:p w14:paraId="1095A5E6" w14:textId="77777777" w:rsidR="00ED3001" w:rsidRPr="00493EE0"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2D54631E" w14:textId="1234F6D5" w:rsidR="007239D3" w:rsidRPr="009B37E6" w:rsidRDefault="007239D3" w:rsidP="009B37E6"/>
    <w:sectPr w:rsidR="007239D3" w:rsidRPr="009B37E6"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8F7A7" w14:textId="77777777" w:rsidR="00AC0B20" w:rsidRDefault="00AC0B20">
      <w:pPr>
        <w:spacing w:after="0" w:line="240" w:lineRule="auto"/>
      </w:pPr>
      <w:r>
        <w:separator/>
      </w:r>
    </w:p>
  </w:endnote>
  <w:endnote w:type="continuationSeparator" w:id="0">
    <w:p w14:paraId="72218522" w14:textId="77777777" w:rsidR="00AC0B20" w:rsidRDefault="00AC0B20">
      <w:pPr>
        <w:spacing w:after="0" w:line="240" w:lineRule="auto"/>
      </w:pPr>
      <w:r>
        <w:continuationSeparator/>
      </w:r>
    </w:p>
  </w:endnote>
  <w:endnote w:type="continuationNotice" w:id="1">
    <w:p w14:paraId="373FF8E7" w14:textId="77777777" w:rsidR="00AC0B20" w:rsidRDefault="00AC0B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56109FAD" w:rsidR="00766191" w:rsidRDefault="00766191">
        <w:pPr>
          <w:pStyle w:val="Footer"/>
          <w:jc w:val="center"/>
        </w:pPr>
        <w:r>
          <w:fldChar w:fldCharType="begin"/>
        </w:r>
        <w:r>
          <w:instrText xml:space="preserve"> PAGE   \* MERGEFORMAT </w:instrText>
        </w:r>
        <w:r>
          <w:fldChar w:fldCharType="separate"/>
        </w:r>
        <w:r w:rsidR="00F33E43">
          <w:rPr>
            <w:noProof/>
          </w:rPr>
          <w:t>15</w:t>
        </w:r>
        <w:r>
          <w:rPr>
            <w:noProof/>
          </w:rPr>
          <w:fldChar w:fldCharType="end"/>
        </w:r>
      </w:p>
    </w:sdtContent>
  </w:sdt>
  <w:p w14:paraId="6CACC9CB" w14:textId="77777777" w:rsidR="00766191" w:rsidRDefault="0076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0D5BE" w14:textId="77777777" w:rsidR="00AC0B20" w:rsidRDefault="00AC0B20">
      <w:pPr>
        <w:spacing w:after="0" w:line="240" w:lineRule="auto"/>
      </w:pPr>
      <w:r>
        <w:separator/>
      </w:r>
    </w:p>
  </w:footnote>
  <w:footnote w:type="continuationSeparator" w:id="0">
    <w:p w14:paraId="6658D3FC" w14:textId="77777777" w:rsidR="00AC0B20" w:rsidRDefault="00AC0B20">
      <w:pPr>
        <w:spacing w:after="0" w:line="240" w:lineRule="auto"/>
      </w:pPr>
      <w:r>
        <w:continuationSeparator/>
      </w:r>
    </w:p>
  </w:footnote>
  <w:footnote w:type="continuationNotice" w:id="1">
    <w:p w14:paraId="5FC3D3EF" w14:textId="77777777" w:rsidR="00AC0B20" w:rsidRDefault="00AC0B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66191" w:rsidRDefault="00766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030980"/>
    <w:multiLevelType w:val="hybridMultilevel"/>
    <w:tmpl w:val="4C141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4"/>
  </w:num>
  <w:num w:numId="3">
    <w:abstractNumId w:val="8"/>
  </w:num>
  <w:num w:numId="4">
    <w:abstractNumId w:val="19"/>
  </w:num>
  <w:num w:numId="5">
    <w:abstractNumId w:val="20"/>
  </w:num>
  <w:num w:numId="6">
    <w:abstractNumId w:val="6"/>
  </w:num>
  <w:num w:numId="7">
    <w:abstractNumId w:val="7"/>
  </w:num>
  <w:num w:numId="8">
    <w:abstractNumId w:val="13"/>
  </w:num>
  <w:num w:numId="9">
    <w:abstractNumId w:val="14"/>
  </w:num>
  <w:num w:numId="10">
    <w:abstractNumId w:val="2"/>
  </w:num>
  <w:num w:numId="11">
    <w:abstractNumId w:val="9"/>
  </w:num>
  <w:num w:numId="12">
    <w:abstractNumId w:val="0"/>
  </w:num>
  <w:num w:numId="13">
    <w:abstractNumId w:val="18"/>
  </w:num>
  <w:num w:numId="14">
    <w:abstractNumId w:val="3"/>
  </w:num>
  <w:num w:numId="15">
    <w:abstractNumId w:val="16"/>
  </w:num>
  <w:num w:numId="16">
    <w:abstractNumId w:val="11"/>
  </w:num>
  <w:num w:numId="17">
    <w:abstractNumId w:val="12"/>
  </w:num>
  <w:num w:numId="18">
    <w:abstractNumId w:val="1"/>
  </w:num>
  <w:num w:numId="19">
    <w:abstractNumId w:val="15"/>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73EEC"/>
    <w:rsid w:val="00095422"/>
    <w:rsid w:val="000A25B7"/>
    <w:rsid w:val="000B7B65"/>
    <w:rsid w:val="000C0A34"/>
    <w:rsid w:val="000D1941"/>
    <w:rsid w:val="000D37BB"/>
    <w:rsid w:val="000F4520"/>
    <w:rsid w:val="00115F2E"/>
    <w:rsid w:val="00116308"/>
    <w:rsid w:val="00116F2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2426"/>
    <w:rsid w:val="003636B8"/>
    <w:rsid w:val="00364F08"/>
    <w:rsid w:val="00375094"/>
    <w:rsid w:val="003831C3"/>
    <w:rsid w:val="003B1FCC"/>
    <w:rsid w:val="003B75F4"/>
    <w:rsid w:val="003C4DBE"/>
    <w:rsid w:val="003D65F9"/>
    <w:rsid w:val="003E2C98"/>
    <w:rsid w:val="003F1698"/>
    <w:rsid w:val="004127D4"/>
    <w:rsid w:val="004256B3"/>
    <w:rsid w:val="00426E86"/>
    <w:rsid w:val="004307DE"/>
    <w:rsid w:val="00441EE2"/>
    <w:rsid w:val="0045255D"/>
    <w:rsid w:val="00452DA0"/>
    <w:rsid w:val="00470B75"/>
    <w:rsid w:val="00475124"/>
    <w:rsid w:val="004845C8"/>
    <w:rsid w:val="00493EE0"/>
    <w:rsid w:val="00496EFC"/>
    <w:rsid w:val="004A38AF"/>
    <w:rsid w:val="004A7273"/>
    <w:rsid w:val="004C3751"/>
    <w:rsid w:val="004D3E37"/>
    <w:rsid w:val="004D5DB8"/>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56FB"/>
    <w:rsid w:val="00603463"/>
    <w:rsid w:val="00610B21"/>
    <w:rsid w:val="0061306C"/>
    <w:rsid w:val="00615F95"/>
    <w:rsid w:val="0062337A"/>
    <w:rsid w:val="00642D15"/>
    <w:rsid w:val="006517A4"/>
    <w:rsid w:val="0065512D"/>
    <w:rsid w:val="00682E89"/>
    <w:rsid w:val="006840BA"/>
    <w:rsid w:val="006B27A7"/>
    <w:rsid w:val="006B4898"/>
    <w:rsid w:val="006B758F"/>
    <w:rsid w:val="006C0941"/>
    <w:rsid w:val="006D220D"/>
    <w:rsid w:val="006E178F"/>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65E5"/>
    <w:rsid w:val="00757F99"/>
    <w:rsid w:val="00760CB2"/>
    <w:rsid w:val="00763D54"/>
    <w:rsid w:val="00766191"/>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804272"/>
    <w:rsid w:val="00815B8B"/>
    <w:rsid w:val="00824BAB"/>
    <w:rsid w:val="00831CE9"/>
    <w:rsid w:val="008351EF"/>
    <w:rsid w:val="00836325"/>
    <w:rsid w:val="008373C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E70"/>
    <w:rsid w:val="0093501F"/>
    <w:rsid w:val="009478B7"/>
    <w:rsid w:val="00951436"/>
    <w:rsid w:val="00952767"/>
    <w:rsid w:val="00963593"/>
    <w:rsid w:val="00976EAB"/>
    <w:rsid w:val="009776CD"/>
    <w:rsid w:val="00984B1E"/>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620F1"/>
    <w:rsid w:val="00A6298E"/>
    <w:rsid w:val="00A632D2"/>
    <w:rsid w:val="00A665D6"/>
    <w:rsid w:val="00A704DF"/>
    <w:rsid w:val="00A75CC9"/>
    <w:rsid w:val="00A832C0"/>
    <w:rsid w:val="00A86339"/>
    <w:rsid w:val="00A87F7C"/>
    <w:rsid w:val="00A95B00"/>
    <w:rsid w:val="00A9731C"/>
    <w:rsid w:val="00AA65F3"/>
    <w:rsid w:val="00AC0B20"/>
    <w:rsid w:val="00AC32E7"/>
    <w:rsid w:val="00AD3A4B"/>
    <w:rsid w:val="00AE49D6"/>
    <w:rsid w:val="00AF065B"/>
    <w:rsid w:val="00AF3FA3"/>
    <w:rsid w:val="00B05EBC"/>
    <w:rsid w:val="00B06CB6"/>
    <w:rsid w:val="00B070EA"/>
    <w:rsid w:val="00B11F5A"/>
    <w:rsid w:val="00B1286D"/>
    <w:rsid w:val="00B14C60"/>
    <w:rsid w:val="00B47375"/>
    <w:rsid w:val="00B5544C"/>
    <w:rsid w:val="00B63EFB"/>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6639"/>
    <w:rsid w:val="00C920D5"/>
    <w:rsid w:val="00C93DDB"/>
    <w:rsid w:val="00CA3D58"/>
    <w:rsid w:val="00CA57CA"/>
    <w:rsid w:val="00CC04D1"/>
    <w:rsid w:val="00CD0BBC"/>
    <w:rsid w:val="00CD6DEB"/>
    <w:rsid w:val="00CE17E3"/>
    <w:rsid w:val="00CE1ECE"/>
    <w:rsid w:val="00CE529E"/>
    <w:rsid w:val="00CF54EB"/>
    <w:rsid w:val="00CF5C40"/>
    <w:rsid w:val="00D00090"/>
    <w:rsid w:val="00D0012B"/>
    <w:rsid w:val="00D005C1"/>
    <w:rsid w:val="00D0192A"/>
    <w:rsid w:val="00D033CE"/>
    <w:rsid w:val="00D2088A"/>
    <w:rsid w:val="00D23016"/>
    <w:rsid w:val="00D32B70"/>
    <w:rsid w:val="00D36EE5"/>
    <w:rsid w:val="00D453D3"/>
    <w:rsid w:val="00D4611A"/>
    <w:rsid w:val="00D468AD"/>
    <w:rsid w:val="00D51253"/>
    <w:rsid w:val="00D534F2"/>
    <w:rsid w:val="00D6045B"/>
    <w:rsid w:val="00D73BA2"/>
    <w:rsid w:val="00D914CF"/>
    <w:rsid w:val="00DA2C62"/>
    <w:rsid w:val="00DC0C21"/>
    <w:rsid w:val="00DC2CBE"/>
    <w:rsid w:val="00DC62DF"/>
    <w:rsid w:val="00DE1517"/>
    <w:rsid w:val="00DF722C"/>
    <w:rsid w:val="00E02D5F"/>
    <w:rsid w:val="00E041F3"/>
    <w:rsid w:val="00E06071"/>
    <w:rsid w:val="00E06B9D"/>
    <w:rsid w:val="00E116A3"/>
    <w:rsid w:val="00E11941"/>
    <w:rsid w:val="00E14C00"/>
    <w:rsid w:val="00E16C29"/>
    <w:rsid w:val="00E260D1"/>
    <w:rsid w:val="00E3333B"/>
    <w:rsid w:val="00E36975"/>
    <w:rsid w:val="00E41B97"/>
    <w:rsid w:val="00E442FC"/>
    <w:rsid w:val="00E452B8"/>
    <w:rsid w:val="00E648BA"/>
    <w:rsid w:val="00E67EA8"/>
    <w:rsid w:val="00E71A2E"/>
    <w:rsid w:val="00E945D4"/>
    <w:rsid w:val="00EA379E"/>
    <w:rsid w:val="00EA736F"/>
    <w:rsid w:val="00EB7F83"/>
    <w:rsid w:val="00EC2519"/>
    <w:rsid w:val="00ED299C"/>
    <w:rsid w:val="00ED3001"/>
    <w:rsid w:val="00ED3929"/>
    <w:rsid w:val="00EE0C3F"/>
    <w:rsid w:val="00EF68DE"/>
    <w:rsid w:val="00F04EE2"/>
    <w:rsid w:val="00F06AA7"/>
    <w:rsid w:val="00F2679C"/>
    <w:rsid w:val="00F32433"/>
    <w:rsid w:val="00F33E43"/>
    <w:rsid w:val="00F423D0"/>
    <w:rsid w:val="00F45E94"/>
    <w:rsid w:val="00F64E99"/>
    <w:rsid w:val="00F743C6"/>
    <w:rsid w:val="00F747E7"/>
    <w:rsid w:val="00F86C4A"/>
    <w:rsid w:val="00FC172E"/>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E9"/>
    <w:rsid w:val="0066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5A6B6-E6B0-4A31-8131-6C9AAF2A8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31</Pages>
  <Words>24317</Words>
  <Characters>138612</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209</cp:revision>
  <cp:lastPrinted>2019-07-08T14:54:00Z</cp:lastPrinted>
  <dcterms:created xsi:type="dcterms:W3CDTF">2018-03-23T02:24:00Z</dcterms:created>
  <dcterms:modified xsi:type="dcterms:W3CDTF">2021-04-22T18:09:00Z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id="hS68yrzW"/&gt;&lt;style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