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03B5A" w14:textId="077CE0E3" w:rsidR="004A0E05" w:rsidRPr="004012E2" w:rsidRDefault="004012E2" w:rsidP="00F92AD3">
      <w:pPr>
        <w:tabs>
          <w:tab w:val="left" w:pos="360"/>
        </w:tabs>
        <w:rPr>
          <w:b/>
          <w:sz w:val="28"/>
          <w:szCs w:val="28"/>
        </w:rPr>
      </w:pPr>
      <w:r>
        <w:rPr>
          <w:b/>
          <w:sz w:val="28"/>
          <w:szCs w:val="28"/>
        </w:rPr>
        <w:t>Model-based estimates</w:t>
      </w:r>
      <w:r w:rsidR="00641550" w:rsidRPr="004012E2">
        <w:rPr>
          <w:b/>
          <w:sz w:val="28"/>
          <w:szCs w:val="28"/>
        </w:rPr>
        <w:t xml:space="preserve"> of effective sample size in Stock Synthesis using the Dirichlet-</w:t>
      </w:r>
      <w:r w:rsidR="005B0E9E" w:rsidRPr="004012E2">
        <w:rPr>
          <w:b/>
          <w:sz w:val="28"/>
          <w:szCs w:val="28"/>
        </w:rPr>
        <w:t>m</w:t>
      </w:r>
      <w:r w:rsidR="00641550" w:rsidRPr="004012E2">
        <w:rPr>
          <w:b/>
          <w:sz w:val="28"/>
          <w:szCs w:val="28"/>
        </w:rPr>
        <w:t>ultinomial distribution</w:t>
      </w:r>
    </w:p>
    <w:p w14:paraId="6341AB62" w14:textId="77777777" w:rsidR="002F6B24" w:rsidRDefault="002F6B24" w:rsidP="00F92AD3">
      <w:pPr>
        <w:tabs>
          <w:tab w:val="left" w:pos="360"/>
        </w:tabs>
        <w:rPr>
          <w:szCs w:val="24"/>
        </w:rPr>
      </w:pPr>
      <w:bookmarkStart w:id="0" w:name="_GoBack"/>
      <w:bookmarkEnd w:id="0"/>
    </w:p>
    <w:p w14:paraId="6958B793" w14:textId="05EE2802"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3424F">
        <w:rPr>
          <w:szCs w:val="24"/>
          <w:vertAlign w:val="superscript"/>
        </w:rPr>
        <w:t>3</w:t>
      </w:r>
      <w:r w:rsidR="007D46AD" w:rsidRPr="00F92AD3">
        <w:rPr>
          <w:szCs w:val="24"/>
        </w:rPr>
        <w:t>, Ian G. Taylor</w:t>
      </w:r>
      <w:r w:rsidR="007D46AD" w:rsidRPr="00F92AD3">
        <w:rPr>
          <w:szCs w:val="24"/>
          <w:vertAlign w:val="superscript"/>
        </w:rPr>
        <w:t>1</w:t>
      </w:r>
    </w:p>
    <w:p w14:paraId="0B876E9A" w14:textId="77777777" w:rsidR="00F92AD3" w:rsidRDefault="00F92AD3" w:rsidP="00F92AD3">
      <w:pPr>
        <w:tabs>
          <w:tab w:val="left" w:pos="360"/>
        </w:tabs>
        <w:rPr>
          <w:szCs w:val="24"/>
          <w:vertAlign w:val="superscript"/>
        </w:rPr>
      </w:pPr>
    </w:p>
    <w:p w14:paraId="65AAC882" w14:textId="77777777" w:rsidR="003A63B5" w:rsidRPr="00F92AD3" w:rsidRDefault="003A63B5" w:rsidP="00F92AD3">
      <w:pPr>
        <w:tabs>
          <w:tab w:val="left" w:pos="360"/>
        </w:tabs>
        <w:rPr>
          <w:szCs w:val="24"/>
        </w:rPr>
      </w:pPr>
      <w:r w:rsidRPr="00F92AD3">
        <w:rPr>
          <w:szCs w:val="24"/>
          <w:vertAlign w:val="superscript"/>
        </w:rPr>
        <w:t>1</w:t>
      </w:r>
      <w:r w:rsidRPr="00F92AD3">
        <w:rPr>
          <w:szCs w:val="24"/>
        </w:rPr>
        <w:t>Fisheries Resource Assessment and Monitoring Division, Northwest Fisheries Science Center, National Marine Fisheries Service, National Oceanic and Atmospheric Administration, 2725 Montlake Blvd. East, Seattle, WA 98112, USA</w:t>
      </w:r>
    </w:p>
    <w:p w14:paraId="77BA3FC7" w14:textId="77777777" w:rsidR="006B1728" w:rsidRDefault="006B1728" w:rsidP="00F92AD3">
      <w:pPr>
        <w:tabs>
          <w:tab w:val="left" w:pos="360"/>
        </w:tabs>
        <w:rPr>
          <w:szCs w:val="24"/>
          <w:vertAlign w:val="superscript"/>
        </w:rPr>
      </w:pPr>
    </w:p>
    <w:p w14:paraId="63DB16C4" w14:textId="77777777" w:rsidR="003A63B5"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14:paraId="6C3CC2AC" w14:textId="77777777" w:rsidR="00824AB9" w:rsidRDefault="00824AB9" w:rsidP="0033424F">
      <w:pPr>
        <w:tabs>
          <w:tab w:val="left" w:pos="360"/>
        </w:tabs>
        <w:rPr>
          <w:szCs w:val="24"/>
          <w:vertAlign w:val="superscript"/>
        </w:rPr>
      </w:pPr>
    </w:p>
    <w:p w14:paraId="78496F3A" w14:textId="41A50BD3" w:rsidR="0033424F" w:rsidRPr="00F92AD3" w:rsidRDefault="0033424F" w:rsidP="0033424F">
      <w:pPr>
        <w:tabs>
          <w:tab w:val="left" w:pos="360"/>
        </w:tabs>
        <w:rPr>
          <w:szCs w:val="24"/>
        </w:rPr>
      </w:pPr>
      <w:r>
        <w:rPr>
          <w:szCs w:val="24"/>
          <w:vertAlign w:val="superscript"/>
        </w:rPr>
        <w:t>3</w:t>
      </w:r>
      <w:r>
        <w:rPr>
          <w:szCs w:val="24"/>
        </w:rPr>
        <w:t>NOAA Senior Scientist for Stock Assessments,</w:t>
      </w:r>
      <w:r w:rsidRPr="00F92AD3">
        <w:rPr>
          <w:szCs w:val="24"/>
        </w:rPr>
        <w:t xml:space="preserve"> National Marine Fisheries Service, National Oceanic and Atmospheric Administration, 2725 Montlake Blvd. East, Seattle, WA 98112, USA</w:t>
      </w:r>
    </w:p>
    <w:p w14:paraId="68206915" w14:textId="77777777" w:rsidR="0033424F" w:rsidRPr="00F92AD3" w:rsidRDefault="0033424F" w:rsidP="00F92AD3">
      <w:pPr>
        <w:tabs>
          <w:tab w:val="left" w:pos="360"/>
        </w:tabs>
        <w:rPr>
          <w:szCs w:val="24"/>
        </w:rPr>
      </w:pPr>
    </w:p>
    <w:p w14:paraId="67053A7D" w14:textId="77777777" w:rsidR="00F92AD3" w:rsidRDefault="00F92AD3" w:rsidP="00F92AD3">
      <w:pPr>
        <w:tabs>
          <w:tab w:val="left" w:pos="360"/>
        </w:tabs>
        <w:spacing w:after="200"/>
      </w:pPr>
      <w:r>
        <w:br w:type="page"/>
      </w:r>
    </w:p>
    <w:p w14:paraId="4EA1ACB8" w14:textId="77777777" w:rsidR="003A63B5" w:rsidRPr="00F92AD3" w:rsidRDefault="00F92AD3" w:rsidP="00F92AD3">
      <w:pPr>
        <w:tabs>
          <w:tab w:val="left" w:pos="360"/>
        </w:tabs>
        <w:rPr>
          <w:b/>
          <w:sz w:val="28"/>
          <w:szCs w:val="28"/>
        </w:rPr>
      </w:pPr>
      <w:r w:rsidRPr="00F92AD3">
        <w:rPr>
          <w:b/>
          <w:sz w:val="28"/>
          <w:szCs w:val="28"/>
        </w:rPr>
        <w:lastRenderedPageBreak/>
        <w:t>Abstract</w:t>
      </w:r>
    </w:p>
    <w:p w14:paraId="2B6BEA7C" w14:textId="784F746D"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gate uncertainty about data-weighting when calculating uncertainty intervals, and often are not re-adjusted when conducting sensitivity or retrospective analyses.  We therefore incorporate the Dirichlet-</w:t>
      </w:r>
      <w:r w:rsidR="005B0E9E">
        <w:t>m</w:t>
      </w:r>
      <w:r w:rsidR="00003B86">
        <w:t xml:space="preserve">ultinomial distribution into Stock Synthesis, and propose it as a model-based method for estimating effective sample size.  This distribution incorporates one additional parameter per </w:t>
      </w:r>
      <w:r w:rsidR="006722BB">
        <w:t xml:space="preserve">fleet </w:t>
      </w:r>
      <w:r w:rsidR="00003B86">
        <w:t>(with the option of mirroring its value among fleets), and we show that this parameter represents the ratio of nominal (“input”) and effective (“output”) sample size.  We demonstrate this approach using data for Pacific hake, where D</w:t>
      </w:r>
      <w:r w:rsidR="00CC47C9">
        <w:t>irichlet-multinomial</w:t>
      </w:r>
      <w:r w:rsidR="00003B86">
        <w:t xml:space="preserve"> and </w:t>
      </w:r>
      <w:r w:rsidR="00057203">
        <w:t>iterative</w:t>
      </w:r>
      <w:r w:rsidR="00003B86">
        <w:t xml:space="preserve"> reweighting approaches give similar and plausible results.  We also use simulation testing to </w:t>
      </w:r>
      <w:r w:rsidR="00845B4D">
        <w:t xml:space="preserve">corroborate </w:t>
      </w:r>
      <w:r w:rsidR="00003B86">
        <w:t>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14:paraId="660F5024" w14:textId="77777777" w:rsidR="003A63B5" w:rsidRDefault="003A63B5" w:rsidP="00F92AD3">
      <w:pPr>
        <w:tabs>
          <w:tab w:val="left" w:pos="360"/>
        </w:tabs>
      </w:pPr>
    </w:p>
    <w:p w14:paraId="74825EA6" w14:textId="7D371D55" w:rsidR="003A63B5" w:rsidRDefault="003A63B5" w:rsidP="00F92AD3">
      <w:pPr>
        <w:tabs>
          <w:tab w:val="left" w:pos="360"/>
        </w:tabs>
      </w:pPr>
      <w:r w:rsidRPr="002F6B24">
        <w:rPr>
          <w:b/>
        </w:rPr>
        <w:t>Keywords</w:t>
      </w:r>
      <w:r>
        <w:t>: Dirichlet-</w:t>
      </w:r>
      <w:r w:rsidR="005B0E9E">
        <w:t>m</w:t>
      </w:r>
      <w:r>
        <w:t xml:space="preserve">ultinomial; </w:t>
      </w:r>
      <w:r w:rsidR="007D46AD">
        <w:t xml:space="preserve">integrated assessment; </w:t>
      </w:r>
      <w:r w:rsidR="00DA4FCB">
        <w:t>m</w:t>
      </w:r>
      <w:r>
        <w:t xml:space="preserve">ultinomial; </w:t>
      </w:r>
      <w:r w:rsidR="007D46AD">
        <w:t>statistical catch-at-age</w:t>
      </w:r>
    </w:p>
    <w:p w14:paraId="487603E2" w14:textId="77777777" w:rsidR="003A63B5" w:rsidRDefault="003A63B5" w:rsidP="00F92AD3">
      <w:pPr>
        <w:tabs>
          <w:tab w:val="left" w:pos="360"/>
        </w:tabs>
        <w:spacing w:after="200"/>
      </w:pPr>
      <w:r>
        <w:br w:type="page"/>
      </w:r>
    </w:p>
    <w:p w14:paraId="727FDF6C" w14:textId="1C2D13A9" w:rsidR="003A63B5" w:rsidRPr="003A63B5" w:rsidRDefault="00E67A70" w:rsidP="00F92AD3">
      <w:pPr>
        <w:tabs>
          <w:tab w:val="left" w:pos="360"/>
        </w:tabs>
        <w:rPr>
          <w:b/>
        </w:rPr>
      </w:pPr>
      <w:r>
        <w:rPr>
          <w:b/>
        </w:rPr>
        <w:lastRenderedPageBreak/>
        <w:t xml:space="preserve">1.  </w:t>
      </w:r>
      <w:r w:rsidR="003A63B5" w:rsidRPr="003A63B5">
        <w:rPr>
          <w:b/>
        </w:rPr>
        <w:t>Introduction</w:t>
      </w:r>
    </w:p>
    <w:p w14:paraId="2EAB28C6" w14:textId="48480330" w:rsidR="003A63B5" w:rsidRDefault="00F92AD3" w:rsidP="00F92AD3">
      <w:pPr>
        <w:tabs>
          <w:tab w:val="left" w:pos="360"/>
        </w:tabs>
      </w:pPr>
      <w:r>
        <w:t>Stock assessment models are quant</w:t>
      </w:r>
      <w:r w:rsidR="00421EFF">
        <w:t>it</w:t>
      </w:r>
      <w:r>
        <w:t xml:space="preserve">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unmodeled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14:paraId="7747F530" w14:textId="432CDA1F" w:rsidR="00BA6B7A" w:rsidRPr="00413182" w:rsidRDefault="00F92AD3" w:rsidP="008F7C4D">
      <w:pPr>
        <w:tabs>
          <w:tab w:val="left" w:pos="360"/>
        </w:tabs>
      </w:pPr>
      <w:r>
        <w:tab/>
      </w:r>
      <w:r w:rsidR="00E77EC4">
        <w:t xml:space="preserve">Stock assessment models frequently </w:t>
      </w:r>
      <w:r w:rsidR="003E1885">
        <w:t>are fitted</w:t>
      </w:r>
      <w:r w:rsidR="006B3F81">
        <w:t xml:space="preserve"> to </w:t>
      </w:r>
      <w:r w:rsidR="00E77EC4">
        <w:t xml:space="preserve">sampling data </w:t>
      </w:r>
      <w:r w:rsidR="006722BB">
        <w:t xml:space="preserve">that are informative </w:t>
      </w:r>
      <w:r w:rsidR="00EC7088">
        <w:t>about</w:t>
      </w:r>
      <w:r w:rsidR="00E77EC4">
        <w:t xml:space="preserve"> the proportion of the vulnerable population belong</w:t>
      </w:r>
      <w:r w:rsidR="006B3F81">
        <w:t>ing</w:t>
      </w:r>
      <w:r w:rsidR="00E77EC4">
        <w:t xml:space="preserve"> to different observable categories.  </w:t>
      </w:r>
      <w:r w:rsidR="0059430C">
        <w:t>Common categori</w:t>
      </w:r>
      <w:r w:rsidR="00DE771B">
        <w:t>es</w:t>
      </w:r>
      <w:r w:rsidR="0059430C">
        <w:t xml:space="preserve"> include the proportion of </w:t>
      </w:r>
      <w:r w:rsidR="00515444">
        <w:t xml:space="preserve">survey or fishery catch that is associated with </w:t>
      </w:r>
      <w:r w:rsidR="0059430C">
        <w:t>diffe</w:t>
      </w:r>
      <w:r w:rsidR="00BA6B7A">
        <w:t>rent ages, lengths, and</w:t>
      </w:r>
      <w:r w:rsidR="00DE771B">
        <w:t>/or</w:t>
      </w:r>
      <w:r w:rsidR="00BA6B7A">
        <w:t xml:space="preserve">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w:t>
      </w:r>
      <w:r w:rsidR="00AD4C48">
        <w:t>marbles</w:t>
      </w:r>
      <w:r w:rsidR="00C92237">
        <w:t xml:space="preserve">) </w:t>
      </w:r>
      <w:r w:rsidR="008F7C4D">
        <w:t>from a set of possible categories</w:t>
      </w:r>
      <w:r w:rsidR="00CB016C">
        <w:t xml:space="preserve">, where </w:t>
      </w:r>
      <w:r w:rsidR="00611E8A">
        <w:t>there is a true “fixed” probability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r w:rsidR="00F36251" w:rsidRPr="00413182">
        <w:t>0.4</w:t>
      </w:r>
      <w:r w:rsidR="00CC390D">
        <w:t>0</w:t>
      </w:r>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a single sample of 10 marbles might </w:t>
      </w:r>
      <w:r w:rsidR="00413182">
        <w:lastRenderedPageBreak/>
        <w:t xml:space="preserve">yield 1 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w:t>
      </w:r>
      <w:r w:rsidR="00AD4C48">
        <w:rPr>
          <w:rFonts w:eastAsiaTheme="minorEastAsia"/>
        </w:rPr>
        <w:t>Thus</w:t>
      </w:r>
      <w:r w:rsidR="00413182">
        <w:rPr>
          <w:rFonts w:eastAsiaTheme="minorEastAsia"/>
        </w:rPr>
        <w:t xml:space="preserve">, as </w:t>
      </w:r>
      <w:r w:rsidR="00413182">
        <w:rPr>
          <w:rFonts w:eastAsiaTheme="minorEastAsia"/>
          <w:i/>
        </w:rPr>
        <w:t>n</w:t>
      </w:r>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by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14:paraId="1E963AA9" w14:textId="1F3CD5E3" w:rsidR="0041402F" w:rsidRDefault="00BA6B7A" w:rsidP="008F7C4D">
      <w:pPr>
        <w:tabs>
          <w:tab w:val="left" w:pos="360"/>
        </w:tabs>
      </w:pPr>
      <w:r>
        <w:tab/>
      </w:r>
      <w:r w:rsidR="00B44D42">
        <w:t>In practice, compositional data for fish populations arises f</w:t>
      </w:r>
      <w:r w:rsidR="00F355C8">
        <w:t>rom a process of sampling fish</w:t>
      </w:r>
      <w:r w:rsidR="00B44D42">
        <w:t xml:space="preserve"> (e.g., non-extractive visual samples or by capturing and measuring fishes)</w:t>
      </w:r>
      <w:r w:rsidR="003C0198">
        <w:t xml:space="preserve">, and this sampling process </w:t>
      </w:r>
      <w:r w:rsidR="00102071">
        <w:t xml:space="preserve">is more complicated than </w:t>
      </w:r>
      <w:r w:rsidR="00824AB9">
        <w:t xml:space="preserve">the process implied </w:t>
      </w:r>
      <w:r w:rsidR="00102071">
        <w:t>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xml:space="preserve">, and we term this “overdispersion” in the following.  This overdispersion arises </w:t>
      </w:r>
      <w:r w:rsidR="0041402F">
        <w:t xml:space="preserve">for </w:t>
      </w:r>
      <w:r w:rsidR="00E7225D">
        <w:t>two</w:t>
      </w:r>
      <w:r w:rsidR="0041402F">
        <w:t xml:space="preserve"> primary reasons:</w:t>
      </w:r>
    </w:p>
    <w:p w14:paraId="04552191" w14:textId="4EA3C340" w:rsidR="008F7C4D" w:rsidRDefault="0041402F" w:rsidP="0041402F">
      <w:pPr>
        <w:pStyle w:val="ListParagraph"/>
        <w:numPr>
          <w:ilvl w:val="0"/>
          <w:numId w:val="4"/>
        </w:numPr>
        <w:tabs>
          <w:tab w:val="left" w:pos="360"/>
        </w:tabs>
      </w:pPr>
      <w:r>
        <w:t xml:space="preserve">Lack of statistical independence </w:t>
      </w:r>
      <w:r w:rsidR="00D35ED4">
        <w:t>among</w:t>
      </w:r>
      <w:r>
        <w:t xml:space="preserve"> individual</w:t>
      </w:r>
      <w:r w:rsidR="00D35ED4">
        <w:t>s</w:t>
      </w:r>
      <w:r>
        <w:t xml:space="preserve">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14:paraId="50F565AE" w14:textId="2171557B" w:rsidR="0041402F" w:rsidRDefault="0041402F" w:rsidP="0041402F">
      <w:pPr>
        <w:pStyle w:val="ListParagraph"/>
        <w:numPr>
          <w:ilvl w:val="0"/>
          <w:numId w:val="4"/>
        </w:numPr>
        <w:tabs>
          <w:tab w:val="left" w:pos="360"/>
        </w:tabs>
      </w:pPr>
      <w:r>
        <w:t>Heterogeneity among sampl</w:t>
      </w:r>
      <w:r w:rsidR="00DE771B">
        <w:t>es</w:t>
      </w:r>
      <w:r>
        <w:t xml:space="preserve">: </w:t>
      </w:r>
      <w:r w:rsidR="00DE771B">
        <w:t>T</w:t>
      </w:r>
      <w:r>
        <w:t xml:space="preserve">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w:t>
      </w:r>
      <w:r w:rsidR="003E1885">
        <w:t xml:space="preserve"> juvenile or adult</w:t>
      </w:r>
      <w:r>
        <w:t xml:space="preserve"> </w:t>
      </w:r>
      <w:r w:rsidR="00DE771B">
        <w:t>fish have an affinity for a particular depth range, leading to spatially varying proportions at age</w:t>
      </w:r>
      <w:r>
        <w:t xml:space="preserve">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14:paraId="714AB247" w14:textId="7B5924C7" w:rsidR="00C92237" w:rsidRDefault="00FD3433" w:rsidP="008F7C4D">
      <w:pPr>
        <w:tabs>
          <w:tab w:val="left" w:pos="360"/>
        </w:tabs>
      </w:pPr>
      <w:r>
        <w:t xml:space="preserve">In practice, compositional data are standardized (sometimes termed “expanded”) to transform raw compositional sampling data into an aggregated estimate of the proportion in each category </w:t>
      </w:r>
      <w:r>
        <w:lastRenderedPageBreak/>
        <w:t xml:space="preserve">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r w:rsidR="00574B43">
        <w:t>, where estimates are</w:t>
      </w:r>
      <w:r w:rsidR="00A109FE">
        <w:t xml:space="preserve"> frequently a function of both (i) the number of </w:t>
      </w:r>
      <w:r w:rsidR="00CC390D">
        <w:t>tows</w:t>
      </w:r>
      <w:r w:rsidR="00A109FE">
        <w:t xml:space="preserve"> and (ii) the total number of sampled </w:t>
      </w:r>
      <w:r w:rsidR="00574B43">
        <w:t xml:space="preserve">fish </w:t>
      </w:r>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14:paraId="50A1A505" w14:textId="0C161F40" w:rsidR="00735785" w:rsidRDefault="00E7225D" w:rsidP="00CE0AF0">
      <w:pPr>
        <w:tabs>
          <w:tab w:val="left" w:pos="360"/>
        </w:tabs>
      </w:pPr>
      <w:r>
        <w:tab/>
        <w:t xml:space="preserve">The multinomial distribution is </w:t>
      </w:r>
      <w:r w:rsidR="00515444">
        <w:t xml:space="preserve">often </w:t>
      </w:r>
      <w:r w:rsidR="00664AC2">
        <w:t xml:space="preserve">used in the likelihood </w:t>
      </w:r>
      <w:r>
        <w:t xml:space="preserve">function </w:t>
      </w:r>
      <w:r w:rsidR="00515444">
        <w:t xml:space="preserve">that </w:t>
      </w:r>
      <w:r>
        <w:t>is maximized to estimate parameters in an integrated assessment model</w:t>
      </w:r>
      <w:r w:rsidR="003E1885">
        <w:t xml:space="preserve">.  In this usage, the multinomial distribution is used to approximate the probability that a given composition sample arose from the fish population given proposed values for estimated parameters. </w:t>
      </w:r>
      <w:r w:rsidR="00CE0AF0">
        <w:t xml:space="preserve">Input sample size (calculated during compositional standardization) is often used as the sample size for this </w:t>
      </w:r>
      <w:r w:rsidR="00515BB4">
        <w:t>distribution</w:t>
      </w:r>
      <w:r w:rsidR="00CE0AF0">
        <w:t>, and therefore</w:t>
      </w:r>
      <w:r w:rsidR="00574B43">
        <w:t>,</w:t>
      </w:r>
      <w:r w:rsidR="00CE0AF0">
        <w:t xml:space="preserve"> input sample size controls the weighting of compositional data relative to other data sources</w:t>
      </w:r>
      <w:r w:rsidR="00515BB4">
        <w:t xml:space="preserve"> included in the likelihood function</w:t>
      </w:r>
      <w:r w:rsidR="00CE0AF0">
        <w:t xml:space="preserve">.  However, </w:t>
      </w:r>
      <w:r w:rsidR="006B3F81">
        <w:t xml:space="preserve">model </w:t>
      </w:r>
      <w:r w:rsidR="00CE0AF0">
        <w:t xml:space="preserve">misspecification 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mis-identify the age of a given fish.  Ageing error will cause age-composition data to be a </w:t>
      </w:r>
      <w:r w:rsidR="0033424F">
        <w:t xml:space="preserve">blurred </w:t>
      </w:r>
      <w:r w:rsidR="008369E9">
        <w:t xml:space="preserve">measure of </w:t>
      </w:r>
      <w:r w:rsidR="00574B43">
        <w:t xml:space="preserve">the </w:t>
      </w:r>
      <w:r w:rsidR="008369E9">
        <w:t xml:space="preserve">true age-composition, </w:t>
      </w:r>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r w:rsidR="00C4199F">
        <w:t>However, i</w:t>
      </w:r>
      <w:r w:rsidR="008369E9">
        <w:t xml:space="preserve">f the stock assessment model </w:t>
      </w:r>
      <w:r w:rsidR="005825DD">
        <w:t>incorporates</w:t>
      </w:r>
      <w:r w:rsidR="008369E9">
        <w:t xml:space="preserve">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(Methot and Wetzel, 2013; Punt et al., 2008)</w:t>
      </w:r>
      <w:r w:rsidR="00C4199F">
        <w:fldChar w:fldCharType="end"/>
      </w:r>
      <w:r w:rsidR="008369E9">
        <w:t xml:space="preserve">, these data might again be a useful measure </w:t>
      </w:r>
      <w:r w:rsidR="00C4199F">
        <w:t xml:space="preserve">of population age structure.  </w:t>
      </w:r>
    </w:p>
    <w:p w14:paraId="5B10EC8F" w14:textId="56E20383" w:rsidR="00956D4B" w:rsidRDefault="00735785" w:rsidP="00F92AD3">
      <w:pPr>
        <w:tabs>
          <w:tab w:val="left" w:pos="360"/>
        </w:tabs>
      </w:pPr>
      <w:r>
        <w:lastRenderedPageBreak/>
        <w:tab/>
      </w:r>
      <w:r w:rsidR="00C4199F">
        <w:t>Th</w:t>
      </w:r>
      <w:r>
        <w:t>e previous</w:t>
      </w:r>
      <w:r w:rsidR="00C4199F">
        <w:t xml:space="preserve"> example highlights that the </w:t>
      </w:r>
      <w:r w:rsidR="005825DD">
        <w:t>optimal</w:t>
      </w:r>
      <w:r w:rsidR="00C4199F">
        <w:t xml:space="preserve"> weight of composition data depends upon the specification of the model, where model misspecification (e.g., neglecting the impact of ageing error) results in a lower optimal weight for </w:t>
      </w:r>
      <w:r w:rsidR="00824AB9">
        <w:t xml:space="preserve">available </w:t>
      </w:r>
      <w:r w:rsidR="00C4199F">
        <w:t xml:space="preserve">compositional data.  </w:t>
      </w:r>
      <w:r w:rsidR="0052109C">
        <w:t xml:space="preserve">This conclusion implies that compositional weighting can be accomplished by inspecting the goodness-of-fit between </w:t>
      </w:r>
      <w:r>
        <w:t xml:space="preserve">the </w:t>
      </w:r>
      <w:r w:rsidR="0052109C">
        <w:t xml:space="preserve">compositional data and estimated proportions from the assessment model, and </w:t>
      </w:r>
      <w:r>
        <w:t xml:space="preserve">consequently </w:t>
      </w:r>
      <w:r w:rsidR="007D630D">
        <w:t>changing</w:t>
      </w:r>
      <w:r w:rsidR="0052109C">
        <w:t xml:space="preserve"> the sample size for data that generally do not match.  This </w:t>
      </w:r>
      <w:r w:rsidR="00956D4B">
        <w:t xml:space="preserve">process </w:t>
      </w:r>
      <w:r>
        <w:t xml:space="preserve">was </w:t>
      </w:r>
      <w:r w:rsidR="0052109C">
        <w:t xml:space="preserve">suggested by McAllister and Ianelli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w:t>
      </w:r>
      <w:r w:rsidR="007D630D">
        <w:t xml:space="preserve">iteratively </w:t>
      </w:r>
      <w:r w:rsidR="00956D4B">
        <w:t xml:space="preserve">estimating the “effective sample size” for compositional data </w:t>
      </w:r>
      <w:r w:rsidR="007D630D">
        <w:t xml:space="preserve">from </w:t>
      </w:r>
      <w:r w:rsidR="00C80D5A">
        <w:t xml:space="preserve">a given fleet </w:t>
      </w:r>
      <w:r w:rsidR="00956D4B">
        <w:t xml:space="preserve">via the match between predicted and observed compositional data.  However, </w:t>
      </w:r>
      <w:r w:rsidR="00057203">
        <w:t xml:space="preserve">iterative reweighting approaches </w:t>
      </w:r>
      <w:r w:rsidR="00C167CB">
        <w:t>require</w:t>
      </w:r>
      <w:r w:rsidR="00956D4B">
        <w:t xml:space="preserve">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Decreasing the effective sample size has</w:t>
      </w:r>
      <w:r w:rsidR="00C80D5A">
        <w:t xml:space="preserve"> an</w:t>
      </w:r>
      <w:r w:rsidR="00BE69C6">
        <w:t xml:space="preserve"> identical impact to decreasing the weight of the multinomial </w:t>
      </w:r>
      <w:r w:rsidR="00C80D5A">
        <w:t xml:space="preserve">distribution in the </w:t>
      </w:r>
      <w:r w:rsidR="00BE69C6">
        <w:t xml:space="preserve">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3E1885">
        <w:t>, such that this process is essentially reweighting the compositional data during each iteration of the algorithm</w:t>
      </w:r>
      <w:r w:rsidR="00BE69C6">
        <w:t xml:space="preserve">.  </w:t>
      </w:r>
      <w:r w:rsidR="00956D4B">
        <w:t xml:space="preserve">This iterative-reweighting algorithm has several draw-backs, including </w:t>
      </w:r>
      <w:r w:rsidR="00953E8C">
        <w:t>that it is</w:t>
      </w:r>
      <w:r w:rsidR="00956D4B">
        <w:t xml:space="preserve"> </w:t>
      </w:r>
      <w:r w:rsidR="002B1A37">
        <w:t>infeasible</w:t>
      </w:r>
      <w:r w:rsidR="00956D4B">
        <w:t xml:space="preserve"> to </w:t>
      </w:r>
      <w:r w:rsidR="002B1A37">
        <w:t>repeat</w:t>
      </w:r>
      <w:r w:rsidR="00956D4B">
        <w:t xml:space="preserve"> for every sensitivity run, </w:t>
      </w:r>
      <w:r w:rsidR="00953E8C">
        <w:t xml:space="preserve">it is </w:t>
      </w:r>
      <w:r w:rsidR="00C80D5A">
        <w:t>difficult</w:t>
      </w:r>
      <w:r w:rsidR="00956D4B">
        <w:t xml:space="preserve"> to incorporate into simulation designs, and </w:t>
      </w:r>
      <w:r w:rsidR="00953E8C">
        <w:t xml:space="preserve">it is </w:t>
      </w:r>
      <w:r w:rsidR="00C80D5A">
        <w:t>potentially influential</w:t>
      </w:r>
      <w:r w:rsidR="00956D4B">
        <w:t xml:space="preserve"> when estimating likelihood profiles for stock assessment parameters.  </w:t>
      </w:r>
    </w:p>
    <w:p w14:paraId="3350109A" w14:textId="012CA6D0" w:rsidR="00956D4B" w:rsidRDefault="00956D4B" w:rsidP="00F92AD3">
      <w:pPr>
        <w:tabs>
          <w:tab w:val="left" w:pos="360"/>
        </w:tabs>
      </w:pPr>
      <w:r>
        <w:tab/>
      </w:r>
      <w:r w:rsidR="00F355C8">
        <w:t>In the following, we</w:t>
      </w:r>
      <w:r>
        <w:t xml:space="preserve"> seek to develop a method to estimate effective sample size during parameter estimation.  Ideally, this would involve estimating a new parameter which governs the ratio of input and effective sample size.  Uncertainty in this parameter could then be estimated 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w:t>
      </w:r>
      <w:r w:rsidR="002B1A37">
        <w:t>propagated</w:t>
      </w:r>
      <w:r>
        <w:t xml:space="preserve"> </w:t>
      </w:r>
      <w:r>
        <w:lastRenderedPageBreak/>
        <w:t xml:space="preserve">and evaluated during stock projections.  </w:t>
      </w:r>
      <w:r w:rsidR="00BE69C6">
        <w:t xml:space="preserve">For this purpose, we propose using a Dirichlet-multinomial </w:t>
      </w:r>
      <w:r w:rsidR="005B0E9E">
        <w:t xml:space="preserve">(DM) </w:t>
      </w:r>
      <w:r w:rsidR="00BE69C6">
        <w:t xml:space="preserve">distribution </w:t>
      </w:r>
      <w:r w:rsidR="00C80D5A">
        <w:t xml:space="preserve">for compositional data in </w:t>
      </w:r>
      <w:r w:rsidR="00BE69C6">
        <w:t xml:space="preserve">the likelihood function of an integrated assessment model.  We show that </w:t>
      </w:r>
      <w:r w:rsidR="00C80D5A">
        <w:t>using the D</w:t>
      </w:r>
      <w:r w:rsidR="00CC47C9">
        <w:t>irichelt-multinomial</w:t>
      </w:r>
      <w:r w:rsidR="00BE69C6">
        <w:t xml:space="preserve"> distribution involves estimating a new parameter, and can be parameterized such that it estimates an approximately linear relationship between input and effective sample size.  We incorporate this new distribution into the Stock Synthesis </w:t>
      </w:r>
      <w:r w:rsidR="006B3F81">
        <w:t xml:space="preserve">(SS) </w:t>
      </w:r>
      <w:r w:rsidR="00BE69C6">
        <w:t xml:space="preserve">stock assessment software, which is widely used in the United States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(Methot and Wetzel, 2013)</w:t>
      </w:r>
      <w:r w:rsidR="00BE69C6">
        <w:fldChar w:fldCharType="end"/>
      </w:r>
      <w:r w:rsidR="00AE19D4">
        <w:t>, when fitting to marginal and conditional length</w:t>
      </w:r>
      <w:r w:rsidR="00C80D5A">
        <w:t>-</w:t>
      </w:r>
      <w:r w:rsidR="00AE19D4">
        <w:t xml:space="preserve"> or age</w:t>
      </w:r>
      <w:r w:rsidR="00C80D5A">
        <w:t>-</w:t>
      </w:r>
      <w:r w:rsidR="00AE19D4">
        <w:t>composition data</w:t>
      </w:r>
      <w:r w:rsidR="00BE69C6">
        <w:t xml:space="preserve">.  We then use a case study and simulation experiment to show that the Dirichlet-multinomial </w:t>
      </w:r>
      <w:r w:rsidR="00C80D5A">
        <w:t>distribution</w:t>
      </w:r>
      <w:r w:rsidR="00BE69C6">
        <w:t xml:space="preserve">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w:t>
      </w:r>
      <w:r w:rsidR="00A52A64">
        <w:t>iterative reweighting</w:t>
      </w:r>
      <w:r w:rsidR="00BE69C6">
        <w:t xml:space="preserve"> method</w:t>
      </w:r>
      <w:r w:rsidR="00A52A64">
        <w:t>s</w:t>
      </w:r>
      <w:r w:rsidR="00BE69C6">
        <w:t xml:space="preserve">, but without requiring </w:t>
      </w:r>
      <w:r w:rsidR="003E1885">
        <w:t xml:space="preserve">multiple iterations of running </w:t>
      </w:r>
      <w:r w:rsidR="00BE69C6">
        <w:t xml:space="preserve">the assessment model. </w:t>
      </w:r>
    </w:p>
    <w:p w14:paraId="2199B7F1" w14:textId="7677685B" w:rsidR="003A63B5" w:rsidRPr="003A63B5" w:rsidRDefault="00E67A70" w:rsidP="00F92AD3">
      <w:pPr>
        <w:tabs>
          <w:tab w:val="left" w:pos="360"/>
        </w:tabs>
        <w:rPr>
          <w:b/>
        </w:rPr>
      </w:pPr>
      <w:r>
        <w:rPr>
          <w:b/>
        </w:rPr>
        <w:t xml:space="preserve">2. </w:t>
      </w:r>
      <w:r w:rsidR="003A63B5" w:rsidRPr="003A63B5">
        <w:rPr>
          <w:b/>
        </w:rPr>
        <w:t>Methods</w:t>
      </w:r>
    </w:p>
    <w:p w14:paraId="213263C8" w14:textId="111EDA65" w:rsidR="003A09D6" w:rsidRPr="00655DC4" w:rsidRDefault="00E67A70" w:rsidP="00F92AD3">
      <w:pPr>
        <w:tabs>
          <w:tab w:val="left" w:pos="360"/>
        </w:tabs>
        <w:rPr>
          <w:i/>
        </w:rPr>
      </w:pPr>
      <w:r>
        <w:rPr>
          <w:i/>
        </w:rPr>
        <w:t xml:space="preserve">2.1 </w:t>
      </w:r>
      <w:r w:rsidR="0041622D">
        <w:rPr>
          <w:i/>
        </w:rPr>
        <w:t>Introducing the Dirichlet-m</w:t>
      </w:r>
      <w:r w:rsidR="003A09D6">
        <w:rPr>
          <w:i/>
        </w:rPr>
        <w:t>ultinomial distribution</w:t>
      </w:r>
    </w:p>
    <w:p w14:paraId="252AB138" w14:textId="662D39CC" w:rsidR="003A09D6" w:rsidRDefault="003A09D6" w:rsidP="00F92AD3">
      <w:pPr>
        <w:tabs>
          <w:tab w:val="left" w:pos="360"/>
        </w:tabs>
      </w:pPr>
      <w:r>
        <w:t>We here use a Dirichlet-</w:t>
      </w:r>
      <w:r w:rsidR="00CC47C9">
        <w:t>m</w:t>
      </w:r>
      <w:r>
        <w:t>ultinomial distribution:</w:t>
      </w:r>
    </w:p>
    <w:p w14:paraId="71DD88B5" w14:textId="4B5876B6"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b"/>
                </m:rPr>
                <w:rPr>
                  <w:rFonts w:ascii="Cambria Math" w:eastAsiaTheme="minorEastAsia" w:hAnsi="Cambria Math" w:cs="Times New Roman"/>
                  <w:szCs w:val="24"/>
                </w:rPr>
                <m:t>π</m:t>
              </m:r>
              <m:r>
                <w:rPr>
                  <w:rFonts w:ascii="Cambria Math" w:hAnsi="Cambria Math" w:cs="Times New Roman"/>
                  <w:szCs w:val="24"/>
                </w:rPr>
                <m:t>,</m:t>
              </m:r>
              <m:r>
                <w:rPr>
                  <w:rFonts w:ascii="Cambria Math" w:eastAsiaTheme="minorEastAsia" w:hAnsi="Cambria Math" w:cs="Times New Roman"/>
                  <w:szCs w:val="24"/>
                </w:rPr>
                <m:t xml:space="preserve"> </m:t>
              </m:r>
              <m:r>
                <w:rPr>
                  <w:rFonts w:ascii="Cambria Math" w:eastAsiaTheme="minorEastAsia" w:hAnsi="Cambria Math" w:cs="Times New Roman"/>
                  <w:szCs w:val="24"/>
                </w:rPr>
                <m:t>β</m:t>
              </m:r>
              <m:ctrlPr>
                <w:rPr>
                  <w:rFonts w:ascii="Cambria Math" w:eastAsiaTheme="minorEastAsia" w:hAnsi="Cambria Math" w:cs="Times New Roman"/>
                  <w:i/>
                  <w:szCs w:val="24"/>
                </w:rPr>
              </m:ctrlPr>
            </m:e>
            <m:e>
              <m:acc>
                <m:accPr>
                  <m:chr m:val="̃"/>
                  <m:ctrlPr>
                    <w:rPr>
                      <w:rFonts w:ascii="Cambria Math" w:eastAsiaTheme="minorEastAsia" w:hAnsi="Cambria Math" w:cs="Times New Roman"/>
                      <w:b/>
                      <w:szCs w:val="24"/>
                    </w:rPr>
                  </m:ctrlPr>
                </m:accPr>
                <m:e>
                  <m:r>
                    <m:rPr>
                      <m:sty m:val="b"/>
                    </m:rPr>
                    <w:rPr>
                      <w:rFonts w:ascii="Cambria Math" w:eastAsiaTheme="minorEastAsia" w:hAnsi="Cambria Math" w:cs="Times New Roman"/>
                      <w:szCs w:val="24"/>
                    </w:rPr>
                    <m:t>π</m:t>
                  </m:r>
                </m:e>
              </m:acc>
              <m:r>
                <w:rPr>
                  <w:rFonts w:ascii="Cambria Math" w:eastAsiaTheme="minorEastAsia" w:hAnsi="Cambria Math" w:cs="Times New Roman"/>
                  <w:szCs w:val="24"/>
                </w:rPr>
                <m:t>,</m:t>
              </m:r>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r>
                <w:rPr>
                  <w:rFonts w:ascii="Cambria Math" w:eastAsiaTheme="minorEastAsia" w:hAnsi="Cambria Math" w:cs="Times New Roman"/>
                  <w:szCs w:val="24"/>
                </w:rPr>
                <m:t>+1)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β</m:t>
              </m:r>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n</m:t>
              </m:r>
              <m:r>
                <w:rPr>
                  <w:rFonts w:ascii="Cambria Math" w:eastAsiaTheme="minorEastAsia" w:hAnsi="Cambria Math" w:cs="Times New Roman"/>
                  <w:szCs w:val="24"/>
                </w:rPr>
                <m:t>+</m:t>
              </m:r>
              <m:r>
                <w:rPr>
                  <w:rFonts w:ascii="Cambria Math" w:eastAsiaTheme="minorEastAsia" w:hAnsi="Cambria Math" w:cs="Times New Roman"/>
                  <w:szCs w:val="24"/>
                </w:rPr>
                <m:t>β</m:t>
              </m:r>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r>
                    <w:rPr>
                      <w:rFonts w:ascii="Cambria Math" w:eastAsiaTheme="minorEastAsia" w:hAnsi="Cambria Math" w:cs="Times New Roman"/>
                      <w:szCs w:val="24"/>
                    </w:rPr>
                    <m:t>β</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β</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AD28003" w14:textId="1B135AC6" w:rsidR="008D292E" w:rsidRDefault="008D292E" w:rsidP="008D292E">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b/>
                <w:szCs w:val="24"/>
              </w:rPr>
            </m:ctrlPr>
          </m:accPr>
          <m:e>
            <m:r>
              <m:rPr>
                <m:sty m:val="b"/>
              </m:rP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sidR="00953E8C">
        <w:rPr>
          <w:rFonts w:eastAsiaTheme="minorEastAsia" w:cs="Times New Roman"/>
          <w:szCs w:val="24"/>
        </w:rPr>
        <w:t xml:space="preserve"> (we use vector-matrix notation where vectors are bold, while elements of a vector are italicized with a subscript)</w:t>
      </w:r>
      <w:r>
        <w:rPr>
          <w:rFonts w:eastAsiaTheme="minorEastAsia" w:cs="Times New Roman"/>
          <w:szCs w:val="24"/>
        </w:rPr>
        <w:t xml:space="preserve">, </w:t>
      </w:r>
      <m:oMath>
        <m:r>
          <m:rPr>
            <m:sty m:val="b"/>
          </m:rPr>
          <w:rPr>
            <w:rFonts w:ascii="Cambria Math" w:eastAsiaTheme="minorEastAsia" w:hAnsi="Cambria Math" w:cs="Times New Roman"/>
            <w:szCs w:val="24"/>
          </w:rPr>
          <m:t>π</m:t>
        </m:r>
      </m:oMath>
      <w:r w:rsidR="007701CB">
        <w:rPr>
          <w:rFonts w:eastAsiaTheme="minorEastAsia" w:cs="Times New Roman"/>
          <w:szCs w:val="24"/>
        </w:rPr>
        <w:t xml:space="preserve"> </w:t>
      </w:r>
      <w:r w:rsidR="007701CB">
        <w:rPr>
          <w:rFonts w:eastAsiaTheme="minorEastAsia" w:cs="Times New Roman"/>
          <w:szCs w:val="24"/>
        </w:rPr>
        <w:t xml:space="preserve">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sidR="007701CB">
        <w:rPr>
          <w:rFonts w:eastAsiaTheme="minorEastAsia" w:cs="Times New Roman"/>
          <w:szCs w:val="24"/>
        </w:rPr>
        <w:t xml:space="preserve">), </w:t>
      </w:r>
      <w:r w:rsidR="007701CB">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and </w:t>
      </w:r>
      <m:oMath>
        <m:r>
          <w:rPr>
            <w:rFonts w:ascii="Cambria Math" w:eastAsiaTheme="minorEastAsia" w:hAnsi="Cambria Math" w:cs="Times New Roman"/>
            <w:szCs w:val="24"/>
          </w:rPr>
          <m:t>β</m:t>
        </m:r>
      </m:oMath>
      <w:r>
        <w:rPr>
          <w:rFonts w:eastAsiaTheme="minorEastAsia" w:cs="Times New Roman"/>
          <w:szCs w:val="24"/>
        </w:rPr>
        <w:t xml:space="preserve"> is the estimated </w:t>
      </w:r>
      <w:r w:rsidR="0057605D">
        <w:rPr>
          <w:rFonts w:eastAsiaTheme="minorEastAsia" w:cs="Times New Roman"/>
          <w:szCs w:val="24"/>
        </w:rPr>
        <w:t xml:space="preserve">variance inflation coefficient.  </w:t>
      </w:r>
      <w:r w:rsidR="006B3F81">
        <w:rPr>
          <w:rFonts w:eastAsiaTheme="minorEastAsia" w:cs="Times New Roman"/>
          <w:szCs w:val="24"/>
        </w:rPr>
        <w:t>Here, w</w:t>
      </w:r>
      <w:r>
        <w:rPr>
          <w:rFonts w:eastAsiaTheme="minorEastAsia" w:cs="Times New Roman"/>
          <w:szCs w:val="24"/>
        </w:rPr>
        <w:t>e use the gamma function, rather than the conventional factorial function, so that the Dirichlet-</w:t>
      </w:r>
      <w:r w:rsidR="003E1885">
        <w:rPr>
          <w:rFonts w:eastAsiaTheme="minorEastAsia" w:cs="Times New Roman"/>
          <w:szCs w:val="24"/>
        </w:rPr>
        <w:t>m</w:t>
      </w:r>
      <w:r>
        <w:rPr>
          <w:rFonts w:eastAsiaTheme="minorEastAsia" w:cs="Times New Roman"/>
          <w:szCs w:val="24"/>
        </w:rPr>
        <w:t xml:space="preserve">ultinomial is defined for all non-negative sample sizes </w:t>
      </w:r>
      <w:r w:rsidR="007701CB">
        <w:rPr>
          <w:rFonts w:eastAsiaTheme="minorEastAsia" w:cs="Times New Roman"/>
          <w:i/>
          <w:szCs w:val="24"/>
        </w:rPr>
        <w:t>n</w:t>
      </w:r>
      <w:r w:rsidR="0057605D">
        <w:rPr>
          <w:rFonts w:eastAsiaTheme="minorEastAsia" w:cs="Times New Roman"/>
          <w:szCs w:val="24"/>
        </w:rPr>
        <w:t xml:space="preserve">, such that it reduces to the conventional Dirichlet-multinomial distribution </w:t>
      </w:r>
      <w:r w:rsidR="0057605D">
        <w:rPr>
          <w:rFonts w:eastAsiaTheme="minorEastAsia" w:cs="Times New Roman"/>
          <w:szCs w:val="24"/>
        </w:rPr>
        <w:lastRenderedPageBreak/>
        <w:t>whenever input sample size is a whole number.  We here present theory using notation for age-composition data, but note that it is fully applicable (and implemented in Stock Synthesis) for length-composition data as well</w:t>
      </w:r>
      <w:r>
        <w:rPr>
          <w:rFonts w:eastAsiaTheme="minorEastAsia" w:cs="Times New Roman"/>
          <w:szCs w:val="24"/>
        </w:rPr>
        <w:t xml:space="preserve">. 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r>
              <w:rPr>
                <w:rFonts w:ascii="Cambria Math" w:eastAsiaTheme="minorEastAsia" w:hAnsi="Cambria Math" w:cs="Times New Roman"/>
                <w:szCs w:val="24"/>
              </w:rPr>
              <m:t>+1)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does not depend upon the parameters, but ensures t</w:t>
      </w:r>
      <w:r w:rsidR="00576611">
        <w:rPr>
          <w:rFonts w:eastAsiaTheme="minorEastAsia" w:cs="Times New Roman"/>
          <w:szCs w:val="24"/>
        </w:rPr>
        <w:t xml:space="preserve">hat the value of the Dirichlet-multinomial function </w:t>
      </w:r>
      <m:oMath>
        <m:r>
          <w:rPr>
            <w:rFonts w:ascii="Cambria Math" w:hAnsi="Cambria Math" w:cs="Times New Roman"/>
            <w:szCs w:val="24"/>
          </w:rPr>
          <m:t>L</m:t>
        </m:r>
        <m:d>
          <m:dPr>
            <m:ctrlPr>
              <w:rPr>
                <w:rFonts w:ascii="Cambria Math" w:hAnsi="Cambria Math" w:cs="Times New Roman"/>
                <w:i/>
                <w:szCs w:val="24"/>
              </w:rPr>
            </m:ctrlPr>
          </m:dPr>
          <m:e>
            <m:r>
              <m:rPr>
                <m:sty m:val="b"/>
              </m:rPr>
              <w:rPr>
                <w:rFonts w:ascii="Cambria Math" w:eastAsiaTheme="minorEastAsia" w:hAnsi="Cambria Math" w:cs="Times New Roman"/>
                <w:szCs w:val="24"/>
              </w:rPr>
              <m:t>π</m:t>
            </m:r>
            <m:r>
              <w:rPr>
                <w:rFonts w:ascii="Cambria Math" w:hAnsi="Cambria Math" w:cs="Times New Roman"/>
                <w:szCs w:val="24"/>
              </w:rPr>
              <m:t>,</m:t>
            </m:r>
            <m:r>
              <w:rPr>
                <w:rFonts w:ascii="Cambria Math" w:eastAsiaTheme="minorEastAsia" w:hAnsi="Cambria Math" w:cs="Times New Roman"/>
                <w:szCs w:val="24"/>
              </w:rPr>
              <m:t xml:space="preserve"> </m:t>
            </m:r>
            <m:r>
              <w:rPr>
                <w:rFonts w:ascii="Cambria Math" w:eastAsiaTheme="minorEastAsia" w:hAnsi="Cambria Math" w:cs="Times New Roman"/>
                <w:szCs w:val="24"/>
              </w:rPr>
              <m:t>β</m:t>
            </m:r>
            <m:ctrlPr>
              <w:rPr>
                <w:rFonts w:ascii="Cambria Math" w:eastAsiaTheme="minorEastAsia" w:hAnsi="Cambria Math" w:cs="Times New Roman"/>
                <w:i/>
                <w:szCs w:val="24"/>
              </w:rPr>
            </m:ctrlPr>
          </m:e>
          <m:e>
            <m:acc>
              <m:accPr>
                <m:chr m:val="̃"/>
                <m:ctrlPr>
                  <w:rPr>
                    <w:rFonts w:ascii="Cambria Math" w:eastAsiaTheme="minorEastAsia" w:hAnsi="Cambria Math" w:cs="Times New Roman"/>
                    <w:b/>
                    <w:szCs w:val="24"/>
                  </w:rPr>
                </m:ctrlPr>
              </m:accPr>
              <m:e>
                <m:r>
                  <m:rPr>
                    <m:sty m:val="b"/>
                  </m:rPr>
                  <w:rPr>
                    <w:rFonts w:ascii="Cambria Math" w:eastAsiaTheme="minorEastAsia" w:hAnsi="Cambria Math" w:cs="Times New Roman"/>
                    <w:szCs w:val="24"/>
                  </w:rPr>
                  <m:t>π</m:t>
                </m:r>
              </m:e>
            </m:acc>
            <m:r>
              <w:rPr>
                <w:rFonts w:ascii="Cambria Math" w:eastAsiaTheme="minorEastAsia" w:hAnsi="Cambria Math" w:cs="Times New Roman"/>
                <w:szCs w:val="24"/>
              </w:rPr>
              <m:t>,</m:t>
            </m:r>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converges on the value of the conventional multinomial function </w:t>
      </w:r>
      <m:oMath>
        <m:r>
          <w:rPr>
            <w:rFonts w:ascii="Cambria Math" w:hAnsi="Cambria Math" w:cs="Times New Roman"/>
            <w:szCs w:val="24"/>
          </w:rPr>
          <m:t>L</m:t>
        </m:r>
        <m:d>
          <m:dPr>
            <m:ctrlPr>
              <w:rPr>
                <w:rFonts w:ascii="Cambria Math" w:hAnsi="Cambria Math" w:cs="Times New Roman"/>
                <w:i/>
                <w:szCs w:val="24"/>
              </w:rPr>
            </m:ctrlPr>
          </m:dPr>
          <m:e>
            <m:r>
              <m:rPr>
                <m:sty m:val="b"/>
              </m:rPr>
              <w:rPr>
                <w:rFonts w:ascii="Cambria Math" w:eastAsiaTheme="minorEastAsia" w:hAnsi="Cambria Math" w:cs="Times New Roman"/>
                <w:szCs w:val="24"/>
              </w:rPr>
              <m:t>π</m:t>
            </m:r>
            <m:ctrlPr>
              <w:rPr>
                <w:rFonts w:ascii="Cambria Math" w:eastAsiaTheme="minorEastAsia" w:hAnsi="Cambria Math" w:cs="Times New Roman"/>
                <w:i/>
                <w:szCs w:val="24"/>
              </w:rPr>
            </m:ctrlPr>
          </m:e>
          <m:e>
            <m:acc>
              <m:accPr>
                <m:chr m:val="̃"/>
                <m:ctrlPr>
                  <w:rPr>
                    <w:rFonts w:ascii="Cambria Math" w:eastAsiaTheme="minorEastAsia" w:hAnsi="Cambria Math" w:cs="Times New Roman"/>
                    <w:b/>
                    <w:szCs w:val="24"/>
                  </w:rPr>
                </m:ctrlPr>
              </m:accPr>
              <m:e>
                <m:r>
                  <m:rPr>
                    <m:sty m:val="b"/>
                  </m:rPr>
                  <w:rPr>
                    <w:rFonts w:ascii="Cambria Math" w:eastAsiaTheme="minorEastAsia" w:hAnsi="Cambria Math" w:cs="Times New Roman"/>
                    <w:szCs w:val="24"/>
                  </w:rPr>
                  <m:t>π</m:t>
                </m:r>
              </m:e>
            </m:acc>
            <m:r>
              <w:rPr>
                <w:rFonts w:ascii="Cambria Math" w:eastAsiaTheme="minorEastAsia" w:hAnsi="Cambria Math" w:cs="Times New Roman"/>
                <w:szCs w:val="24"/>
              </w:rPr>
              <m:t>,</m:t>
            </m:r>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as </w:t>
      </w:r>
      <m:oMath>
        <m:r>
          <w:rPr>
            <w:rFonts w:ascii="Cambria Math" w:eastAsiaTheme="minorEastAsia" w:hAnsi="Cambria Math" w:cs="Times New Roman"/>
            <w:szCs w:val="24"/>
          </w:rPr>
          <m:t>β</m:t>
        </m:r>
        <m:r>
          <w:rPr>
            <w:rFonts w:ascii="Cambria Math" w:eastAsiaTheme="minorEastAsia" w:hAnsi="Cambria Math" w:cs="Times New Roman"/>
            <w:szCs w:val="24"/>
          </w:rPr>
          <m:t>→∞</m:t>
        </m:r>
      </m:oMath>
      <w:r w:rsidR="00576611">
        <w:rPr>
          <w:rFonts w:eastAsiaTheme="minorEastAsia" w:cs="Times New Roman"/>
          <w:szCs w:val="24"/>
        </w:rPr>
        <w:t>,</w:t>
      </w:r>
      <w:r>
        <w:rPr>
          <w:rFonts w:eastAsiaTheme="minorEastAsia" w:cs="Times New Roman"/>
          <w:szCs w:val="24"/>
        </w:rPr>
        <w:t>:</w:t>
      </w:r>
    </w:p>
    <w:p w14:paraId="5885E175" w14:textId="2E5D498B" w:rsidR="008D292E" w:rsidRDefault="007701CB" w:rsidP="008D292E">
      <w:pPr>
        <w:tabs>
          <w:tab w:val="left" w:pos="360"/>
          <w:tab w:val="left" w:pos="5760"/>
        </w:tabs>
        <w:rPr>
          <w:rFonts w:eastAsiaTheme="minorEastAsia"/>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b"/>
                </m:rPr>
                <w:rPr>
                  <w:rFonts w:ascii="Cambria Math" w:eastAsiaTheme="minorEastAsia" w:hAnsi="Cambria Math" w:cs="Times New Roman"/>
                  <w:szCs w:val="24"/>
                </w:rPr>
                <m:t>π</m:t>
              </m:r>
              <m:ctrlPr>
                <w:rPr>
                  <w:rFonts w:ascii="Cambria Math" w:eastAsiaTheme="minorEastAsia" w:hAnsi="Cambria Math" w:cs="Times New Roman"/>
                  <w:i/>
                  <w:szCs w:val="24"/>
                </w:rPr>
              </m:ctrlPr>
            </m:e>
            <m:e>
              <m:acc>
                <m:accPr>
                  <m:chr m:val="̃"/>
                  <m:ctrlPr>
                    <w:rPr>
                      <w:rFonts w:ascii="Cambria Math" w:eastAsiaTheme="minorEastAsia" w:hAnsi="Cambria Math" w:cs="Times New Roman"/>
                      <w:b/>
                      <w:szCs w:val="24"/>
                    </w:rPr>
                  </m:ctrlPr>
                </m:accPr>
                <m:e>
                  <m:r>
                    <m:rPr>
                      <m:sty m:val="b"/>
                    </m:rP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r>
                <w:rPr>
                  <w:rFonts w:ascii="Cambria Math" w:eastAsiaTheme="minorEastAsia" w:hAnsi="Cambria Math" w:cs="Times New Roman"/>
                  <w:szCs w:val="24"/>
                </w:rPr>
                <m:t>!</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14:paraId="232734B3" w14:textId="00AED707" w:rsidR="008D292E" w:rsidRDefault="00576611" w:rsidP="008D292E">
      <w:pPr>
        <w:tabs>
          <w:tab w:val="left" w:pos="360"/>
          <w:tab w:val="left" w:pos="5760"/>
        </w:tabs>
        <w:rPr>
          <w:rFonts w:eastAsiaTheme="minorEastAsia"/>
          <w:szCs w:val="24"/>
        </w:rPr>
      </w:pPr>
      <w:r>
        <w:rPr>
          <w:rFonts w:eastAsiaTheme="minorEastAsia"/>
          <w:szCs w:val="24"/>
        </w:rPr>
        <w:t>such that the</w:t>
      </w:r>
      <w:r w:rsidR="008D292E">
        <w:rPr>
          <w:rFonts w:eastAsiaTheme="minorEastAsia"/>
          <w:szCs w:val="24"/>
        </w:rPr>
        <w:t xml:space="preserve"> multinomial </w:t>
      </w:r>
      <w:r>
        <w:rPr>
          <w:rFonts w:eastAsiaTheme="minorEastAsia"/>
          <w:szCs w:val="24"/>
        </w:rPr>
        <w:t>distribution is a special case of the Dirichlet-multinomial distribution</w:t>
      </w:r>
      <w:r w:rsidR="008D292E">
        <w:rPr>
          <w:rFonts w:eastAsiaTheme="minorEastAsia"/>
          <w:szCs w:val="24"/>
        </w:rPr>
        <w:t xml:space="preserve">.  </w:t>
      </w:r>
    </w:p>
    <w:p w14:paraId="321D7FC9" w14:textId="7E4345A6"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147CF5">
        <w:rPr>
          <w:rFonts w:eastAsiaTheme="minorEastAsia"/>
          <w:i/>
          <w:szCs w:val="24"/>
        </w:rPr>
        <w:t xml:space="preserve">2.2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14:paraId="30BC03CF" w14:textId="70CC2BAC"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sidRPr="00541BD8">
        <w:rPr>
          <w:rFonts w:eastAsiaTheme="minorEastAsia"/>
          <w:b/>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m:rPr>
            <m:sty m:val="b"/>
          </m:rPr>
          <w:rPr>
            <w:rFonts w:ascii="Cambria Math" w:hAnsi="Cambria Math"/>
          </w:rPr>
          <m:t>c</m:t>
        </m:r>
        <m:r>
          <w:rPr>
            <w:rFonts w:ascii="Cambria Math" w:hAnsi="Cambria Math"/>
          </w:rPr>
          <m:t>~Multinomial(</m:t>
        </m:r>
        <m:acc>
          <m:accPr>
            <m:chr m:val="̃"/>
            <m:ctrlPr>
              <w:rPr>
                <w:rFonts w:ascii="Cambria Math" w:hAnsi="Cambria Math"/>
                <w:b/>
              </w:rPr>
            </m:ctrlPr>
          </m:accPr>
          <m:e>
            <m:r>
              <m:rPr>
                <m:sty m:val="b"/>
              </m:rPr>
              <w:rPr>
                <w:rFonts w:ascii="Cambria Math" w:hAnsi="Cambria Math"/>
              </w:rPr>
              <m:t>π</m:t>
            </m:r>
          </m:e>
        </m:acc>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14:paraId="37EAE21C" w14:textId="7DC97679"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r>
                <w:rPr>
                  <w:rFonts w:ascii="Cambria Math" w:hAnsi="Cambria Math"/>
                </w:rPr>
                <m:t>n</m:t>
              </m:r>
              <m:r>
                <w:rPr>
                  <w:rFonts w:ascii="Cambria Math" w:hAnsi="Cambria Math"/>
                </w:rPr>
                <m:t>,</m:t>
              </m:r>
              <m:acc>
                <m:accPr>
                  <m:chr m:val="̃"/>
                  <m:ctrlPr>
                    <w:rPr>
                      <w:rFonts w:ascii="Cambria Math" w:hAnsi="Cambria Math"/>
                      <w:b/>
                    </w:rPr>
                  </m:ctrlPr>
                </m:accPr>
                <m:e>
                  <m:r>
                    <m:rPr>
                      <m:sty m:val="b"/>
                    </m:rP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14:paraId="48F111B5" w14:textId="4F27D88F" w:rsidR="00F71AA0" w:rsidRDefault="00F71AA0" w:rsidP="00F71AA0">
      <w:pPr>
        <w:tabs>
          <w:tab w:val="left" w:pos="360"/>
          <w:tab w:val="left" w:pos="5760"/>
        </w:tabs>
        <w:rPr>
          <w:rFonts w:eastAsiaTheme="minorEastAsia"/>
        </w:rPr>
      </w:pPr>
      <w:r>
        <w:rPr>
          <w:rFonts w:eastAsiaTheme="minorEastAsia"/>
        </w:rPr>
        <w:t xml:space="preserve">where </w:t>
      </w:r>
      <w:r w:rsidR="00541BD8">
        <w:rPr>
          <w:rFonts w:eastAsiaTheme="minorEastAsia"/>
          <w:i/>
        </w:rPr>
        <w:t>n</w:t>
      </w:r>
      <w:r>
        <w:rPr>
          <w:rFonts w:eastAsiaTheme="minorEastAsia"/>
        </w:rPr>
        <w:t xml:space="preserve"> is the sample size.  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n</m:t>
        </m:r>
      </m:oMath>
      <w:r>
        <w:rPr>
          <w:rFonts w:eastAsiaTheme="minorEastAsia"/>
        </w:rPr>
        <w:t>, we see that:</w:t>
      </w:r>
    </w:p>
    <w:p w14:paraId="634115CF" w14:textId="37CBCC50"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r>
                <w:rPr>
                  <w:rFonts w:ascii="Cambria Math" w:hAnsi="Cambria Math"/>
                </w:rPr>
                <m:t>n</m:t>
              </m:r>
              <m:r>
                <w:rPr>
                  <w:rFonts w:ascii="Cambria Math" w:hAnsi="Cambria Math"/>
                </w:rPr>
                <m:t>,</m:t>
              </m:r>
              <m:acc>
                <m:accPr>
                  <m:chr m:val="̃"/>
                  <m:ctrlPr>
                    <w:rPr>
                      <w:rFonts w:ascii="Cambria Math" w:hAnsi="Cambria Math"/>
                      <w:b/>
                    </w:rPr>
                  </m:ctrlPr>
                </m:accPr>
                <m:e>
                  <m:r>
                    <m:rPr>
                      <m:sty m:val="b"/>
                    </m:rP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14:paraId="52EE83DC" w14:textId="77777777"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14:paraId="23456AB6" w14:textId="77777777"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a Dirichlet distribution:</w:t>
      </w:r>
    </w:p>
    <w:p w14:paraId="391B8F26" w14:textId="12ECB613" w:rsidR="003A09D6" w:rsidRDefault="00953E8C" w:rsidP="00F92AD3">
      <w:pPr>
        <w:tabs>
          <w:tab w:val="left" w:pos="360"/>
          <w:tab w:val="left" w:pos="5760"/>
        </w:tabs>
        <w:rPr>
          <w:rFonts w:eastAsiaTheme="minorEastAsia"/>
          <w:szCs w:val="24"/>
        </w:rPr>
      </w:pPr>
      <m:oMathPara>
        <m:oMath>
          <m:acc>
            <m:accPr>
              <m:chr m:val="̃"/>
              <m:ctrlPr>
                <w:rPr>
                  <w:rFonts w:ascii="Cambria Math" w:hAnsi="Cambria Math"/>
                  <w:b/>
                </w:rPr>
              </m:ctrlPr>
            </m:accPr>
            <m:e>
              <m:r>
                <m:rPr>
                  <m:sty m:val="b"/>
                </m:rPr>
                <w:rPr>
                  <w:rFonts w:ascii="Cambria Math" w:hAnsi="Cambria Math"/>
                </w:rPr>
                <m:t>π</m:t>
              </m:r>
            </m:e>
          </m:acc>
          <m:r>
            <w:rPr>
              <w:rFonts w:ascii="Cambria Math" w:eastAsiaTheme="minorEastAsia" w:hAnsi="Cambria Math"/>
              <w:szCs w:val="24"/>
            </w:rPr>
            <m:t>~Dirichlet(β</m:t>
          </m:r>
          <m:r>
            <m:rPr>
              <m:sty m:val="b"/>
            </m:rPr>
            <w:rPr>
              <w:rFonts w:ascii="Cambria Math" w:hAnsi="Cambria Math"/>
            </w:rPr>
            <m:t>π</m:t>
          </m:r>
          <m:r>
            <w:rPr>
              <w:rFonts w:ascii="Cambria Math" w:eastAsiaTheme="minorEastAsia" w:hAnsi="Cambria Math"/>
              <w:szCs w:val="24"/>
            </w:rPr>
            <m:t>)</m:t>
          </m:r>
        </m:oMath>
      </m:oMathPara>
    </w:p>
    <w:p w14:paraId="714F8622" w14:textId="77777777" w:rsidR="00F71AA0" w:rsidRDefault="003A09D6" w:rsidP="00F92AD3">
      <w:pPr>
        <w:tabs>
          <w:tab w:val="left" w:pos="360"/>
          <w:tab w:val="left" w:pos="5760"/>
        </w:tabs>
        <w:rPr>
          <w:rFonts w:eastAsiaTheme="minorEastAsia"/>
        </w:rPr>
      </w:pPr>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14:paraId="12D9C4AF" w14:textId="476AE194"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nary>
                <m:naryPr>
                  <m:chr m:val="∑"/>
                  <m:limLoc m:val="subSup"/>
                  <m:ctrlPr>
                    <w:rPr>
                      <w:rFonts w:ascii="Cambria Math" w:hAnsi="Cambria Math"/>
                      <w:i/>
                    </w:rPr>
                  </m:ctrlPr>
                </m:naryPr>
                <m:sub>
                  <m:r>
                    <w:rPr>
                      <w:rFonts w:ascii="Cambria Math" w:hAnsi="Cambria Math"/>
                    </w:rPr>
                    <m:t>a=1</m:t>
                  </m:r>
                </m:sub>
                <m:sup>
                  <m:sSub>
                    <m:sSubPr>
                      <m:ctrlPr>
                        <w:rPr>
                          <w:rFonts w:ascii="Cambria Math" w:hAnsi="Cambria Math"/>
                          <w:i/>
                        </w:rPr>
                      </m:ctrlPr>
                    </m:sSubPr>
                    <m:e>
                      <m:r>
                        <w:rPr>
                          <w:rFonts w:ascii="Cambria Math" w:hAnsi="Cambria Math"/>
                        </w:rPr>
                        <m:t>a</m:t>
                      </m:r>
                    </m:e>
                    <m:sub>
                      <m:r>
                        <w:rPr>
                          <w:rFonts w:ascii="Cambria Math" w:hAnsi="Cambria Math"/>
                        </w:rPr>
                        <m:t>max</m:t>
                      </m:r>
                    </m:sub>
                  </m:sSub>
                </m:sup>
                <m:e>
                  <m:sSub>
                    <m:sSubPr>
                      <m:ctrlPr>
                        <w:rPr>
                          <w:rFonts w:ascii="Cambria Math" w:hAnsi="Cambria Math"/>
                          <w:i/>
                        </w:rPr>
                      </m:ctrlPr>
                    </m:sSubPr>
                    <m:e>
                      <m:r>
                        <w:rPr>
                          <w:rFonts w:ascii="Cambria Math" w:hAnsi="Cambria Math"/>
                        </w:rPr>
                        <m:t>α</m:t>
                      </m:r>
                    </m:e>
                    <m:sub>
                      <m:r>
                        <w:rPr>
                          <w:rFonts w:ascii="Cambria Math" w:hAnsi="Cambria Math"/>
                        </w:rPr>
                        <m:t>a</m:t>
                      </m:r>
                    </m:sub>
                  </m:sSub>
                </m:e>
              </m:nary>
              <m:r>
                <w:rPr>
                  <w:rFonts w:ascii="Cambria Math" w:hAnsi="Cambria Math"/>
                </w:rPr>
                <m:t>+1)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14:paraId="475B2AA4" w14:textId="77777777" w:rsidR="003A09D6" w:rsidRDefault="00F71AA0" w:rsidP="00F92AD3">
      <w:pPr>
        <w:tabs>
          <w:tab w:val="left" w:pos="360"/>
          <w:tab w:val="left" w:pos="5760"/>
        </w:tabs>
        <w:rPr>
          <w:rFonts w:eastAsiaTheme="minorEastAsia"/>
          <w:szCs w:val="24"/>
        </w:rPr>
      </w:pPr>
      <w:r>
        <w:rPr>
          <w:rFonts w:eastAsiaTheme="minorEastAsia"/>
        </w:rPr>
        <w:t>such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14:paraId="0F7FB0D8" w14:textId="08449462" w:rsidR="003A09D6" w:rsidRDefault="00F71AA0" w:rsidP="00F92AD3">
      <w:pPr>
        <w:tabs>
          <w:tab w:val="left" w:pos="360"/>
          <w:tab w:val="left" w:pos="5760"/>
        </w:tabs>
        <w:rPr>
          <w:rFonts w:eastAsiaTheme="minorEastAsia"/>
        </w:rPr>
      </w:pPr>
      <w:r>
        <w:rPr>
          <w:rFonts w:eastAsiaTheme="minorEastAsia"/>
        </w:rPr>
        <w:lastRenderedPageBreak/>
        <w:tab/>
        <w:t xml:space="preserve">Finally, </w:t>
      </w:r>
      <w:r w:rsidR="003A09D6">
        <w:rPr>
          <w:rFonts w:eastAsiaTheme="minorEastAsia"/>
        </w:rPr>
        <w:t>the variance of the observed proportion at age for a Dirichlet-multinomial distribution is approximately:</w:t>
      </w:r>
    </w:p>
    <w:p w14:paraId="30B00B16" w14:textId="77843C70"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14:paraId="6CA622CE" w14:textId="741CFEFD"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r w:rsidR="00541BD8">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 a Dirichlet-multinomial distribution as</w:t>
      </w:r>
      <w:r>
        <w:rPr>
          <w:rFonts w:eastAsiaTheme="minorEastAsia"/>
        </w:rPr>
        <w:t>:</w:t>
      </w:r>
    </w:p>
    <w:p w14:paraId="3C92348B" w14:textId="6BAC6C84" w:rsidR="003A09D6" w:rsidRPr="00834CDC" w:rsidRDefault="00953E8C"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e>
            <m:sup>
              <m:r>
                <w:rPr>
                  <w:rFonts w:ascii="Cambria Math" w:hAnsi="Cambria Math"/>
                </w:rPr>
                <m:t>-1</m:t>
              </m:r>
            </m:sup>
          </m:sSup>
        </m:oMath>
      </m:oMathPara>
    </w:p>
    <w:p w14:paraId="4FF68E23" w14:textId="60701E1D"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and </w:t>
      </w:r>
      <m:oMath>
        <m:r>
          <w:rPr>
            <w:rFonts w:ascii="Cambria Math" w:eastAsiaTheme="minorEastAsia" w:hAnsi="Cambria Math"/>
            <w:szCs w:val="24"/>
          </w:rPr>
          <m:t>β</m:t>
        </m:r>
        <m:r>
          <w:rPr>
            <w:rFonts w:ascii="Cambria Math" w:hAnsi="Cambria Math"/>
          </w:rPr>
          <m:t>+1</m:t>
        </m:r>
      </m:oMath>
      <w:r>
        <w:rPr>
          <w:rFonts w:eastAsiaTheme="minorEastAsia"/>
        </w:rPr>
        <w:t xml:space="preserve">.  </w:t>
      </w:r>
    </w:p>
    <w:p w14:paraId="40B7C628" w14:textId="691F43C9" w:rsidR="003A09D6" w:rsidRPr="00722692" w:rsidRDefault="000265FC" w:rsidP="00F92AD3">
      <w:pPr>
        <w:tabs>
          <w:tab w:val="left" w:pos="360"/>
          <w:tab w:val="left" w:pos="5760"/>
        </w:tabs>
        <w:rPr>
          <w:rFonts w:eastAsiaTheme="minorEastAsia"/>
          <w:i/>
        </w:rPr>
      </w:pPr>
      <w:r>
        <w:rPr>
          <w:rFonts w:eastAsiaTheme="minorEastAsia"/>
          <w:i/>
        </w:rPr>
        <w:t xml:space="preserve">2.3 </w:t>
      </w:r>
      <w:r w:rsidR="003A09D6">
        <w:rPr>
          <w:rFonts w:eastAsiaTheme="minorEastAsia"/>
          <w:i/>
        </w:rPr>
        <w:t xml:space="preserve">Two </w:t>
      </w:r>
      <w:r w:rsidR="00C26578">
        <w:rPr>
          <w:rFonts w:eastAsiaTheme="minorEastAsia"/>
          <w:i/>
        </w:rPr>
        <w:t>potential</w:t>
      </w:r>
      <w:r w:rsidR="003A09D6">
        <w:rPr>
          <w:rFonts w:eastAsiaTheme="minorEastAsia"/>
          <w:i/>
        </w:rPr>
        <w:t xml:space="preserve"> parameterizations</w:t>
      </w:r>
    </w:p>
    <w:p w14:paraId="6539C685" w14:textId="52C821FE" w:rsidR="003A09D6" w:rsidRPr="00722692" w:rsidRDefault="0041622D" w:rsidP="00F92AD3">
      <w:pPr>
        <w:tabs>
          <w:tab w:val="left" w:pos="360"/>
          <w:tab w:val="left" w:pos="5760"/>
        </w:tabs>
        <w:rPr>
          <w:rFonts w:eastAsiaTheme="minorEastAsia"/>
        </w:rPr>
      </w:pPr>
      <w:r>
        <w:rPr>
          <w:rFonts w:eastAsiaTheme="minorEastAsia"/>
        </w:rPr>
        <w:t>Given the Dirichlet-mulinomial distribution and the closed-form computation of its effective sample size, we propose two alternative parameterizations that may be useful in practice for length</w:t>
      </w:r>
      <w:r w:rsidR="00A90B40">
        <w:rPr>
          <w:rFonts w:eastAsiaTheme="minorEastAsia"/>
        </w:rPr>
        <w:t>-</w:t>
      </w:r>
      <w:r>
        <w:rPr>
          <w:rFonts w:eastAsiaTheme="minorEastAsia"/>
        </w:rPr>
        <w:t xml:space="preserve"> and age-composition samples in stock assessment</w:t>
      </w:r>
      <w:r w:rsidR="00C26578">
        <w:rPr>
          <w:rFonts w:eastAsiaTheme="minorEastAsia"/>
        </w:rPr>
        <w:t xml:space="preserve"> models.  These parameterizations differ in terms of the function relating input and effective sample size (Fig. 1).</w:t>
      </w:r>
    </w:p>
    <w:p w14:paraId="7481BBEC" w14:textId="43545699" w:rsidR="00C26578" w:rsidRPr="0041622D" w:rsidRDefault="000D4DF4" w:rsidP="00C26578">
      <w:pPr>
        <w:tabs>
          <w:tab w:val="left" w:pos="360"/>
        </w:tabs>
        <w:rPr>
          <w:i/>
        </w:rPr>
      </w:pPr>
      <w:r>
        <w:rPr>
          <w:i/>
        </w:rPr>
        <w:t xml:space="preserve">2.3.1 </w:t>
      </w:r>
      <w:r w:rsidR="00C26578" w:rsidRPr="0041622D">
        <w:rPr>
          <w:i/>
        </w:rPr>
        <w:t xml:space="preserve">Parameterization #1 – </w:t>
      </w:r>
      <w:r w:rsidR="0036045D" w:rsidRPr="0041622D">
        <w:rPr>
          <w:i/>
        </w:rPr>
        <w:t xml:space="preserve">Linear effective sample size </w:t>
      </w:r>
    </w:p>
    <w:p w14:paraId="3013443F" w14:textId="305D2150" w:rsidR="00C26578" w:rsidRPr="00C26578" w:rsidRDefault="00C26578" w:rsidP="00C26578">
      <w:pPr>
        <w:tabs>
          <w:tab w:val="left" w:pos="360"/>
        </w:tabs>
      </w:pPr>
      <w:r>
        <w:t xml:space="preserve">As a default, we recommend a re-parameterization of the Dirichlet-multinomial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sidR="00541BD8">
        <w:rPr>
          <w:rFonts w:eastAsiaTheme="minorEastAsia"/>
          <w:i/>
          <w:szCs w:val="24"/>
        </w:rPr>
        <w:t>n</w:t>
      </w:r>
      <w:r>
        <w:rPr>
          <w:rFonts w:eastAsiaTheme="minorEastAsia"/>
          <w:i/>
          <w:szCs w:val="24"/>
        </w:rPr>
        <w:t xml:space="preserve">, </w:t>
      </w:r>
      <w:r>
        <w:rPr>
          <w:rFonts w:eastAsiaTheme="minorEastAsia"/>
          <w:szCs w:val="24"/>
        </w:rPr>
        <w:t xml:space="preserve">i.e., </w:t>
      </w:r>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14:paraId="6E2DF3EF" w14:textId="29FF4382"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b"/>
                </m:rPr>
                <w:rPr>
                  <w:rFonts w:ascii="Cambria Math" w:eastAsiaTheme="minorEastAsia" w:hAnsi="Cambria Math" w:cs="Times New Roman"/>
                  <w:szCs w:val="24"/>
                </w:rPr>
                <m:t>π</m:t>
              </m:r>
              <m:r>
                <w:rPr>
                  <w:rFonts w:ascii="Cambria Math" w:hAnsi="Cambria Math" w:cs="Times New Roman"/>
                  <w:szCs w:val="24"/>
                </w:rPr>
                <m:t>,</m:t>
              </m:r>
              <m:r>
                <w:rPr>
                  <w:rFonts w:ascii="Cambria Math" w:eastAsiaTheme="minorEastAsia" w:hAnsi="Cambria Math" w:cs="Times New Roman"/>
                  <w:szCs w:val="24"/>
                </w:rPr>
                <m:t xml:space="preserve"> </m:t>
              </m:r>
              <m:r>
                <w:rPr>
                  <w:rFonts w:ascii="Cambria Math" w:eastAsiaTheme="minorEastAsia" w:hAnsi="Cambria Math" w:cs="Times New Roman"/>
                  <w:szCs w:val="24"/>
                </w:rPr>
                <m:t>θ</m:t>
              </m:r>
              <m:ctrlPr>
                <w:rPr>
                  <w:rFonts w:ascii="Cambria Math" w:eastAsiaTheme="minorEastAsia" w:hAnsi="Cambria Math" w:cs="Times New Roman"/>
                  <w:i/>
                  <w:szCs w:val="24"/>
                </w:rPr>
              </m:ctrlPr>
            </m:e>
            <m:e>
              <m:acc>
                <m:accPr>
                  <m:chr m:val="̃"/>
                  <m:ctrlPr>
                    <w:rPr>
                      <w:rFonts w:ascii="Cambria Math" w:eastAsiaTheme="minorEastAsia" w:hAnsi="Cambria Math" w:cs="Times New Roman"/>
                      <w:b/>
                      <w:szCs w:val="24"/>
                    </w:rPr>
                  </m:ctrlPr>
                </m:accPr>
                <m:e>
                  <m:r>
                    <m:rPr>
                      <m:sty m:val="b"/>
                    </m:rPr>
                    <w:rPr>
                      <w:rFonts w:ascii="Cambria Math" w:eastAsiaTheme="minorEastAsia" w:hAnsi="Cambria Math" w:cs="Times New Roman"/>
                      <w:szCs w:val="24"/>
                    </w:rPr>
                    <m:t>π</m:t>
                  </m:r>
                </m:e>
              </m:acc>
              <m:r>
                <w:rPr>
                  <w:rFonts w:ascii="Cambria Math" w:eastAsiaTheme="minorEastAsia" w:hAnsi="Cambria Math" w:cs="Times New Roman"/>
                  <w:szCs w:val="24"/>
                </w:rPr>
                <m:t>,</m:t>
              </m:r>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r>
                <w:rPr>
                  <w:rFonts w:ascii="Cambria Math" w:eastAsiaTheme="minorEastAsia" w:hAnsi="Cambria Math" w:cs="Times New Roman"/>
                  <w:szCs w:val="24"/>
                </w:rPr>
                <m:t>+1)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θ</m:t>
              </m:r>
              <m:r>
                <w:rPr>
                  <w:rFonts w:ascii="Cambria Math" w:eastAsiaTheme="minorEastAsia" w:hAnsi="Cambria Math" w:cs="Times New Roman"/>
                  <w:szCs w:val="24"/>
                </w:rPr>
                <m:t>n</m:t>
              </m:r>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n</m:t>
              </m:r>
              <m:r>
                <w:rPr>
                  <w:rFonts w:ascii="Cambria Math" w:eastAsiaTheme="minorEastAsia" w:hAnsi="Cambria Math" w:cs="Times New Roman"/>
                  <w:szCs w:val="24"/>
                </w:rPr>
                <m:t>+</m:t>
              </m:r>
              <m:r>
                <w:rPr>
                  <w:rFonts w:ascii="Cambria Math" w:eastAsiaTheme="minorEastAsia" w:hAnsi="Cambria Math" w:cs="Times New Roman"/>
                  <w:szCs w:val="24"/>
                </w:rPr>
                <m:t>θ</m:t>
              </m:r>
              <m:r>
                <w:rPr>
                  <w:rFonts w:ascii="Cambria Math" w:eastAsiaTheme="minorEastAsia" w:hAnsi="Cambria Math" w:cs="Times New Roman"/>
                  <w:szCs w:val="24"/>
                </w:rPr>
                <m:t>n</m:t>
              </m:r>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r>
                    <w:rPr>
                      <w:rFonts w:ascii="Cambria Math" w:eastAsiaTheme="minorEastAsia" w:hAnsi="Cambria Math" w:cs="Times New Roman"/>
                      <w:szCs w:val="24"/>
                    </w:rPr>
                    <m:t>θ</m:t>
                  </m:r>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θ</m:t>
                  </m:r>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73F409DD" w14:textId="77777777" w:rsidR="00C26578" w:rsidRPr="00C26578" w:rsidRDefault="00C26578" w:rsidP="00C26578">
      <w:pPr>
        <w:tabs>
          <w:tab w:val="left" w:pos="360"/>
          <w:tab w:val="left" w:pos="5760"/>
        </w:tabs>
        <w:rPr>
          <w:rFonts w:eastAsiaTheme="minorEastAsia" w:cs="Times New Roman"/>
        </w:rPr>
      </w:pPr>
      <w:r>
        <w:rPr>
          <w:rFonts w:eastAsiaTheme="minorEastAsia" w:cs="Times New Roman"/>
        </w:rPr>
        <w:t>which has effective sample size:</w:t>
      </w:r>
    </w:p>
    <w:p w14:paraId="742B4ECE" w14:textId="11DC2473" w:rsidR="00C26578" w:rsidRPr="00C26578" w:rsidRDefault="00953E8C"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cs="Times New Roman"/>
                          <w:szCs w:val="24"/>
                        </w:rPr>
                        <m:t>θ</m:t>
                      </m:r>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14:paraId="3C7B27DA" w14:textId="6A4B44BD" w:rsidR="00C26578" w:rsidRDefault="00F355C8" w:rsidP="00C26578">
      <w:pPr>
        <w:tabs>
          <w:tab w:val="left" w:pos="360"/>
          <w:tab w:val="left" w:pos="5760"/>
        </w:tabs>
        <w:rPr>
          <w:rFonts w:eastAsiaTheme="minorEastAsia"/>
          <w:szCs w:val="24"/>
        </w:rPr>
      </w:pPr>
      <w:r>
        <w:rPr>
          <w:rFonts w:eastAsiaTheme="minorEastAsia"/>
        </w:rPr>
        <w:t>When</w:t>
      </w:r>
      <w:r w:rsidR="00C26578">
        <w:rPr>
          <w:rFonts w:eastAsiaTheme="minorEastAsia"/>
        </w:rPr>
        <w:t xml:space="preserve"> </w:t>
      </w:r>
      <w:r w:rsidR="00541BD8">
        <w:rPr>
          <w:rFonts w:eastAsiaTheme="minorEastAsia"/>
          <w:i/>
        </w:rPr>
        <w:t>n</w:t>
      </w:r>
      <w:r w:rsidR="00C26578">
        <w:rPr>
          <w:rFonts w:eastAsiaTheme="minorEastAsia"/>
          <w:i/>
        </w:rPr>
        <w:t>&gt;&gt;1</w:t>
      </w:r>
      <w:r w:rsidR="00C26578">
        <w:rPr>
          <w:rFonts w:eastAsiaTheme="minorEastAsia"/>
        </w:rPr>
        <w:t xml:space="preserve"> and </w:t>
      </w:r>
      <m:oMath>
        <m:r>
          <w:rPr>
            <w:rFonts w:ascii="Cambria Math" w:eastAsiaTheme="minorEastAsia" w:hAnsi="Cambria Math" w:cs="Times New Roman"/>
            <w:szCs w:val="24"/>
          </w:rPr>
          <m:t>θ</m:t>
        </m:r>
      </m:oMath>
      <w:r w:rsidR="00C26578">
        <w:rPr>
          <w:rFonts w:eastAsiaTheme="minorEastAsia"/>
          <w:szCs w:val="24"/>
        </w:rPr>
        <w:t>&lt;&lt;</w:t>
      </w:r>
      <w:r w:rsidR="00C26578" w:rsidRPr="00C26578">
        <w:rPr>
          <w:rFonts w:eastAsiaTheme="minorEastAsia"/>
          <w:i/>
          <w:szCs w:val="24"/>
        </w:rPr>
        <w:t>1</w:t>
      </w:r>
      <w:r w:rsidR="00C26578">
        <w:rPr>
          <w:rFonts w:eastAsiaTheme="minorEastAsia"/>
          <w:szCs w:val="24"/>
        </w:rPr>
        <w:t xml:space="preserve">, this </w:t>
      </w:r>
      <w:r w:rsidR="00B27D83">
        <w:rPr>
          <w:rFonts w:eastAsiaTheme="minorEastAsia"/>
          <w:szCs w:val="24"/>
        </w:rPr>
        <w:t xml:space="preserve">further </w:t>
      </w:r>
      <w:r w:rsidR="00C26578">
        <w:rPr>
          <w:rFonts w:eastAsiaTheme="minorEastAsia"/>
          <w:szCs w:val="24"/>
        </w:rPr>
        <w:t>reduces to:</w:t>
      </w:r>
    </w:p>
    <w:p w14:paraId="5BB4A924" w14:textId="70775D50" w:rsidR="00C26578" w:rsidRPr="00C26578" w:rsidRDefault="00953E8C"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r>
            <w:rPr>
              <w:rFonts w:ascii="Cambria Math" w:eastAsiaTheme="minorEastAsia" w:hAnsi="Cambria Math" w:cs="Times New Roman"/>
              <w:szCs w:val="24"/>
            </w:rPr>
            <m:t>θ</m:t>
          </m:r>
        </m:oMath>
      </m:oMathPara>
    </w:p>
    <w:p w14:paraId="3CC9A6D7" w14:textId="2C2BFB24"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r>
          <w:rPr>
            <w:rFonts w:ascii="Cambria Math" w:eastAsiaTheme="minorEastAsia" w:hAnsi="Cambria Math" w:cs="Times New Roman"/>
            <w:szCs w:val="24"/>
          </w:rPr>
          <m:t>θ</m:t>
        </m:r>
      </m:oMath>
      <w:r>
        <w:rPr>
          <w:rFonts w:eastAsiaTheme="minorEastAsia"/>
          <w:szCs w:val="24"/>
        </w:rPr>
        <w:t xml:space="preserve"> </w:t>
      </w:r>
      <w:r w:rsidR="003E4E22">
        <w:rPr>
          <w:rFonts w:eastAsiaTheme="minorEastAsia"/>
          <w:szCs w:val="24"/>
        </w:rPr>
        <w:t xml:space="preserve">can be interpreted as </w:t>
      </w:r>
      <w:r>
        <w:rPr>
          <w:rFonts w:eastAsiaTheme="minorEastAsia"/>
          <w:szCs w:val="24"/>
        </w:rPr>
        <w:t>the ratio of effecti</w:t>
      </w:r>
      <w:r w:rsidR="0036045D">
        <w:rPr>
          <w:rFonts w:eastAsiaTheme="minorEastAsia"/>
          <w:szCs w:val="24"/>
        </w:rPr>
        <w:t>ve and input sample size</w:t>
      </w:r>
      <w:r w:rsidR="003E4E22">
        <w:rPr>
          <w:rFonts w:eastAsiaTheme="minorEastAsia"/>
          <w:szCs w:val="24"/>
        </w:rPr>
        <w:t xml:space="preserve"> under these conditions</w:t>
      </w:r>
      <w:r w:rsidR="0036045D">
        <w:rPr>
          <w:rFonts w:eastAsiaTheme="minorEastAsia"/>
          <w:szCs w:val="24"/>
        </w:rPr>
        <w:t xml:space="preserv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sidR="00541BD8">
        <w:rPr>
          <w:rFonts w:eastAsiaTheme="minorEastAsia"/>
          <w:i/>
          <w:szCs w:val="24"/>
        </w:rPr>
        <w:t>n</w:t>
      </w:r>
      <w:r>
        <w:rPr>
          <w:rFonts w:eastAsiaTheme="minorEastAsia"/>
          <w:i/>
          <w:szCs w:val="24"/>
        </w:rPr>
        <w:t>&gt;10</w:t>
      </w:r>
      <w:r>
        <w:rPr>
          <w:rFonts w:eastAsiaTheme="minorEastAsia"/>
          <w:szCs w:val="24"/>
        </w:rPr>
        <w:t>).</w:t>
      </w:r>
    </w:p>
    <w:p w14:paraId="1F125B00" w14:textId="2AD0D247" w:rsidR="00C26578" w:rsidRDefault="00F908C6" w:rsidP="00C26578">
      <w:pPr>
        <w:tabs>
          <w:tab w:val="left" w:pos="360"/>
        </w:tabs>
        <w:rPr>
          <w:i/>
        </w:rPr>
      </w:pPr>
      <w:r>
        <w:rPr>
          <w:i/>
        </w:rPr>
        <w:t xml:space="preserve">2.3.2 </w:t>
      </w:r>
      <w:r w:rsidR="00C26578" w:rsidRPr="0041622D">
        <w:rPr>
          <w:i/>
        </w:rPr>
        <w:t xml:space="preserve">Parameterization #2 – </w:t>
      </w:r>
      <w:r w:rsidR="0036045D" w:rsidRPr="0041622D">
        <w:rPr>
          <w:i/>
        </w:rPr>
        <w:t>Asymptotic effective sample size</w:t>
      </w:r>
    </w:p>
    <w:p w14:paraId="1E39E120" w14:textId="48326604" w:rsidR="0036045D" w:rsidRPr="0036045D" w:rsidRDefault="0036045D" w:rsidP="00C26578">
      <w:pPr>
        <w:tabs>
          <w:tab w:val="left" w:pos="360"/>
        </w:tabs>
      </w:pPr>
      <w:r>
        <w:t xml:space="preserve">As a potential alternative, analysts may instead use the original parameterization of the </w:t>
      </w:r>
      <w:r w:rsidR="00681AFA">
        <w:t>Dirichlet-m</w:t>
      </w:r>
      <w:r>
        <w:t>ultinomial distribution:</w:t>
      </w:r>
    </w:p>
    <w:p w14:paraId="2D7E3F19" w14:textId="6563A7E4"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b"/>
                </m:rPr>
                <w:rPr>
                  <w:rFonts w:ascii="Cambria Math" w:eastAsiaTheme="minorEastAsia" w:hAnsi="Cambria Math" w:cs="Times New Roman"/>
                  <w:szCs w:val="24"/>
                </w:rPr>
                <m:t>π</m:t>
              </m:r>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b/>
                      <w:szCs w:val="24"/>
                    </w:rPr>
                  </m:ctrlPr>
                </m:accPr>
                <m:e>
                  <m:r>
                    <m:rPr>
                      <m:sty m:val="b"/>
                    </m:rPr>
                    <w:rPr>
                      <w:rFonts w:ascii="Cambria Math" w:eastAsiaTheme="minorEastAsia" w:hAnsi="Cambria Math" w:cs="Times New Roman"/>
                      <w:szCs w:val="24"/>
                    </w:rPr>
                    <m:t>π</m:t>
                  </m:r>
                </m:e>
              </m:acc>
              <m:r>
                <w:rPr>
                  <w:rFonts w:ascii="Cambria Math" w:eastAsiaTheme="minorEastAsia" w:hAnsi="Cambria Math" w:cs="Times New Roman"/>
                  <w:szCs w:val="24"/>
                </w:rPr>
                <m:t>,</m:t>
              </m:r>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r>
                <w:rPr>
                  <w:rFonts w:ascii="Cambria Math" w:eastAsiaTheme="minorEastAsia" w:hAnsi="Cambria Math" w:cs="Times New Roman"/>
                  <w:szCs w:val="24"/>
                </w:rPr>
                <m:t>+1)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β</m:t>
              </m:r>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n</m:t>
              </m:r>
              <m:r>
                <w:rPr>
                  <w:rFonts w:ascii="Cambria Math" w:eastAsiaTheme="minorEastAsia" w:hAnsi="Cambria Math" w:cs="Times New Roman"/>
                  <w:szCs w:val="24"/>
                </w:rPr>
                <m:t>+</m:t>
              </m:r>
              <m:r>
                <w:rPr>
                  <w:rFonts w:ascii="Cambria Math" w:eastAsiaTheme="minorEastAsia" w:hAnsi="Cambria Math" w:cs="Times New Roman"/>
                  <w:szCs w:val="24"/>
                </w:rPr>
                <m:t>β</m:t>
              </m:r>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r>
                    <w:rPr>
                      <w:rFonts w:ascii="Cambria Math" w:eastAsiaTheme="minorEastAsia" w:hAnsi="Cambria Math" w:cs="Times New Roman"/>
                      <w:szCs w:val="24"/>
                    </w:rPr>
                    <m:t>β</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r>
                    <w:rPr>
                      <w:rFonts w:ascii="Cambria Math" w:eastAsiaTheme="minorEastAsia" w:hAnsi="Cambria Math" w:cs="Times New Roman"/>
                      <w:szCs w:val="24"/>
                    </w:rPr>
                    <m:t>β</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π</m:t>
                      </m:r>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F477DF1" w14:textId="77777777" w:rsidR="0036045D" w:rsidRPr="0036045D" w:rsidRDefault="0036045D" w:rsidP="0036045D">
      <w:pPr>
        <w:tabs>
          <w:tab w:val="left" w:pos="360"/>
        </w:tabs>
        <w:rPr>
          <w:rFonts w:cs="Times New Roman"/>
          <w:szCs w:val="24"/>
        </w:rPr>
      </w:pPr>
      <w:r>
        <w:rPr>
          <w:rFonts w:cs="Times New Roman"/>
          <w:szCs w:val="24"/>
        </w:rPr>
        <w:t>with effective sample size:</w:t>
      </w:r>
    </w:p>
    <w:p w14:paraId="54B77AEA" w14:textId="12BC8B74" w:rsidR="00C26578" w:rsidRPr="00C26578" w:rsidRDefault="00953E8C"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e>
            <m:sup>
              <m:r>
                <w:rPr>
                  <w:rFonts w:ascii="Cambria Math" w:hAnsi="Cambria Math"/>
                </w:rPr>
                <m:t>-1</m:t>
              </m:r>
            </m:sup>
          </m:sSup>
        </m:oMath>
      </m:oMathPara>
    </w:p>
    <w:p w14:paraId="1DF34039" w14:textId="67988A50"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large </w:t>
      </w:r>
      <m:oMath>
        <m:r>
          <w:rPr>
            <w:rFonts w:ascii="Cambria Math" w:eastAsiaTheme="minorEastAsia" w:hAnsi="Cambria Math"/>
            <w:szCs w:val="24"/>
          </w:rPr>
          <m:t>β</m:t>
        </m:r>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r>
          <w:rPr>
            <w:rFonts w:ascii="Cambria Math" w:eastAsiaTheme="minorEastAsia" w:hAnsi="Cambria Math"/>
            <w:szCs w:val="24"/>
          </w:rPr>
          <m:t>β</m:t>
        </m:r>
        <m:r>
          <w:rPr>
            <w:rFonts w:ascii="Cambria Math" w:eastAsiaTheme="minorEastAsia" w:hAnsi="Cambria Math"/>
          </w:rPr>
          <m:t>≫</m:t>
        </m:r>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of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r>
          <w:rPr>
            <w:rFonts w:ascii="Cambria Math" w:eastAsiaTheme="minorEastAsia" w:hAnsi="Cambria Math"/>
          </w:rPr>
          <m:t>≫</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 analysts seek to estimate an upper bound on the effective sample size </w:t>
      </w:r>
      <w:r w:rsidR="00BE3165">
        <w:rPr>
          <w:rFonts w:eastAsiaTheme="minorEastAsia"/>
        </w:rPr>
        <w:t>for a given year.</w:t>
      </w:r>
    </w:p>
    <w:p w14:paraId="17F37CB0" w14:textId="3A0243E0"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06DF5">
        <w:t>Dirichlet-multinomial</w:t>
      </w:r>
      <w:r w:rsidR="00C14762">
        <w:t xml:space="preserve"> distribution </w:t>
      </w:r>
      <w:r>
        <w:t>in</w:t>
      </w:r>
      <w:r w:rsidR="00C06DF5">
        <w:t xml:space="preserve"> Stock Synthesis</w:t>
      </w:r>
      <w:r w:rsidR="00C14762">
        <w:t xml:space="preserve"> (version 3.</w:t>
      </w:r>
      <w:r w:rsidR="00701CA2" w:rsidRPr="003B2E2D">
        <w:t>30</w:t>
      </w:r>
      <w:r w:rsidR="00701CA2">
        <w:t>; release date Jan, 2016</w:t>
      </w:r>
      <w:r w:rsidR="00C14762">
        <w:t xml:space="preserve">), an integrated age-structured stock assessment framework </w:t>
      </w:r>
      <w:r w:rsidR="00C14762">
        <w:t xml:space="preserve">frequently used to conduct assessments in many parts of the world </w:t>
      </w:r>
      <w:r w:rsidR="00C14762">
        <w:t xml:space="preserve">(Methot and Wetzel, 2013). </w:t>
      </w:r>
      <w:r w:rsidR="00B278B7">
        <w:t xml:space="preserve"> In the following, however, we focus exclusively on the linear </w:t>
      </w:r>
      <w:r w:rsidR="00B278B7">
        <w:lastRenderedPageBreak/>
        <w:t xml:space="preserve">parameterization (version #1), given that it more closely mimics the action of the McAllister-Ianelli iterative reweighting method.  </w:t>
      </w:r>
      <w:r w:rsidR="00FD7998">
        <w:t xml:space="preserve">We recommend </w:t>
      </w:r>
      <w:r w:rsidR="00B278B7">
        <w:t>future research</w:t>
      </w:r>
      <w:r w:rsidR="00FD7998">
        <w:t xml:space="preserve"> develop</w:t>
      </w:r>
      <w:r w:rsidR="00FD7998">
        <w:t>ing</w:t>
      </w:r>
      <w:r w:rsidR="00FD7998">
        <w:t xml:space="preserve"> and explor</w:t>
      </w:r>
      <w:r w:rsidR="00FD7998">
        <w:t>ing</w:t>
      </w:r>
      <w:r w:rsidR="00B278B7">
        <w:t xml:space="preserve"> more-complicated two-parameter forms for the Dirichlet-multinomial distribution, which could combine the characterist</w:t>
      </w:r>
      <w:r w:rsidR="00701CA2">
        <w:t>ic</w:t>
      </w:r>
      <w:r w:rsidR="00B278B7">
        <w:t xml:space="preserve">s of both versions.  </w:t>
      </w:r>
    </w:p>
    <w:p w14:paraId="73032554" w14:textId="5AACAA3D" w:rsidR="009A1BEA" w:rsidRPr="000B4A6E" w:rsidRDefault="005713EC" w:rsidP="00F92AD3">
      <w:pPr>
        <w:tabs>
          <w:tab w:val="left" w:pos="360"/>
        </w:tabs>
        <w:rPr>
          <w:i/>
        </w:rPr>
      </w:pPr>
      <w:r>
        <w:rPr>
          <w:i/>
        </w:rPr>
        <w:t xml:space="preserve">2.4  </w:t>
      </w:r>
      <w:r w:rsidR="009A1BEA" w:rsidRPr="000B4A6E">
        <w:rPr>
          <w:i/>
        </w:rPr>
        <w:t>Case study: Pacfic hake</w:t>
      </w:r>
    </w:p>
    <w:p w14:paraId="5ABC0CF6" w14:textId="1452B6E5" w:rsidR="00C616C4" w:rsidRDefault="00BE3165" w:rsidP="00F92AD3">
      <w:pPr>
        <w:tabs>
          <w:tab w:val="left" w:pos="360"/>
        </w:tabs>
      </w:pPr>
      <w:r>
        <w:t xml:space="preserve">To demonstrate this new data-weighting method, we compare its performance </w:t>
      </w:r>
      <w:r w:rsidR="00FE3034">
        <w:t xml:space="preserve">with that of </w:t>
      </w:r>
      <w:r w:rsidR="006B3F81">
        <w:t>other data-weighting methods</w:t>
      </w:r>
      <w:r w:rsidR="00FE3034">
        <w:t xml:space="preserve"> when applied to a recent stock assessment for Pacific hake, </w:t>
      </w:r>
      <w:r w:rsidR="00FE3034">
        <w:rPr>
          <w:i/>
        </w:rPr>
        <w:t>Merluccius productus</w:t>
      </w:r>
      <w:r w:rsidR="00FE3034">
        <w:t xml:space="preserve"> </w:t>
      </w:r>
      <w:r w:rsidR="00FE3034">
        <w:fldChar w:fldCharType="begin"/>
      </w:r>
      <w:r w:rsidR="00FE3034">
        <w:instrText xml:space="preserve"> ADDIN ZOTERO_ITEM CSL_CITATION {"citationID":"1nlgg3883t","properties":{"formattedCitation":"(Taylor et al., 2015)","plainCitation":"(Taylor et al., 2015)"},"citationItems":[{"id":3124,"uris":["http://zotero.org/users/251206/items/NSH55AMA"],"uri":["http://zotero.org/users/251206/items/NSH55AMA"],"itemData":{"id":3124,"type":"report","title":"Status of the Pacific Hake (whiting) stock in US and Canadian waters in 2015","publisher":"Prepared by the Joint Technical Committee of the U.S. and Canada Pacific Hake/ Whiting Agreement","page":"159","source":"Google Scholar","URL":"http://www.pcouncil.org/wp-content/uploads/2015/03/E9_Att1_Pacific_Whiting_2015_Full_E-ONLY_APR2015BB.pdf","author":[{"family":"Taylor","given":"Ian"},{"family":"Grandin","given":"Chris"},{"family":"Hicks","given":"Allan C."},{"family":"Taylor","given":"Nathan"},{"family":"Cox","given":"Sean"}],"issued":{"date-parts":[["2015"]]},"accessed":{"date-parts":[["2015",10,6]]}}}],"schema":"https://github.com/citation-style-language/schema/raw/master/csl-citation.json"} </w:instrText>
      </w:r>
      <w:r w:rsidR="00FE3034">
        <w:fldChar w:fldCharType="separate"/>
      </w:r>
      <w:r w:rsidR="00FE3034" w:rsidRPr="00FE3034">
        <w:rPr>
          <w:rFonts w:cs="Times New Roman"/>
        </w:rPr>
        <w:t>(Taylor et al., 2015)</w:t>
      </w:r>
      <w:r w:rsidR="00FE3034">
        <w:fldChar w:fldCharType="end"/>
      </w:r>
      <w:r>
        <w:t>.  Pacific hake</w:t>
      </w:r>
      <w:r w:rsidR="009A1BEA">
        <w:t xml:space="preserve"> is a semi-pelagic schooling species of commercial importance to fisheries off of the US West Coast and Western Canada. Recent management </w:t>
      </w:r>
      <w:r w:rsidR="00FE3034">
        <w:t>is conducted following procedures determined by</w:t>
      </w:r>
      <w:r w:rsidR="009A1BEA">
        <w:t xml:space="preserve"> an international treaty</w:t>
      </w:r>
      <w:r w:rsidR="00FE3034">
        <w:t>, and are</w:t>
      </w:r>
      <w:r w:rsidR="009A1BEA">
        <w:t xml:space="preserve"> informed by an</w:t>
      </w:r>
      <w:r w:rsidR="00FE3034">
        <w:t>nual stock assessments implemented using S</w:t>
      </w:r>
      <w:r w:rsidR="00FE3034">
        <w:t xml:space="preserve">tock </w:t>
      </w:r>
      <w:r w:rsidR="00FE3034">
        <w:t>S</w:t>
      </w:r>
      <w:r w:rsidR="00FE3034">
        <w:t>ynthesis</w:t>
      </w:r>
      <w:r w:rsidR="009A1BEA">
        <w:t xml:space="preserve">. </w:t>
      </w:r>
      <w:r w:rsidR="00FD7998">
        <w:t xml:space="preserve"> </w:t>
      </w:r>
      <w:r w:rsidR="00D33D4B">
        <w:t xml:space="preserve">Data used in the </w:t>
      </w:r>
      <w:r w:rsidR="00FE3034">
        <w:t xml:space="preserve">2015 stock </w:t>
      </w:r>
      <w:r w:rsidR="00D33D4B">
        <w:t xml:space="preserve">assessment includes </w:t>
      </w:r>
      <w:r w:rsidR="00FD7998">
        <w:t xml:space="preserve">(1) </w:t>
      </w:r>
      <w:r w:rsidR="00D33D4B">
        <w:t xml:space="preserve">catches from 1966 to 2014, </w:t>
      </w:r>
      <w:r w:rsidR="00FD7998">
        <w:t xml:space="preserve">(2) </w:t>
      </w:r>
      <w:r w:rsidR="00701CA2">
        <w:t>fishery age</w:t>
      </w:r>
      <w:r w:rsidR="00A90B40">
        <w:t>–</w:t>
      </w:r>
      <w:r w:rsidR="00701CA2">
        <w:t>composition</w:t>
      </w:r>
      <w:r w:rsidR="00A90B40">
        <w:t xml:space="preserve"> </w:t>
      </w:r>
      <w:r w:rsidR="00A15614">
        <w:t>samples</w:t>
      </w:r>
      <w:r w:rsidR="00701CA2">
        <w:t xml:space="preserve">, </w:t>
      </w:r>
      <w:r w:rsidR="00FD7998">
        <w:t xml:space="preserve">(3) </w:t>
      </w:r>
      <w:r w:rsidR="00490D84">
        <w:t xml:space="preserve">an index of abundance from </w:t>
      </w:r>
      <w:r w:rsidR="00701CA2">
        <w:t xml:space="preserve">ten </w:t>
      </w:r>
      <w:r w:rsidR="00D33D4B">
        <w:t>acoustic survey</w:t>
      </w:r>
      <w:r w:rsidR="00701CA2">
        <w:t>s</w:t>
      </w:r>
      <w:r w:rsidR="00D33D4B">
        <w:t xml:space="preserve"> conducted between 1995 and 2013, </w:t>
      </w:r>
      <w:r w:rsidR="00FD7998">
        <w:t xml:space="preserve">(4) </w:t>
      </w:r>
      <w:r w:rsidR="00D33D4B">
        <w:t>survey age-composition samples</w:t>
      </w:r>
      <w:r w:rsidR="00FD7998">
        <w:t xml:space="preserve"> associated with the </w:t>
      </w:r>
      <w:r w:rsidR="00DD6EE3">
        <w:t>acoustic</w:t>
      </w:r>
      <w:r w:rsidR="00FD7998">
        <w:t xml:space="preserve"> survey</w:t>
      </w:r>
      <w:r w:rsidR="00D33D4B">
        <w:t xml:space="preserve">, </w:t>
      </w:r>
      <w:r w:rsidR="00FD7998">
        <w:t xml:space="preserve">(5) </w:t>
      </w:r>
      <w:r w:rsidR="000328BC">
        <w:t xml:space="preserve">cohort-specific definitions of ageing error that specify improved ageing accuracy with larger cohorts, </w:t>
      </w:r>
      <w:r w:rsidR="00D33D4B">
        <w:t xml:space="preserve">and </w:t>
      </w:r>
      <w:r w:rsidR="00FD7998">
        <w:t xml:space="preserve">(6) </w:t>
      </w:r>
      <w:r w:rsidR="00D33D4B">
        <w:t>‘empirical’ weight-at-age data</w:t>
      </w:r>
      <w:r w:rsidR="00F319A2">
        <w:t xml:space="preserve"> calculated from all fisheries and the acoustic survey for years 1975 to 2014</w:t>
      </w:r>
      <w:r w:rsidR="00D33D4B">
        <w:t>, which are assumed to be known without error (Taylor et al., 2015).</w:t>
      </w:r>
      <w:r w:rsidR="000328BC" w:rsidRPr="000328BC">
        <w:t xml:space="preserve"> </w:t>
      </w:r>
    </w:p>
    <w:p w14:paraId="7B4A2689" w14:textId="0E4355F1"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6B3F81">
        <w:t xml:space="preserve"> age-composition data</w:t>
      </w:r>
      <w:r w:rsidR="00C14762">
        <w:t xml:space="preserve">: (i) </w:t>
      </w:r>
      <w:r w:rsidR="00DA4FCB">
        <w:t>unweighted, (</w:t>
      </w:r>
      <w:r w:rsidR="00B5376F">
        <w:t xml:space="preserve">ii) tuned using </w:t>
      </w:r>
      <w:r w:rsidR="00A52A64">
        <w:t>an iterative approach</w:t>
      </w:r>
      <w:r w:rsidR="00B5376F">
        <w:t xml:space="preserve">, </w:t>
      </w:r>
      <w:r w:rsidR="00C14762">
        <w:t>(ii</w:t>
      </w:r>
      <w:r w:rsidR="00B5376F">
        <w:t>i</w:t>
      </w:r>
      <w:r w:rsidR="00C14762">
        <w:t xml:space="preserve">) </w:t>
      </w:r>
      <w:r>
        <w:t>estimated using the Dirichlet-multinomial distribution</w:t>
      </w:r>
      <w:r w:rsidR="00B5376F">
        <w:t>, and (iv) weight of zero</w:t>
      </w:r>
      <w:r>
        <w:t xml:space="preserve">.  </w:t>
      </w:r>
      <w:r w:rsidR="00B24D1E">
        <w:t xml:space="preserve">Option (ii) involved fitting the model to simulated data, computing the ratio of </w:t>
      </w:r>
      <w:r w:rsidR="003A24CC">
        <w:t xml:space="preserve">the harmonic mean of yearly </w:t>
      </w:r>
      <w:r w:rsidR="00B24D1E">
        <w:t xml:space="preserve">effective sample size </w:t>
      </w:r>
      <w:r w:rsidR="003A24CC">
        <w:t>to the arithmetic mean of yearly input sample size</w:t>
      </w:r>
      <w:r w:rsidR="00B24D1E">
        <w:t xml:space="preserve"> </w:t>
      </w:r>
      <w:r w:rsidR="00DD6EE3">
        <w:t>for</w:t>
      </w:r>
      <w:r w:rsidR="003A24CC">
        <w:t xml:space="preserve"> fishery</w:t>
      </w:r>
      <w:r w:rsidR="00B24D1E">
        <w:t xml:space="preserve"> age-composition data, </w:t>
      </w:r>
      <w:r w:rsidR="00CA2538">
        <w:t>multiplying</w:t>
      </w:r>
      <w:r w:rsidR="00762422">
        <w:t xml:space="preserve"> this value by the “weighting factor” </w:t>
      </w:r>
      <w:r w:rsidR="00CA2538">
        <w:t xml:space="preserve">for the fishery </w:t>
      </w:r>
      <w:r w:rsidR="00CA2538">
        <w:lastRenderedPageBreak/>
        <w:t>age-composition data used during parameter estimation</w:t>
      </w:r>
      <w:r w:rsidR="00762422">
        <w:t>,</w:t>
      </w:r>
      <w:r w:rsidR="00CA2538">
        <w:t xml:space="preserve"> and then</w:t>
      </w:r>
      <w:r w:rsidR="00762422">
        <w:t xml:space="preserve"> </w:t>
      </w:r>
      <w:r w:rsidR="00B24D1E">
        <w:t>inputing this value as the</w:t>
      </w:r>
      <w:r w:rsidR="00762422">
        <w:t xml:space="preserve"> new</w:t>
      </w:r>
      <w:r w:rsidR="00B24D1E">
        <w:t xml:space="preserve"> weighting factor.  This process was repeated</w:t>
      </w:r>
      <w:r w:rsidR="00436587">
        <w:t xml:space="preserve"> t</w:t>
      </w:r>
      <w:r w:rsidR="00CA2002">
        <w:t>wo</w:t>
      </w:r>
      <w:r w:rsidR="00436587">
        <w:t xml:space="preserve"> times</w:t>
      </w:r>
      <w:r w:rsidR="00B24D1E">
        <w:t xml:space="preserve"> and the third fit to data was used as the final estimate of parameters.  </w:t>
      </w:r>
      <w:r w:rsidR="00436587">
        <w:t xml:space="preserve">The initial weighting factor was set to one and all additional weighting factors </w:t>
      </w:r>
      <w:r w:rsidR="00CA2538">
        <w:t>had an upper bound</w:t>
      </w:r>
      <w:r w:rsidR="00436587">
        <w:t xml:space="preserve"> </w:t>
      </w:r>
      <w:r w:rsidR="00CA2538">
        <w:t xml:space="preserve">of </w:t>
      </w:r>
      <w:r w:rsidR="00436587">
        <w:t>one</w:t>
      </w:r>
      <w:r w:rsidR="006B3F81">
        <w:t xml:space="preserve"> to</w:t>
      </w:r>
      <w:r w:rsidR="00436587">
        <w:t xml:space="preserve"> ensur</w:t>
      </w:r>
      <w:r w:rsidR="006B3F81">
        <w:t>e</w:t>
      </w:r>
      <w:r w:rsidR="00436587">
        <w:t xml:space="preserve"> </w:t>
      </w:r>
      <w:r w:rsidR="00CA2538">
        <w:t>that effective sample size</w:t>
      </w:r>
      <w:r w:rsidR="00436587">
        <w:t xml:space="preserve"> </w:t>
      </w:r>
      <w:r w:rsidR="00CA2538">
        <w:t xml:space="preserve">was </w:t>
      </w:r>
      <w:r w:rsidR="00436587">
        <w:t xml:space="preserve">never greater than the </w:t>
      </w:r>
      <w:r w:rsidR="00CA2538">
        <w:t>original input sample size</w:t>
      </w:r>
      <w:r w:rsidR="00436587">
        <w:t xml:space="preserve">. </w:t>
      </w:r>
      <w:r w:rsidR="00B24D1E">
        <w:t xml:space="preserve">Option (iv) </w:t>
      </w:r>
      <w:r>
        <w:t xml:space="preserve">specifies that the stock assessment </w:t>
      </w:r>
      <w:r w:rsidR="00C31932">
        <w:t>wa</w:t>
      </w:r>
      <w:r>
        <w:t>s fit</w:t>
      </w:r>
      <w:r w:rsidR="00CA2538">
        <w:t>ted</w:t>
      </w:r>
      <w:r>
        <w:t xml:space="preserve">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w:t>
      </w:r>
      <w:r w:rsidR="00A45BBB">
        <w:t>i</w:t>
      </w:r>
      <w:r w:rsidR="00A45BBB">
        <w:t xml:space="preserve">s approximately equal to effective sample size for </w:t>
      </w:r>
      <w:r w:rsidR="00B24D1E">
        <w:t xml:space="preserve">survey age-composition data </w:t>
      </w:r>
      <w:r w:rsidR="00A45BBB">
        <w:t xml:space="preserve">(i.e., the </w:t>
      </w:r>
      <w:r w:rsidR="00A52A64">
        <w:t>iterative</w:t>
      </w:r>
      <w:r w:rsidR="00A45BBB">
        <w:t xml:space="preserve"> approach results in a ratio of 0.94, and the Dirichlet-multinomial results in a ratio of 1.00</w:t>
      </w:r>
      <w:r w:rsidR="00C31932">
        <w:t>)</w:t>
      </w:r>
      <w:r w:rsidR="00A45BBB">
        <w:t xml:space="preserve">.  We therefore chose to not down-weight the survey age-composition data </w:t>
      </w:r>
      <w:r w:rsidR="00B24D1E">
        <w:t>(i.e., we did not estimate the Dirichlet-multinomial parameter for the survey</w:t>
      </w:r>
      <w:r w:rsidR="006B3F81">
        <w:t xml:space="preserve"> age-composition data</w:t>
      </w:r>
      <w:r w:rsidR="00B24D1E">
        <w:t xml:space="preserve">, nor did we tune </w:t>
      </w:r>
      <w:r w:rsidR="00C31932">
        <w:t>them</w:t>
      </w:r>
      <w:r w:rsidR="00B24D1E">
        <w:t xml:space="preserve">).  </w:t>
      </w:r>
    </w:p>
    <w:p w14:paraId="66B5488F" w14:textId="07D81B8D" w:rsidR="004456D1" w:rsidRPr="00DA4FCB" w:rsidRDefault="003F46C5" w:rsidP="00F92AD3">
      <w:pPr>
        <w:tabs>
          <w:tab w:val="left" w:pos="360"/>
        </w:tabs>
        <w:rPr>
          <w:i/>
        </w:rPr>
      </w:pPr>
      <w:r>
        <w:rPr>
          <w:i/>
        </w:rPr>
        <w:t xml:space="preserve">2.5 </w:t>
      </w:r>
      <w:r w:rsidR="004456D1" w:rsidRPr="00DA4FCB">
        <w:rPr>
          <w:i/>
        </w:rPr>
        <w:t>Simulation testing</w:t>
      </w:r>
    </w:p>
    <w:p w14:paraId="53AD7A47" w14:textId="4084B697" w:rsidR="00697CA9" w:rsidRDefault="004456D1" w:rsidP="00F92AD3">
      <w:pPr>
        <w:tabs>
          <w:tab w:val="left" w:pos="360"/>
        </w:tabs>
      </w:pPr>
      <w:r>
        <w:t xml:space="preserve">The performance of the </w:t>
      </w:r>
      <w:r w:rsidR="00B24D1E">
        <w:t xml:space="preserve">Dirichlet-multinomial </w:t>
      </w:r>
      <w:r>
        <w:t xml:space="preserve">distribution </w:t>
      </w:r>
      <w:r w:rsidR="00B24D1E">
        <w:t>implemented in S</w:t>
      </w:r>
      <w:r w:rsidR="00B24D1E">
        <w:t xml:space="preserve">tock </w:t>
      </w:r>
      <w:r w:rsidR="00B24D1E">
        <w:t>S</w:t>
      </w:r>
      <w:r w:rsidR="00B24D1E">
        <w:t>ynthesis</w:t>
      </w:r>
      <w:r w:rsidR="00B24D1E">
        <w:t xml:space="preserve"> </w:t>
      </w:r>
      <w:r>
        <w:t xml:space="preserve">was explored using simulated data. </w:t>
      </w:r>
      <w:r w:rsidR="00B24D1E">
        <w:t xml:space="preserve"> To do so, we </w:t>
      </w:r>
      <w:r w:rsidR="00701CA2">
        <w:t>simpl</w:t>
      </w:r>
      <w:r w:rsidR="00B24D1E">
        <w:t xml:space="preserve">ified the Pacific hake estimation model in </w:t>
      </w:r>
      <w:r w:rsidR="003D1BB6">
        <w:t>f</w:t>
      </w:r>
      <w:r w:rsidR="001F7856">
        <w:t>ive</w:t>
      </w:r>
      <w:r w:rsidR="00B24D1E">
        <w:t xml:space="preserve"> ways: (1) changed fishery selectivity to be stationary over time (i.e., remov</w:t>
      </w:r>
      <w:r w:rsidR="006B3F81">
        <w:t>ed</w:t>
      </w:r>
      <w:r w:rsidR="00B24D1E">
        <w:t xml:space="preserve"> time-varying selectivity parameters), (2) changed all fishery </w:t>
      </w:r>
      <w:r w:rsidR="003D1BB6">
        <w:t xml:space="preserve">age-composition </w:t>
      </w:r>
      <w:r w:rsidR="00B24D1E">
        <w:t xml:space="preserve">sample sizes to a single fixed value </w:t>
      </w:r>
      <w:r w:rsidR="00C31932">
        <w:t>per</w:t>
      </w:r>
      <w:r w:rsidR="00B24D1E">
        <w:t xml:space="preserve"> year</w:t>
      </w:r>
      <w:r w:rsidR="003D1BB6">
        <w:t xml:space="preserve">, (3) changed all survey age-composition sample sizes to 100 samples per year, </w:t>
      </w:r>
      <w:r w:rsidR="001F7856">
        <w:t>(4) changed age-specific ageing error to be stationary over time a</w:t>
      </w:r>
      <w:r w:rsidR="006B3F81">
        <w:t>nd equal to the baseline ageing-</w:t>
      </w:r>
      <w:r w:rsidR="001F7856">
        <w:t xml:space="preserve">error matrix, </w:t>
      </w:r>
      <w:r w:rsidR="003D1BB6">
        <w:t>and (</w:t>
      </w:r>
      <w:r w:rsidR="001F7856">
        <w:t>5</w:t>
      </w:r>
      <w:r w:rsidR="003D1BB6">
        <w:t>) changed to using an “explicit-F” parameterization, wherein instantaneous, fully-selected fishing mortality in each year is estimated as a fixed effect</w:t>
      </w:r>
      <w:r w:rsidR="00B24D1E">
        <w:t xml:space="preserve">.  </w:t>
      </w:r>
      <w:r w:rsidR="00DB545D">
        <w:t>We made change (</w:t>
      </w:r>
      <w:r w:rsidR="001F7856">
        <w:t>5</w:t>
      </w:r>
      <w:r w:rsidR="00DB545D">
        <w:t xml:space="preserve">) so that </w:t>
      </w:r>
      <w:r w:rsidR="00C31932">
        <w:t xml:space="preserve">the </w:t>
      </w:r>
      <w:r w:rsidR="00DB545D">
        <w:t xml:space="preserve">simulated fishing intensity is plausible given the simulated vector of recruitment deviations for each simulation replicate.  </w:t>
      </w:r>
      <w:r w:rsidR="003D1BB6">
        <w:t xml:space="preserve">We then ran the modified Pacific hake assessment </w:t>
      </w:r>
      <w:r w:rsidR="003D1BB6">
        <w:lastRenderedPageBreak/>
        <w:t>model on available data, extracted estimated parameters, and used these estimates as the “true” value</w:t>
      </w:r>
      <w:r w:rsidR="00C31932">
        <w:t>s</w:t>
      </w:r>
      <w:r w:rsidR="003D1BB6">
        <w:t xml:space="preserve"> during the simulation experiment (while confirming that estimated stock status and productivity </w:t>
      </w:r>
      <w:r w:rsidR="002C30BF">
        <w:t>wa</w:t>
      </w:r>
      <w:r w:rsidR="003D1BB6">
        <w:t xml:space="preserve">s generally similar to that in the case study).  </w:t>
      </w:r>
    </w:p>
    <w:p w14:paraId="4138D7F3" w14:textId="1FBAC4B3" w:rsidR="00B06D64" w:rsidRPr="003D1BB6" w:rsidRDefault="00697CA9" w:rsidP="00F92AD3">
      <w:pPr>
        <w:tabs>
          <w:tab w:val="left" w:pos="360"/>
        </w:tabs>
      </w:pPr>
      <w:r>
        <w:tab/>
      </w:r>
      <w:r w:rsidR="003D1BB6">
        <w:t>We then generate new, simulated data sets using the S</w:t>
      </w:r>
      <w:r w:rsidR="003D1BB6">
        <w:t>tock Sy</w:t>
      </w:r>
      <w:r w:rsidR="00701CA2">
        <w:t>n</w:t>
      </w:r>
      <w:r w:rsidR="003D1BB6">
        <w:t>thesis</w:t>
      </w:r>
      <w:r w:rsidR="003D1BB6">
        <w:t xml:space="preserve">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w:t>
      </w:r>
      <w:r w:rsidR="00175B70">
        <w:t xml:space="preserve">an </w:t>
      </w:r>
      <w:r w:rsidR="003D1BB6">
        <w:t xml:space="preserve">abundance index and age-composition samples from their specified distributions (i.e., using a lognormal distribution with the input log-standard deviation for the abundance index and a multinomial distribution with the input sample size for the age-composition samples).  </w:t>
      </w:r>
    </w:p>
    <w:p w14:paraId="3CC15D2B" w14:textId="008919F4"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w:t>
      </w:r>
      <w:r w:rsidR="00175B70">
        <w:t>a</w:t>
      </w:r>
      <w:r>
        <w:t xml:space="preserve">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r w:rsidR="00701CA2">
        <w:t>p</w:t>
      </w:r>
      <w:r>
        <w:t xml:space="preserve">osition data for the fishery is either 25, 100, or 400 per year.  Given this “true” age-composition sample, the “observed” age-composition sample is then inflated by inflation factor </w:t>
      </w:r>
      <w:r w:rsidRPr="00B06D64">
        <w:rPr>
          <w:rFonts w:cs="Times New Roman"/>
          <w:i/>
        </w:rPr>
        <w:t>θ</w:t>
      </w:r>
      <w:r>
        <w:rPr>
          <w:rFonts w:cs="Times New Roman"/>
          <w:i/>
          <w:vertAlign w:val="subscript"/>
        </w:rPr>
        <w:t>sim</w:t>
      </w:r>
      <w:r>
        <w:t xml:space="preserve">, with value </w:t>
      </w:r>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We then use estimation m</w:t>
      </w:r>
      <w:r w:rsidR="00C31932">
        <w:rPr>
          <w:rFonts w:eastAsiaTheme="minorEastAsia"/>
        </w:rPr>
        <w:t>ethods</w:t>
      </w:r>
      <w:r w:rsidR="008E0B57">
        <w:rPr>
          <w:rFonts w:eastAsiaTheme="minorEastAsia"/>
        </w:rPr>
        <w:t xml:space="preserve"> (i), (ii), and (iii) defined in the section titled </w:t>
      </w:r>
      <w:r w:rsidR="008E0B57" w:rsidRPr="000B4A6E">
        <w:rPr>
          <w:i/>
        </w:rPr>
        <w:t>Case study: Pacfic hake</w:t>
      </w:r>
      <w:r w:rsidR="008E0B57">
        <w:t xml:space="preserve"> (see above).</w:t>
      </w:r>
    </w:p>
    <w:p w14:paraId="612016EE" w14:textId="0D1B1D5A" w:rsidR="00E93B67" w:rsidRDefault="0044485A" w:rsidP="00F92AD3">
      <w:pPr>
        <w:tabs>
          <w:tab w:val="left" w:pos="360"/>
        </w:tabs>
        <w:rPr>
          <w:i/>
        </w:rPr>
      </w:pPr>
      <w:r>
        <w:rPr>
          <w:i/>
        </w:rPr>
        <w:t xml:space="preserve">2.6 </w:t>
      </w:r>
      <w:r w:rsidR="009F4430">
        <w:rPr>
          <w:i/>
        </w:rPr>
        <w:t>Simulation m</w:t>
      </w:r>
      <w:r w:rsidR="00E93B67">
        <w:rPr>
          <w:i/>
        </w:rPr>
        <w:t>odel evaluation</w:t>
      </w:r>
    </w:p>
    <w:p w14:paraId="22A4A499" w14:textId="77777777" w:rsidR="00CA2538" w:rsidRDefault="00E93B67" w:rsidP="00F92AD3">
      <w:pPr>
        <w:tabs>
          <w:tab w:val="left" w:pos="360"/>
        </w:tabs>
      </w:pPr>
      <w:r>
        <w:t>Estimation procedures were evaluated by comparing estimated parameters and derived quantities of interest to management to their</w:t>
      </w:r>
      <w:r w:rsidR="007D46AD">
        <w:t xml:space="preserve"> true values as defined in the operating model. Estimation error </w:t>
      </w:r>
      <w:r w:rsidR="007D46AD">
        <w:lastRenderedPageBreak/>
        <w:t>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r w:rsidR="00CA2538">
        <w:t xml:space="preserve"> Results</w:t>
      </w:r>
      <w:r w:rsidR="0000492D">
        <w:t xml:space="preserve"> </w:t>
      </w:r>
      <w:r w:rsidR="00CA2538">
        <w:t xml:space="preserve">were recorded </w:t>
      </w:r>
      <w:r w:rsidR="0000492D">
        <w:t>for converged models, where convergence was defined as obtaining a gradient less than 0.1.</w:t>
      </w:r>
    </w:p>
    <w:p w14:paraId="1DE22899" w14:textId="7A40E586" w:rsidR="003A63B5" w:rsidRPr="003A63B5" w:rsidRDefault="00981777" w:rsidP="00F92AD3">
      <w:pPr>
        <w:tabs>
          <w:tab w:val="left" w:pos="360"/>
        </w:tabs>
        <w:rPr>
          <w:b/>
        </w:rPr>
      </w:pPr>
      <w:r>
        <w:rPr>
          <w:b/>
        </w:rPr>
        <w:t xml:space="preserve">3. </w:t>
      </w:r>
      <w:r w:rsidR="003A63B5" w:rsidRPr="003A63B5">
        <w:rPr>
          <w:b/>
        </w:rPr>
        <w:t>Results</w:t>
      </w:r>
    </w:p>
    <w:p w14:paraId="083C4037" w14:textId="66642496" w:rsidR="004926EE" w:rsidRPr="003E62F3" w:rsidRDefault="00981777" w:rsidP="00F92AD3">
      <w:pPr>
        <w:tabs>
          <w:tab w:val="left" w:pos="360"/>
        </w:tabs>
        <w:rPr>
          <w:i/>
        </w:rPr>
      </w:pPr>
      <w:r>
        <w:rPr>
          <w:i/>
        </w:rPr>
        <w:t xml:space="preserve">3.1 </w:t>
      </w:r>
      <w:r w:rsidR="00F70768" w:rsidRPr="003E62F3">
        <w:rPr>
          <w:i/>
        </w:rPr>
        <w:t>Case study application: Pacific hake</w:t>
      </w:r>
    </w:p>
    <w:p w14:paraId="0A782E2A" w14:textId="6AA1A69D" w:rsidR="004926EE" w:rsidRDefault="003E62F3" w:rsidP="00F92AD3">
      <w:pPr>
        <w:tabs>
          <w:tab w:val="left" w:pos="360"/>
        </w:tabs>
      </w:pPr>
      <w:r>
        <w:t>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w:t>
      </w:r>
      <w:r w:rsidR="0000492D">
        <w:t>un</w:t>
      </w:r>
      <w:r>
        <w:t>weight</w:t>
      </w:r>
      <w:r w:rsidR="0000492D">
        <w:t>ed</w:t>
      </w:r>
      <w:r>
        <w:t xml:space="preserve">”) or removing fishery age-composition data entirely (“no fishery ages”).  In particular, removing fishery age data results in a higher estimate of average unfished spawning output and lower spawning output estimates from the mid-1980s onward, while treating input </w:t>
      </w:r>
      <w:r w:rsidR="00C31932">
        <w:t xml:space="preserve">sample size </w:t>
      </w:r>
      <w:r>
        <w:t xml:space="preserve">as </w:t>
      </w:r>
      <w:r w:rsidR="008533BC">
        <w:t xml:space="preserve">the </w:t>
      </w:r>
      <w:r>
        <w:t xml:space="preserve">effective sample size results in </w:t>
      </w:r>
      <w:r w:rsidR="008533BC">
        <w:t xml:space="preserve">estimates of </w:t>
      </w:r>
      <w:r>
        <w:t xml:space="preserve">strong year-class strength in the early 1980s and early 2000s.  By contrast, the default </w:t>
      </w:r>
      <w:r w:rsidR="00A52A64">
        <w:t>iterative</w:t>
      </w:r>
      <w:r>
        <w:t xml:space="preserve"> and new Dirichlet-multinomial weighting methods result in similar estim</w:t>
      </w:r>
      <w:r w:rsidR="00701CA2">
        <w:t>a</w:t>
      </w:r>
      <w:r>
        <w:t xml:space="preserve">tes of spawning output, with the exception of recent years (2010 onwards) when the Dirichlet-multinomial estimator results in somewhat elevated estimates of spawning output relative to the </w:t>
      </w:r>
      <w:r w:rsidR="00A52A64">
        <w:t>iterative</w:t>
      </w:r>
      <w:r>
        <w:t xml:space="preserve"> method.  Similarly, the </w:t>
      </w:r>
      <w:r w:rsidR="00A52A64">
        <w:t>iterative</w:t>
      </w:r>
      <w:r>
        <w:t xml:space="preserve"> and Dirichlet-multinomial estimates of fishing intensity are more similar than the other weighting methods, particularly for early years (prior to 1970).   </w:t>
      </w:r>
    </w:p>
    <w:p w14:paraId="3F8FACDE" w14:textId="0C4C6046" w:rsidR="003A63B5" w:rsidRPr="003E62F3" w:rsidRDefault="001B1723" w:rsidP="00F92AD3">
      <w:pPr>
        <w:tabs>
          <w:tab w:val="left" w:pos="360"/>
        </w:tabs>
        <w:rPr>
          <w:i/>
        </w:rPr>
      </w:pPr>
      <w:r>
        <w:rPr>
          <w:i/>
        </w:rPr>
        <w:t xml:space="preserve">3.2 </w:t>
      </w:r>
      <w:r w:rsidR="00E93B67" w:rsidRPr="003E62F3">
        <w:rPr>
          <w:i/>
        </w:rPr>
        <w:t>Simulation</w:t>
      </w:r>
      <w:r w:rsidR="003E62F3">
        <w:rPr>
          <w:i/>
        </w:rPr>
        <w:t xml:space="preserve"> experiment</w:t>
      </w:r>
    </w:p>
    <w:p w14:paraId="05E78F8D" w14:textId="776063E4" w:rsidR="007D46AD" w:rsidRDefault="00CD4AA7" w:rsidP="00F92AD3">
      <w:pPr>
        <w:tabs>
          <w:tab w:val="left" w:pos="360"/>
        </w:tabs>
      </w:pPr>
      <w:r>
        <w:t xml:space="preserve">Estimates of the Dirichlet-multinomial parameter are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w:t>
      </w:r>
      <w:r>
        <w:lastRenderedPageBreak/>
        <w:t>and levels of the inflation factor.  However, we detect a small positive bias in the estimates of effective sample size when the true sample size is 400 (i.e., median effective sample size estimate is close to 450</w:t>
      </w:r>
      <w:r>
        <w:t xml:space="preserve">).  This bias is not detected in the other scenarios (true sample size of 25 or 100).  </w:t>
      </w:r>
      <w:r>
        <w:t xml:space="preserve"> </w:t>
      </w:r>
    </w:p>
    <w:p w14:paraId="1F7AD1F7" w14:textId="49806A7A" w:rsidR="00E93B67" w:rsidRDefault="00DA18D8" w:rsidP="00F92AD3">
      <w:pPr>
        <w:tabs>
          <w:tab w:val="left" w:pos="360"/>
        </w:tabs>
      </w:pPr>
      <w:r>
        <w:tab/>
        <w:t xml:space="preserve">Comparison of parameter estimates from the unweighted multinomial, </w:t>
      </w:r>
      <w:r w:rsidR="00A52A64">
        <w:t>iterative</w:t>
      </w:r>
      <w:r w:rsidR="003B1A85">
        <w:t xml:space="preserve"> reweighting algorithm, and the linear parameterization of the Dirichlet-multinomial distribution shows that the </w:t>
      </w:r>
      <w:r w:rsidR="00A52A64">
        <w:t>iterative reweighting</w:t>
      </w:r>
      <w:r w:rsidR="00622E11">
        <w:t xml:space="preserve"> </w:t>
      </w:r>
      <w:r w:rsidR="003B1A85">
        <w:t xml:space="preserve">and Dirichlet-multinomial </w:t>
      </w:r>
      <w:r w:rsidR="00A52A64">
        <w:t xml:space="preserve">approaches </w:t>
      </w:r>
      <w:r w:rsidR="003B1A85">
        <w:t xml:space="preserve">have </w:t>
      </w:r>
      <w:r w:rsidR="001006A9">
        <w:t>similar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substantially degraded estimates of natural mortality and unfished recruitment for any inflation factor other than 1.  We note that the Dirichlet-multinomial algorithm has a notable fraction (2</w:t>
      </w:r>
      <w:r w:rsidR="008533BC">
        <w:t>2</w:t>
      </w:r>
      <w:r w:rsidR="003B1A85">
        <w:t xml:space="preserve"> of 100) of replicates that do not converge for the highest level of the variance inflation (</w:t>
      </w:r>
      <w:r w:rsidR="003B1A85" w:rsidRPr="003B1A85">
        <w:rPr>
          <w:rFonts w:cs="Times New Roman"/>
          <w:i/>
        </w:rPr>
        <w:t>θ</w:t>
      </w:r>
      <w:r w:rsidR="003B1A85">
        <w:rPr>
          <w:rFonts w:cs="Times New Roman"/>
          <w:i/>
          <w:vertAlign w:val="subscript"/>
        </w:rPr>
        <w:t>sim</w:t>
      </w:r>
      <w:r w:rsidR="003B1A85">
        <w:rPr>
          <w:rFonts w:cs="Times New Roman"/>
        </w:rPr>
        <w:t xml:space="preserve">=1000), but convergence is otherwise comparable between methods.  </w:t>
      </w:r>
      <w:r w:rsidR="00B55C57">
        <w:rPr>
          <w:rFonts w:cs="Times New Roman"/>
        </w:rPr>
        <w:t>We therefore conclude that the Dirichlet-mul</w:t>
      </w:r>
      <w:r w:rsidR="00CC47C9">
        <w:rPr>
          <w:rFonts w:cs="Times New Roman"/>
        </w:rPr>
        <w:t>t</w:t>
      </w:r>
      <w:r w:rsidR="00B55C57">
        <w:rPr>
          <w:rFonts w:cs="Times New Roman"/>
        </w:rPr>
        <w:t xml:space="preserve">inomial method has similar estimation performance to the previous </w:t>
      </w:r>
      <w:r w:rsidR="00A52A64">
        <w:rPr>
          <w:rFonts w:cs="Times New Roman"/>
        </w:rPr>
        <w:t>iterative</w:t>
      </w:r>
      <w:r w:rsidR="00B55C57">
        <w:rPr>
          <w:rFonts w:cs="Times New Roman"/>
        </w:rPr>
        <w:t xml:space="preserve"> reweighting approach.</w:t>
      </w:r>
      <w:r w:rsidR="003B1A85">
        <w:t xml:space="preserve">  </w:t>
      </w:r>
    </w:p>
    <w:p w14:paraId="45D5BDFB" w14:textId="0199C413" w:rsidR="003A63B5" w:rsidRPr="003A63B5" w:rsidRDefault="00BC23F1" w:rsidP="00F92AD3">
      <w:pPr>
        <w:tabs>
          <w:tab w:val="left" w:pos="360"/>
        </w:tabs>
        <w:rPr>
          <w:b/>
        </w:rPr>
      </w:pPr>
      <w:r>
        <w:rPr>
          <w:b/>
        </w:rPr>
        <w:t xml:space="preserve">4. </w:t>
      </w:r>
      <w:r w:rsidR="003A63B5" w:rsidRPr="003A63B5">
        <w:rPr>
          <w:b/>
        </w:rPr>
        <w:t>Discussion</w:t>
      </w:r>
    </w:p>
    <w:p w14:paraId="1FF6E5E1" w14:textId="4491D7CE" w:rsidR="0046263D" w:rsidRDefault="00A6187C" w:rsidP="00F92AD3">
      <w:pPr>
        <w:tabs>
          <w:tab w:val="left" w:pos="360"/>
        </w:tabs>
      </w:pPr>
      <w:r>
        <w:t>In this study</w:t>
      </w:r>
      <w:r w:rsidR="00491F03">
        <w:t xml:space="preserve">, we implemented two parameterizations of the Dirichlet-multinomial distribution in </w:t>
      </w:r>
      <w:r w:rsidR="00491F03">
        <w:t xml:space="preserve">the </w:t>
      </w:r>
      <w:r w:rsidR="00491F03">
        <w:t>S</w:t>
      </w:r>
      <w:r w:rsidR="00491F03">
        <w:t xml:space="preserve">tock </w:t>
      </w:r>
      <w:r w:rsidR="00491F03">
        <w:t>S</w:t>
      </w:r>
      <w:r w:rsidR="00491F03">
        <w:t>ynthesis</w:t>
      </w:r>
      <w:r w:rsidR="00491F03">
        <w:t xml:space="preserve"> software</w:t>
      </w:r>
      <w:r w:rsidR="00974727">
        <w:t xml:space="preserve"> that is widely used to conduct stock assessments in the U</w:t>
      </w:r>
      <w:r w:rsidR="00974727">
        <w:t>.</w:t>
      </w:r>
      <w:r w:rsidR="00974727">
        <w:t>S</w:t>
      </w:r>
      <w:r w:rsidR="00974727">
        <w:t>.</w:t>
      </w:r>
      <w:r w:rsidR="00974727">
        <w:t xml:space="preserve"> and internationally</w:t>
      </w:r>
      <w:r w:rsidR="00491F03">
        <w:t xml:space="preserve">.  </w:t>
      </w:r>
      <w:r w:rsidR="001B5D85">
        <w:t xml:space="preserve">We </w:t>
      </w:r>
      <w:r w:rsidR="006C2251">
        <w:t xml:space="preserve">then </w:t>
      </w:r>
      <w:r w:rsidR="001B5D85">
        <w:t>compare</w:t>
      </w:r>
      <w:r w:rsidR="006C2251">
        <w:t>d</w:t>
      </w:r>
      <w:r w:rsidR="001B5D85">
        <w:t xml:space="preserve"> the Dirichlet-multinomial distribution with an iterative-reweighting a</w:t>
      </w:r>
      <w:r w:rsidR="00231530">
        <w:t>p</w:t>
      </w:r>
      <w:r w:rsidR="001B5D85">
        <w:t xml:space="preserve">proach that </w:t>
      </w:r>
      <w:r w:rsidR="00DA494A">
        <w:t xml:space="preserve">is </w:t>
      </w:r>
      <w:r w:rsidR="001B5D85">
        <w:t xml:space="preserve">commonly used for US West Coast groundfish stock assessments (e.g., Thorson and Wetzel (2015)) and </w:t>
      </w:r>
      <w:r w:rsidR="00AD1BEC">
        <w:t xml:space="preserve">which has previously been </w:t>
      </w:r>
      <w:r w:rsidR="001B5D85">
        <w:t xml:space="preserve">supported by simulation (Stewart and Hamel, 2014).  </w:t>
      </w:r>
      <w:r w:rsidR="00491F03">
        <w:t xml:space="preserve">We believe that the Dirichlet-multinomial approach is superior to </w:t>
      </w:r>
      <w:r w:rsidR="00CA6A10">
        <w:t xml:space="preserve">this iterative-reweighting approach </w:t>
      </w:r>
      <w:r w:rsidR="0046263D">
        <w:t>for several reasons.</w:t>
      </w:r>
    </w:p>
    <w:p w14:paraId="5DDD9E63" w14:textId="3C6366EA" w:rsidR="00491F03" w:rsidRDefault="0046263D" w:rsidP="0046263D">
      <w:pPr>
        <w:pStyle w:val="ListParagraph"/>
        <w:numPr>
          <w:ilvl w:val="0"/>
          <w:numId w:val="3"/>
        </w:numPr>
        <w:tabs>
          <w:tab w:val="left" w:pos="360"/>
        </w:tabs>
      </w:pPr>
      <w:r w:rsidRPr="0046263D">
        <w:rPr>
          <w:i/>
        </w:rPr>
        <w:lastRenderedPageBreak/>
        <w:t>Slow or inconsistent exploration of alternative models</w:t>
      </w:r>
      <w:r>
        <w:t xml:space="preserve">: </w:t>
      </w:r>
      <w:r w:rsidR="00170B6B">
        <w:t xml:space="preserve">Iterative reweighting </w:t>
      </w:r>
      <w:r w:rsidR="00491F03">
        <w:t>methods (e.g., the McAllister-Ianelli method) require fitting a stock assessment model to data</w:t>
      </w:r>
      <w:r w:rsidR="00231530">
        <w:t xml:space="preserve"> to calculate effective sample sizes</w:t>
      </w:r>
      <w:r w:rsidR="00491F03">
        <w:t>, and then re-estimating the model</w:t>
      </w:r>
      <w:r w:rsidR="00231530">
        <w:t xml:space="preserve"> with revised input sample sizes</w:t>
      </w:r>
      <w:r w:rsidR="00491F03">
        <w:t>.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14:paraId="1A1217E8" w14:textId="58627F5B" w:rsidR="0046263D" w:rsidRDefault="0046263D" w:rsidP="0046263D">
      <w:pPr>
        <w:pStyle w:val="ListParagraph"/>
        <w:numPr>
          <w:ilvl w:val="0"/>
          <w:numId w:val="3"/>
        </w:numPr>
        <w:tabs>
          <w:tab w:val="left" w:pos="360"/>
        </w:tabs>
      </w:pPr>
      <w:r>
        <w:rPr>
          <w:i/>
        </w:rPr>
        <w:t>Failure to account for uncertainty in data weighting</w:t>
      </w:r>
      <w:r>
        <w:t xml:space="preserve">:  </w:t>
      </w:r>
      <w:r w:rsidR="00170B6B">
        <w:t>Iterative reweighting</w:t>
      </w:r>
      <w:r>
        <w:t xml:space="preserve"> methods provide no obvious method for prop</w:t>
      </w:r>
      <w:r w:rsidR="00F20BF8">
        <w:t>a</w:t>
      </w:r>
      <w:r>
        <w:t xml:space="preserve">gating uncertainty about data-weighting.  By contrast, the Dirichlet-multinomial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14:paraId="432BCDE3" w14:textId="01A8FEC0" w:rsidR="0046263D" w:rsidRDefault="0046263D" w:rsidP="0046263D">
      <w:pPr>
        <w:pStyle w:val="ListParagraph"/>
        <w:numPr>
          <w:ilvl w:val="0"/>
          <w:numId w:val="3"/>
        </w:numPr>
        <w:tabs>
          <w:tab w:val="left" w:pos="360"/>
        </w:tabs>
      </w:pPr>
      <w:r>
        <w:rPr>
          <w:i/>
        </w:rPr>
        <w:t>Clear standards for convergence</w:t>
      </w:r>
      <w:r>
        <w:t xml:space="preserve">:  </w:t>
      </w:r>
      <w:r w:rsidR="00170B6B">
        <w:t>Iterative reweighting</w:t>
      </w:r>
      <w:r>
        <w:t xml:space="preserve"> methods require subjective decision</w:t>
      </w:r>
      <w:r w:rsidR="00003FEE">
        <w:t>s</w:t>
      </w:r>
      <w:r>
        <w:t xml:space="preserve"> regarding when to stop tuning the sample size, what order to tune multiple fleets, and how to combine data-weighting information from multiple fleets.  Th</w:t>
      </w:r>
      <w:r w:rsidR="00003FEE">
        <w:t>ese</w:t>
      </w:r>
      <w:r>
        <w:t xml:space="preserve"> subjective decision</w:t>
      </w:r>
      <w:r w:rsidR="00003FEE">
        <w:t>s are</w:t>
      </w:r>
      <w:r>
        <w:t xml:space="preserve"> rarely documented and different decisions by different analysts may cause substantial differences in ultimate estimates of stock status and productivity in assessments where data weighting is an important axis of uncertainty (e.g., </w:t>
      </w:r>
      <w:r w:rsidR="00433706">
        <w:t xml:space="preserve">US West Coast </w:t>
      </w:r>
      <w:r>
        <w:t>sablefish).  By contrast, the Dirichlet-multinomial method allows for a single, unambiguous definition of convergence (i.e., via maximizing the model likelihood</w:t>
      </w:r>
      <w:r w:rsidR="00775103">
        <w:t xml:space="preserve"> function</w:t>
      </w:r>
      <w:r>
        <w:t xml:space="preserve">), which can be independently replicated by different authors and does not require further documentation.  </w:t>
      </w:r>
      <w:r w:rsidR="00F20BF8">
        <w:t xml:space="preserve">Given our observation of a </w:t>
      </w:r>
      <w:r w:rsidR="005C0D3A">
        <w:t>7</w:t>
      </w:r>
      <w:r w:rsidR="00F20BF8">
        <w:t>% non-convergence of the D</w:t>
      </w:r>
      <w:r w:rsidR="004531C2">
        <w:t>irichlet-multinomial</w:t>
      </w:r>
      <w:r w:rsidR="00F20BF8">
        <w:t xml:space="preserve"> method when </w:t>
      </w:r>
      <w:r w:rsidR="00F20BF8">
        <w:lastRenderedPageBreak/>
        <w:t>the sample size adjustment ratio needed to be extreme (</w:t>
      </w:r>
      <w:r w:rsidR="00003FEE">
        <w:t xml:space="preserve">i.e., </w:t>
      </w:r>
      <w:r w:rsidR="00F20BF8">
        <w:t xml:space="preserve">1000), a possible approach </w:t>
      </w:r>
      <w:r w:rsidR="00003FEE">
        <w:t xml:space="preserve">in the event of non-convergence </w:t>
      </w:r>
      <w:r w:rsidR="00433706">
        <w:t>c</w:t>
      </w:r>
      <w:r w:rsidR="00F20BF8">
        <w:t xml:space="preserve">ould be to do one model run using the </w:t>
      </w:r>
      <w:r w:rsidR="00A52A64">
        <w:t>iterative reweighting</w:t>
      </w:r>
      <w:r w:rsidR="00F20BF8">
        <w:t xml:space="preserve"> approach to get a</w:t>
      </w:r>
      <w:r w:rsidR="00003FEE">
        <w:t>n</w:t>
      </w:r>
      <w:r w:rsidR="00F20BF8">
        <w:t xml:space="preserve"> initial value for the D</w:t>
      </w:r>
      <w:r w:rsidR="00775103">
        <w:t>irichlet-multinomial</w:t>
      </w:r>
      <w:r w:rsidR="00F20BF8">
        <w:t xml:space="preserve"> adjustment parameter, then proceeding to fully estimate that parameter in a final model run.</w:t>
      </w:r>
    </w:p>
    <w:p w14:paraId="0286568F" w14:textId="764EC578"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r w:rsidR="00033164">
        <w:t>alternative</w:t>
      </w:r>
      <w:r>
        <w:t xml:space="preserve"> model-based methods for estimating effective sample size.  For example, an analyst might use a simple Dirichlet distribution, rather than the Dirichlet-multinomial distribution used here.  However, the Dirichlet distribution can have effective sample size that ranges from 0 to infinity, i.e., it can exceed the input sample size.  By contrast, the Dirichlet-multinomial distribution ensures that the effective sample size can never be greater than the input sample size.  </w:t>
      </w:r>
    </w:p>
    <w:p w14:paraId="22F72133" w14:textId="2F51F8F4" w:rsidR="001219CC" w:rsidRDefault="001219CC" w:rsidP="001219CC">
      <w:pPr>
        <w:tabs>
          <w:tab w:val="left" w:pos="360"/>
        </w:tabs>
      </w:pPr>
      <w:r>
        <w:t>These benefits should all facilitate the development, exploring, testing, and review of stock assessment models in real-world applications.</w:t>
      </w:r>
    </w:p>
    <w:p w14:paraId="76B35E4C" w14:textId="4B529FA3" w:rsidR="00C5474F" w:rsidRDefault="001219CC" w:rsidP="00C5474F">
      <w:pPr>
        <w:tabs>
          <w:tab w:val="left" w:pos="360"/>
        </w:tabs>
      </w:pPr>
      <w:r>
        <w:tab/>
      </w:r>
      <w:r w:rsidR="00003FEE">
        <w:t>W</w:t>
      </w:r>
      <w:r w:rsidR="00C5474F">
        <w:t xml:space="preserve">e </w:t>
      </w:r>
      <w:r>
        <w:t>propose</w:t>
      </w:r>
      <w:r w:rsidR="00C5474F">
        <w:t xml:space="preserve"> that benefit #4 (“interpretable estimates of effective sample size”) </w:t>
      </w:r>
      <w:r w:rsidR="00A04D40">
        <w:t xml:space="preserve">could </w:t>
      </w:r>
      <w:r w:rsidR="00C5474F">
        <w:t xml:space="preserve">be used as a diagnostic for model goodness-of-fit.  Specifically, </w:t>
      </w:r>
      <w:r w:rsidR="000E4E1F">
        <w:t xml:space="preserve">if the estimate of effective sample size is substantially lower than the input sample size, </w:t>
      </w:r>
      <w:r w:rsidR="00C5474F">
        <w:t xml:space="preserve">we envision that the analyst </w:t>
      </w:r>
      <w:r w:rsidR="000E4E1F">
        <w:t xml:space="preserve">could </w:t>
      </w:r>
      <w:r w:rsidR="00C5474F">
        <w:t xml:space="preserve">subsequently explore potential hypotheses for overdispersed compositional data.  Potential causes </w:t>
      </w:r>
      <w:r w:rsidR="000E4E1F">
        <w:t xml:space="preserve">for overdispersed compositional data </w:t>
      </w:r>
      <w:r w:rsidR="00C5474F">
        <w:t xml:space="preserve">include time-varying or non-parametric fishery selectivity, time-varying growth, and other common types of model misspecification.  </w:t>
      </w:r>
      <w:r w:rsidR="0011557C">
        <w:t xml:space="preserve">When compositional data are overdispersed, an </w:t>
      </w:r>
      <w:r w:rsidR="00C5474F">
        <w:t>analyst could then sequentially</w:t>
      </w:r>
      <w:r w:rsidR="00433706">
        <w:t xml:space="preserve"> add</w:t>
      </w:r>
      <w:r w:rsidR="00C5474F">
        <w:t xml:space="preserve"> flexibility in these processes by treating them as random effects </w:t>
      </w:r>
      <w:r w:rsidR="00C5474F">
        <w:fldChar w:fldCharType="begin"/>
      </w:r>
      <w:r w:rsidR="00C5474F">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C5474F">
        <w:fldChar w:fldCharType="separate"/>
      </w:r>
      <w:r w:rsidR="00C5474F" w:rsidRPr="00C5474F">
        <w:rPr>
          <w:rFonts w:cs="Times New Roman"/>
        </w:rPr>
        <w:t>(Thorson et al., 2015)</w:t>
      </w:r>
      <w:r w:rsidR="00C5474F">
        <w:fldChar w:fldCharType="end"/>
      </w:r>
      <w:r w:rsidR="00C5474F">
        <w:t xml:space="preserve">, and could determine which change causes the magnitude of overdispersion to decrease.  </w:t>
      </w:r>
    </w:p>
    <w:p w14:paraId="5350D519" w14:textId="177241EE" w:rsidR="004926EE" w:rsidRDefault="00A71194" w:rsidP="00495A80">
      <w:pPr>
        <w:tabs>
          <w:tab w:val="left" w:pos="360"/>
        </w:tabs>
      </w:pPr>
      <w:r>
        <w:lastRenderedPageBreak/>
        <w:tab/>
      </w:r>
      <w:r w:rsidR="000408CE">
        <w:t>U</w:t>
      </w:r>
      <w:r w:rsidR="000408CE">
        <w:t xml:space="preserve">nmodeled processes </w:t>
      </w:r>
      <w:r w:rsidR="0042256D">
        <w:t xml:space="preserve">(e.g., spatial variation in fishing intensity) </w:t>
      </w:r>
      <w:r w:rsidR="000408CE">
        <w:t xml:space="preserve">will </w:t>
      </w:r>
      <w:r w:rsidR="00186B08">
        <w:t xml:space="preserve">also </w:t>
      </w:r>
      <w:r w:rsidR="000408CE">
        <w:t xml:space="preserve">generally result in residuals for compositional data that are correlated among </w:t>
      </w:r>
      <w:r w:rsidR="00E42681">
        <w:t>categories</w:t>
      </w:r>
      <w:r w:rsidR="000408CE">
        <w:t xml:space="preserve"> (e.g., </w:t>
      </w:r>
      <w:r w:rsidR="00DF5DD8">
        <w:t xml:space="preserve">between </w:t>
      </w:r>
      <w:r w:rsidR="000408CE">
        <w:t>age-1 and age-2 samples in a given year)</w:t>
      </w:r>
      <w:r w:rsidR="00AD7A64">
        <w:t>,</w:t>
      </w:r>
      <w:r w:rsidR="000408CE">
        <w:t xml:space="preserve"> years (e.g., </w:t>
      </w:r>
      <w:r w:rsidR="00B0230E">
        <w:t>between adjacent years for age-2 individuals</w:t>
      </w:r>
      <w:r w:rsidR="000408CE">
        <w:t>)</w:t>
      </w:r>
      <w:r w:rsidR="00AD7A64">
        <w:t xml:space="preserve">, </w:t>
      </w:r>
      <w:r w:rsidR="00DF5DD8">
        <w:t>sexes (</w:t>
      </w:r>
      <w:r w:rsidR="00B0230E">
        <w:t xml:space="preserve">between males, females, and unsexed individuals for a given age and year), </w:t>
      </w:r>
      <w:r w:rsidR="00AD7A64">
        <w:t>and fleets (</w:t>
      </w:r>
      <w:r w:rsidR="00B0230E">
        <w:t xml:space="preserve">between </w:t>
      </w:r>
      <w:r w:rsidR="00AD7A64">
        <w:t>survey and fishery</w:t>
      </w:r>
      <w:r w:rsidR="00B0230E">
        <w:t xml:space="preserve"> compositional data for a given age and year</w:t>
      </w:r>
      <w:r w:rsidR="00AD7A64">
        <w:t>)</w:t>
      </w:r>
      <w:r w:rsidR="000408CE">
        <w:t xml:space="preserve">.  </w:t>
      </w:r>
      <w:r w:rsidR="00502EDF">
        <w:t xml:space="preserve">For example, positive correlations between ages are likely to arise whenever unmodeled processes </w:t>
      </w:r>
      <w:r w:rsidR="005616BD">
        <w:t>have a similar affect on juvenile individuals</w:t>
      </w:r>
      <w:r w:rsidR="00502EDF">
        <w:t xml:space="preserve">.  </w:t>
      </w:r>
      <w:r w:rsidR="00A46F2B">
        <w:t>However</w:t>
      </w:r>
      <w:r w:rsidR="00C22DFC">
        <w:t>, t</w:t>
      </w:r>
      <w:r w:rsidR="00495A80">
        <w:t>he Dirichlet-mul</w:t>
      </w:r>
      <w:r w:rsidR="007979C4">
        <w:t>t</w:t>
      </w:r>
      <w:r w:rsidR="00495A80">
        <w:t>inomial</w:t>
      </w:r>
      <w:r w:rsidR="0042256D">
        <w:t xml:space="preserve"> distribution</w:t>
      </w:r>
      <w:r w:rsidR="00495A80">
        <w:t xml:space="preserve"> assumes a fixed, negative correlation between residuals, and hence is unable to generically account for these correlations </w:t>
      </w:r>
      <w:r w:rsidR="001C14B8">
        <w:fldChar w:fldCharType="begin"/>
      </w:r>
      <w:r w:rsidR="003B2E2D">
        <w:instrText xml:space="preserve"> ADDIN ZOTERO_ITEM CSL_CITATION {"citationID":"mjo1oDVq","properties":{"formattedCitation":"{\\rtf (Francis, 2014; Hrafnkelsson and Stef\\uc0\\u225{}nsson, 2004)}","plainCitation":"(Francis, 2014; Hrafnkelsson and Stefánsson, 2004)"},"citationItems":[{"id":3347,"uris":["http://zotero.org/users/251206/items/49MNM74C"],"uri":["http://zotero.org/users/251206/items/49MNM74C"],"itemData":{"id":3347,"type":"article-journal","title":"Replacing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Chris"}],"issued":{"date-parts":[["2014"]]}}},{"id":1564,"uris":["http://zotero.org/users/251206/items/MM9PNK7N"],"uri":["http://zotero.org/users/251206/items/MM9PNK7N"],"itemData":{"id":1564,"type":"article-journal","title":"A model for categorical length data from groundfish surveys","container-title":"Canadian Journal of Fisheries and Aquatic Sciences","page":"1135–1142","volume":"61","issue":"7","source":"Google Scholar","author":[{"family":"Hrafnkelsson","given":"Birgir"},{"family":"Stefánsson","given":"Gunnar"}],"issued":{"date-parts":[["2004"]]}}}],"schema":"https://github.com/citation-style-language/schema/raw/master/csl-citation.json"} </w:instrText>
      </w:r>
      <w:r w:rsidR="001C14B8">
        <w:fldChar w:fldCharType="separate"/>
      </w:r>
      <w:r w:rsidR="003B2E2D" w:rsidRPr="003B2E2D">
        <w:rPr>
          <w:rFonts w:cs="Times New Roman"/>
          <w:szCs w:val="24"/>
        </w:rPr>
        <w:t>(Francis, 2014; Hrafnkelsson and Stefánsson, 2004)</w:t>
      </w:r>
      <w:r w:rsidR="001C14B8">
        <w:fldChar w:fldCharType="end"/>
      </w:r>
      <w:r w:rsidR="00107C78">
        <w:t>.</w:t>
      </w:r>
      <w:r w:rsidR="001D00E6">
        <w:t xml:space="preserve"> </w:t>
      </w:r>
      <w:r w:rsidR="001C14B8">
        <w:t xml:space="preserve"> </w:t>
      </w:r>
      <w:r w:rsidR="00495A80">
        <w:t xml:space="preserve">Alternative distributions have been developed to </w:t>
      </w:r>
      <w:r w:rsidR="00586E3C">
        <w:t xml:space="preserve">simultaneously </w:t>
      </w:r>
      <w:r w:rsidR="00495A80">
        <w:t>model</w:t>
      </w:r>
      <w:r w:rsidR="002C0392">
        <w:t xml:space="preserve"> correlations and overdispersion in compositional data.  One example is the logistic-normal-multinomial (sometimes called the Gaussian-multinomial)</w:t>
      </w:r>
      <w:r w:rsidR="00495A80">
        <w:t xml:space="preserve">, which Francis </w:t>
      </w:r>
      <w:r w:rsidR="003B2E2D">
        <w:fldChar w:fldCharType="begin"/>
      </w:r>
      <w:r w:rsidR="003B2E2D">
        <w:instrText xml:space="preserve"> ADDIN ZOTERO_ITEM CSL_CITATION {"citationID":"2b5h3lng62","properties":{"formattedCitation":"(2014)","plainCitation":"(2014)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Chris"}],"issued":{"date-parts":[["2014"]]}},"suppress-author":true}],"schema":"https://github.com/citation-style-language/schema/raw/master/csl-citation.json"} </w:instrText>
      </w:r>
      <w:r w:rsidR="003B2E2D">
        <w:fldChar w:fldCharType="separate"/>
      </w:r>
      <w:r w:rsidR="003B2E2D" w:rsidRPr="003B2E2D">
        <w:rPr>
          <w:rFonts w:cs="Times New Roman"/>
        </w:rPr>
        <w:t>(2014)</w:t>
      </w:r>
      <w:r w:rsidR="003B2E2D">
        <w:fldChar w:fldCharType="end"/>
      </w:r>
      <w:r w:rsidR="00495A80">
        <w:t xml:space="preserve"> proposed as a general replacement for the multinomial distribution.  However, Francis (2014) </w:t>
      </w:r>
      <w:r w:rsidR="004D2437">
        <w:t xml:space="preserve">only explored correlations among categories (inter-class correlation), and </w:t>
      </w:r>
      <w:r w:rsidR="00495A80">
        <w:t>did not attempt to account for correlations in a given category among years</w:t>
      </w:r>
      <w:r w:rsidR="005616BD">
        <w:t xml:space="preserve"> or </w:t>
      </w:r>
      <w:r w:rsidR="004D2437">
        <w:t>fleets</w:t>
      </w:r>
      <w:r w:rsidR="00495A80">
        <w:t xml:space="preserve">.  We hypothesize that </w:t>
      </w:r>
      <w:r w:rsidR="00586E3C">
        <w:t>residuals in compositional data are correlated</w:t>
      </w:r>
      <w:r w:rsidR="00495A80">
        <w:t xml:space="preserve"> </w:t>
      </w:r>
      <w:r w:rsidR="004D2437">
        <w:t>among years, ages, and fleets, and</w:t>
      </w:r>
      <w:r w:rsidR="00586E3C">
        <w:t xml:space="preserve"> suspect</w:t>
      </w:r>
      <w:r w:rsidR="004D2437">
        <w:t xml:space="preserve"> that the best generic strategy for accounting for complicated correlations is via mixed-effects methods </w:t>
      </w:r>
      <w:r w:rsidR="004D2437">
        <w:fldChar w:fldCharType="begin"/>
      </w:r>
      <w:r w:rsidR="004D2437">
        <w:instrText xml:space="preserve"> ADDIN ZOTERO_ITEM CSL_CITATION {"citationID":"1hi6r7fi1j","properties":{"formattedCitation":"(Thorson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sidR="004D2437">
        <w:fldChar w:fldCharType="separate"/>
      </w:r>
      <w:r w:rsidR="004D2437" w:rsidRPr="004D2437">
        <w:rPr>
          <w:rFonts w:cs="Times New Roman"/>
        </w:rPr>
        <w:t>(Thorson and Minto, 2015)</w:t>
      </w:r>
      <w:r w:rsidR="004D2437">
        <w:fldChar w:fldCharType="end"/>
      </w:r>
      <w:r w:rsidR="004D2437">
        <w:t xml:space="preserve">.  Mixed-effect methods have already been developed for time-varying selectivity and individual growth, and </w:t>
      </w:r>
      <w:r w:rsidR="00586E3C">
        <w:t xml:space="preserve">are increasingly feasible for age-structured population models using maximum likelihood or Bayesian estimation methods </w:t>
      </w:r>
      <w:r w:rsidR="00586E3C">
        <w:fldChar w:fldCharType="begin"/>
      </w:r>
      <w:r w:rsidR="00586E3C">
        <w:instrText xml:space="preserve"> ADDIN ZOTERO_ITEM CSL_CITATION {"citationID":"244944ccq9","properties":{"formattedCitation":"{\\rtf (Kristensen et al., 2014; M\\uc0\\u228{}ntyniemi et al., 2013; Thorson et al., 2015)}","plainCitation":"(Kristensen et al., 2014; Mäntyniemi et al., 2013; Thorson et al., 2015)"},"citationItems":[{"id":2442,"uris":["http://zotero.org/users/251206/items/83WJVIK3"],"uri":["http://zotero.org/users/251206/items/83WJVIK3"],"itemData":{"id":2442,"type":"article-journal","title":"Estimating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E."}],"issued":{"date-parts":[["2014"]]}}},{"id":1773,"uris":["http://zotero.org/users/251206/items/3XNKPNW5"],"uri":["http://zotero.org/users/251206/items/3XNKPNW5"],"itemData":{"id":1773,"type":"article-journal","title":"Integrated, age-structured, length-based stock assessment model with uncertain process variances, structural uncertainty, and environmental covariates: case of Central Baltic herring","container-title":"Canadian Journal of Fisheries and Aquatic Sciences","page":"1317-1326","volume":"70","source":"NRC Research Press","abstract":"We developed a generic, age-structured, state-space stock assessment model that can be used as a platform for including information elicited from stakeholders. The model tracks the mean size-at-age and then uses it to explain rates of natural and fishing mortality. The fishery selectivity is divided to two components, which makes it possible to model the active seeking of the fleet for certain sizes of fish, as well as the selectivity of the gear itself. The model can account for uncertainties that are not currently accounted for in state-of-the-art models for integrated assessments: (i) The form of the stock–recruitment function is considered uncertain and is accounted for by using Bayesian model averaging. (ii) In addition to recruitment variation, process variation in natural mortality, growth parameters, and fishing mortality can also be treated as uncertain parameters. The use of the model is exemplified in the context of participatory modelling where stakeholders have specified how environmental var..., Nous avons développé un modèle générique d’espace d’états structuré selon l’âge pour l’évaluation des stocks qui peut être utilisé comme plateforme pour l’intégration d’information obtenue de parties prenantes. Le modèle suit la taille moyenne en fonction de l’âge et l’utilise pour expliquer les taux de mortalité naturelle et par pêche. La sélectivité de la pêche est divisée en deux composantes, ce qui permet de modéliser la recherche active par la flotte de poissons d’une certaine taille ainsi que la sélectivité de l’engin. Le modèle peut tenir compte d’incertitudes dont les modèles les plus récents d’évaluation intégrée ne tiennent pas compte, à savoir : (i) la forme de la fonction stock–recrutement est considérée comme étant incertaine et est traitée grâce à la combinaison bayésienne des estimations; (ii) outre les variations de recrutement, les variations de la mortalité naturelle, des paramètres de croissance et de la mortalité par pêche peuvent être traitées comme des paramètres incertains. Un exemp...","DOI":"10.1139/cjfas-2012-0315","ISSN":"0706-652X","shortTitle":"Integrated, age-structured, length-based stock assessment model with uncertain process variances, structural uncertainty, and environmental covariates","journalAbbreviation":"Can. J. Fish. Aquat. Sci.","author":[{"family":"Mäntyniemi","given":"Samu"},{"family":"Uusitalo","given":"Laura"},{"family":"Peltonen","given":"Heikki"},{"family":"Haapasaari","given":"Päivi"},{"family":"Kuikka","given":"Sakari"}],"issued":{"date-parts":[["2013",6,17]]}}},{"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586E3C">
        <w:fldChar w:fldCharType="separate"/>
      </w:r>
      <w:r w:rsidR="00586E3C" w:rsidRPr="00586E3C">
        <w:rPr>
          <w:rFonts w:cs="Times New Roman"/>
          <w:szCs w:val="24"/>
        </w:rPr>
        <w:t>(Kristensen et al., 2014; Mäntyniemi et al., 2013; Thorson et al., 2015)</w:t>
      </w:r>
      <w:r w:rsidR="00586E3C">
        <w:fldChar w:fldCharType="end"/>
      </w:r>
      <w:r w:rsidR="00586E3C">
        <w:t>.  W</w:t>
      </w:r>
      <w:r w:rsidR="004D2437">
        <w:t xml:space="preserve">e </w:t>
      </w:r>
      <w:r w:rsidR="00586E3C">
        <w:t xml:space="preserve">therefore </w:t>
      </w:r>
      <w:r w:rsidR="004D2437">
        <w:t>recommend future research to explore whether accounting for these processes can adequately account for correlated residuals in compositional data.</w:t>
      </w:r>
    </w:p>
    <w:p w14:paraId="7C3DEC8A" w14:textId="6FE417D7" w:rsidR="007C6DD0" w:rsidRDefault="007C6DD0" w:rsidP="00495A80">
      <w:pPr>
        <w:tabs>
          <w:tab w:val="left" w:pos="360"/>
        </w:tabs>
      </w:pPr>
      <w:r>
        <w:lastRenderedPageBreak/>
        <w:tab/>
        <w:t xml:space="preserve">As with any new method, we also encourage extensive testing using a variety of operating models and harvest control rules.  </w:t>
      </w:r>
      <w:r w:rsidR="00D30A45">
        <w:t xml:space="preserve">Different forms of spatial structure or cohort-specific selectivity will generally result in different forms of correlation among years, categories, fleets, and sexes, and therefore will likely result in better or worse performance of the Dirichlet-multinomial distribution (given its inability to account for correlated residuals).  </w:t>
      </w:r>
    </w:p>
    <w:p w14:paraId="0837C2BE" w14:textId="3DD138C3" w:rsidR="00B25B32" w:rsidRPr="00A6187C" w:rsidRDefault="00A6187C" w:rsidP="00F92AD3">
      <w:pPr>
        <w:tabs>
          <w:tab w:val="left" w:pos="360"/>
        </w:tabs>
        <w:rPr>
          <w:b/>
        </w:rPr>
      </w:pPr>
      <w:r w:rsidRPr="00A6187C">
        <w:rPr>
          <w:b/>
        </w:rPr>
        <w:t>5. Conclusions</w:t>
      </w:r>
    </w:p>
    <w:p w14:paraId="6D8A8819" w14:textId="2995AF4C" w:rsidR="00974727" w:rsidRDefault="00974727" w:rsidP="00974727">
      <w:pPr>
        <w:tabs>
          <w:tab w:val="left" w:pos="360"/>
        </w:tabs>
      </w:pPr>
      <w:r>
        <w:t>In this paper, we have shown that the Dirichlet-multinomial distribution can be used to generate model-based estimates of effective sample size for age</w:t>
      </w:r>
      <w:r w:rsidR="00684973">
        <w:t>-</w:t>
      </w:r>
      <w:r>
        <w:t xml:space="preserve"> and length-compositional data in stock assessment models.  Using a real-world stock assessment for Pacific hake, we showed that the Dirichlet-multinomial distribution provides </w:t>
      </w:r>
      <w:r w:rsidR="001B5D85">
        <w:t xml:space="preserve">similar </w:t>
      </w:r>
      <w:r>
        <w:t xml:space="preserve">estimates </w:t>
      </w:r>
      <w:r w:rsidR="001B5D85">
        <w:t xml:space="preserve">of effective sample size to a </w:t>
      </w:r>
      <w:r>
        <w:t xml:space="preserve">previously used iterative reweighting approach that used a harmonic mean ratio estimator.  We also provide a simulation experiment to verify that it provides </w:t>
      </w:r>
      <w:r w:rsidR="001B5D85">
        <w:t xml:space="preserve">approximately </w:t>
      </w:r>
      <w:r>
        <w:t xml:space="preserve">unbiased estimates of effective sample size given that the model is otherwise specified correctly. </w:t>
      </w:r>
      <w:r w:rsidR="001B5D85">
        <w:t xml:space="preserve"> We conclude that the Dirichlet-multinomial distribution is a reasonable way to estimate the magnitude of overdispersion in compositional data, and recommend future research combining it with mixed-effects estimates of time-varying selectivity and individual growth to account for correlated residuals among categories, years, and fleets.</w:t>
      </w:r>
      <w:r>
        <w:t xml:space="preserve"> </w:t>
      </w:r>
    </w:p>
    <w:p w14:paraId="5F0C05FC" w14:textId="77777777" w:rsidR="003A63B5" w:rsidRPr="003A63B5" w:rsidRDefault="003A63B5" w:rsidP="00F92AD3">
      <w:pPr>
        <w:tabs>
          <w:tab w:val="left" w:pos="360"/>
        </w:tabs>
        <w:rPr>
          <w:b/>
        </w:rPr>
      </w:pPr>
      <w:r w:rsidRPr="003A63B5">
        <w:rPr>
          <w:b/>
        </w:rPr>
        <w:t>Acknowledgements</w:t>
      </w:r>
    </w:p>
    <w:p w14:paraId="6B4E6F95" w14:textId="77777777" w:rsidR="003A63B5" w:rsidRDefault="004926EE" w:rsidP="00F92AD3">
      <w:pPr>
        <w:tabs>
          <w:tab w:val="left" w:pos="360"/>
        </w:tabs>
      </w:pPr>
      <w:r>
        <w:t xml:space="preserve">This publication </w:t>
      </w:r>
      <w:r w:rsidR="00EE63B5">
        <w:t>wa</w:t>
      </w:r>
      <w:r>
        <w:t xml:space="preserve">s partially funded by the Joint Institute for the Study of the Atmosphere and Ocean (JISAO) under NOAA Cooperative Agreement No. </w:t>
      </w:r>
      <w:r w:rsidRPr="00EE63B5">
        <w:rPr>
          <w:highlight w:val="cyan"/>
        </w:rPr>
        <w:t>?</w:t>
      </w:r>
      <w:r>
        <w:t xml:space="preserve">, Contribution </w:t>
      </w:r>
      <w:r w:rsidRPr="00EE63B5">
        <w:rPr>
          <w:highlight w:val="cyan"/>
        </w:rPr>
        <w:t>?</w:t>
      </w:r>
      <w:r>
        <w:t xml:space="preserve">. </w:t>
      </w:r>
    </w:p>
    <w:p w14:paraId="3B1B9B91" w14:textId="77777777" w:rsidR="004926EE" w:rsidRDefault="004926EE" w:rsidP="00F92AD3">
      <w:pPr>
        <w:tabs>
          <w:tab w:val="left" w:pos="360"/>
        </w:tabs>
      </w:pPr>
    </w:p>
    <w:p w14:paraId="2D2BEE02" w14:textId="77777777" w:rsidR="0046263D" w:rsidRDefault="0046263D">
      <w:pPr>
        <w:spacing w:after="200" w:line="276" w:lineRule="auto"/>
        <w:rPr>
          <w:b/>
        </w:rPr>
      </w:pPr>
      <w:r>
        <w:rPr>
          <w:b/>
        </w:rPr>
        <w:br w:type="page"/>
      </w:r>
    </w:p>
    <w:p w14:paraId="09567E86" w14:textId="77777777" w:rsidR="003A63B5" w:rsidRPr="003A63B5" w:rsidRDefault="003A63B5" w:rsidP="00F92AD3">
      <w:pPr>
        <w:tabs>
          <w:tab w:val="left" w:pos="360"/>
        </w:tabs>
        <w:rPr>
          <w:b/>
        </w:rPr>
      </w:pPr>
      <w:r w:rsidRPr="003A63B5">
        <w:rPr>
          <w:b/>
        </w:rPr>
        <w:lastRenderedPageBreak/>
        <w:t>References</w:t>
      </w:r>
    </w:p>
    <w:p w14:paraId="16890DFF" w14:textId="77777777" w:rsidR="003B2E2D" w:rsidRPr="003B2E2D" w:rsidRDefault="00753ED2" w:rsidP="003B2E2D">
      <w:pPr>
        <w:pStyle w:val="Bibliography"/>
        <w:rPr>
          <w:rFonts w:cs="Times New Roman"/>
        </w:rPr>
      </w:pPr>
      <w:r>
        <w:fldChar w:fldCharType="begin"/>
      </w:r>
      <w:r>
        <w:instrText xml:space="preserve"> ADDIN ZOTERO_BIBL {"custom":[]} CSL_BIBLIOGRAPHY </w:instrText>
      </w:r>
      <w:r>
        <w:fldChar w:fldCharType="separate"/>
      </w:r>
      <w:r w:rsidR="003B2E2D" w:rsidRPr="003B2E2D">
        <w:rPr>
          <w:rFonts w:cs="Times New Roman"/>
        </w:rPr>
        <w:t>Coggins, L.G., Quinn, T.J., 1998. A simulation study of the effects of aging error and sample size on sustained yield estimates. Fish. Stock Assess. Models 955–975.</w:t>
      </w:r>
    </w:p>
    <w:p w14:paraId="22EABE3D" w14:textId="77777777" w:rsidR="003B2E2D" w:rsidRPr="003B2E2D" w:rsidRDefault="003B2E2D" w:rsidP="003B2E2D">
      <w:pPr>
        <w:pStyle w:val="Bibliography"/>
        <w:rPr>
          <w:rFonts w:cs="Times New Roman"/>
        </w:rPr>
      </w:pPr>
      <w:r w:rsidRPr="003B2E2D">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14:paraId="2290F265" w14:textId="77777777" w:rsidR="003B2E2D" w:rsidRPr="003B2E2D" w:rsidRDefault="003B2E2D" w:rsidP="003B2E2D">
      <w:pPr>
        <w:pStyle w:val="Bibliography"/>
        <w:rPr>
          <w:rFonts w:cs="Times New Roman"/>
        </w:rPr>
      </w:pPr>
      <w:r w:rsidRPr="003B2E2D">
        <w:rPr>
          <w:rFonts w:cs="Times New Roman"/>
        </w:rPr>
        <w:t>Francis, R.C., 2014. Replacing the multinomial in stock assessment models: A first step. Fish. Res. 151, 70–84.</w:t>
      </w:r>
    </w:p>
    <w:p w14:paraId="2DAFC411" w14:textId="77777777" w:rsidR="003B2E2D" w:rsidRPr="003B2E2D" w:rsidRDefault="003B2E2D" w:rsidP="003B2E2D">
      <w:pPr>
        <w:pStyle w:val="Bibliography"/>
        <w:rPr>
          <w:rFonts w:cs="Times New Roman"/>
        </w:rPr>
      </w:pPr>
      <w:r w:rsidRPr="003B2E2D">
        <w:rPr>
          <w:rFonts w:cs="Times New Roman"/>
        </w:rPr>
        <w:t>Francis, R.I.C.C., 2011. Data weighting in statistical fisheries stock assessment models. Can. J. Fish. Aquat. Sci. 68, 1124–1138.</w:t>
      </w:r>
    </w:p>
    <w:p w14:paraId="4B017C91" w14:textId="77777777" w:rsidR="003B2E2D" w:rsidRPr="003B2E2D" w:rsidRDefault="003B2E2D" w:rsidP="003B2E2D">
      <w:pPr>
        <w:pStyle w:val="Bibliography"/>
        <w:rPr>
          <w:rFonts w:cs="Times New Roman"/>
        </w:rPr>
      </w:pPr>
      <w:r w:rsidRPr="003B2E2D">
        <w:rPr>
          <w:rFonts w:cs="Times New Roman"/>
        </w:rPr>
        <w:t>Hrafnkelsson, B., Stefánsson, G., 2004. A model for categorical length data from groundfish surveys. Can. J. Fish. Aquat. Sci. 61, 1135–1142.</w:t>
      </w:r>
    </w:p>
    <w:p w14:paraId="1314AFF4" w14:textId="77777777" w:rsidR="003B2E2D" w:rsidRPr="003B2E2D" w:rsidRDefault="003B2E2D" w:rsidP="003B2E2D">
      <w:pPr>
        <w:pStyle w:val="Bibliography"/>
        <w:rPr>
          <w:rFonts w:cs="Times New Roman"/>
        </w:rPr>
      </w:pPr>
      <w:r w:rsidRPr="003B2E2D">
        <w:rPr>
          <w:rFonts w:cs="Times New Roman"/>
        </w:rPr>
        <w:t>Kristensen, K., Thygesen, U.H., Andersen, K.H., Beyer, J.E., 2014. Estimating spatio-temporal dynamics of size-structured populations. Can. J. Fish. Aquat. Sci. 71, 326–336. doi:10.1139/cjfas-2013-0151</w:t>
      </w:r>
    </w:p>
    <w:p w14:paraId="1BAEDEFD" w14:textId="77777777" w:rsidR="003B2E2D" w:rsidRPr="003B2E2D" w:rsidRDefault="003B2E2D" w:rsidP="003B2E2D">
      <w:pPr>
        <w:pStyle w:val="Bibliography"/>
        <w:rPr>
          <w:rFonts w:cs="Times New Roman"/>
        </w:rPr>
      </w:pPr>
      <w:r w:rsidRPr="003B2E2D">
        <w:rPr>
          <w:rFonts w:cs="Times New Roman"/>
        </w:rPr>
        <w:t>Magnusson, A., Punt, A.E., Hilborn, R., 2013. Measuring uncertainty in fisheries stock assessment: the delta method, bootstrap, and MCMC. Fish Fish. 14, 325–342.</w:t>
      </w:r>
    </w:p>
    <w:p w14:paraId="1EAD3DFE" w14:textId="77777777" w:rsidR="003B2E2D" w:rsidRPr="003B2E2D" w:rsidRDefault="003B2E2D" w:rsidP="003B2E2D">
      <w:pPr>
        <w:pStyle w:val="Bibliography"/>
        <w:rPr>
          <w:rFonts w:cs="Times New Roman"/>
        </w:rPr>
      </w:pPr>
      <w:r w:rsidRPr="003B2E2D">
        <w:rPr>
          <w:rFonts w:cs="Times New Roman"/>
        </w:rPr>
        <w:t>Mäntyniemi, S., Uusitalo, L., Peltonen, H., Haapasaari, P., Kuikka, S., 2013. Integrated, age-structured, length-based stock assessment model with uncertain process variances, structural uncertainty, and environmental covariates: case of Central Baltic herring. Can. J. Fish. Aquat. Sci. 70, 1317–1326. doi:10.1139/cjfas-2012-0315</w:t>
      </w:r>
    </w:p>
    <w:p w14:paraId="773007F2" w14:textId="77777777" w:rsidR="003B2E2D" w:rsidRPr="003B2E2D" w:rsidRDefault="003B2E2D" w:rsidP="003B2E2D">
      <w:pPr>
        <w:pStyle w:val="Bibliography"/>
        <w:rPr>
          <w:rFonts w:cs="Times New Roman"/>
        </w:rPr>
      </w:pPr>
      <w:r w:rsidRPr="003B2E2D">
        <w:rPr>
          <w:rFonts w:cs="Times New Roman"/>
        </w:rPr>
        <w:t>Maunder, M.N., Punt, A.E., 2013. A review of integrated analysis in fisheries stock assessment. Fish. Res. 142, 61–74.</w:t>
      </w:r>
    </w:p>
    <w:p w14:paraId="08ADC47B" w14:textId="77777777" w:rsidR="003B2E2D" w:rsidRPr="003B2E2D" w:rsidRDefault="003B2E2D" w:rsidP="003B2E2D">
      <w:pPr>
        <w:pStyle w:val="Bibliography"/>
        <w:rPr>
          <w:rFonts w:cs="Times New Roman"/>
        </w:rPr>
      </w:pPr>
      <w:r w:rsidRPr="003B2E2D">
        <w:rPr>
          <w:rFonts w:cs="Times New Roman"/>
        </w:rPr>
        <w:t>McAllister, M.K., Ianelli, J.N., 1997. Bayesian stock assessment using catch-age data and the sampling: importance resampling algorithm. Can. J. Fish. Aquat. Sci. 54, 284–300.</w:t>
      </w:r>
    </w:p>
    <w:p w14:paraId="0D575603" w14:textId="77777777" w:rsidR="003B2E2D" w:rsidRPr="003B2E2D" w:rsidRDefault="003B2E2D" w:rsidP="003B2E2D">
      <w:pPr>
        <w:pStyle w:val="Bibliography"/>
        <w:rPr>
          <w:rFonts w:cs="Times New Roman"/>
        </w:rPr>
      </w:pPr>
      <w:r w:rsidRPr="003B2E2D">
        <w:rPr>
          <w:rFonts w:cs="Times New Roman"/>
        </w:rPr>
        <w:t>Methot, R.D., Wetzel, C.R., 2013. Stock synthesis: A biological and statistical framework for fish stock assessment and fishery management. Fish. Res. 142, 86–99.</w:t>
      </w:r>
    </w:p>
    <w:p w14:paraId="6A8B74D3" w14:textId="77777777" w:rsidR="003B2E2D" w:rsidRPr="003B2E2D" w:rsidRDefault="003B2E2D" w:rsidP="003B2E2D">
      <w:pPr>
        <w:pStyle w:val="Bibliography"/>
        <w:rPr>
          <w:rFonts w:cs="Times New Roman"/>
        </w:rPr>
      </w:pPr>
      <w:r w:rsidRPr="003B2E2D">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14:paraId="030DA44A" w14:textId="77777777" w:rsidR="003B2E2D" w:rsidRPr="003B2E2D" w:rsidRDefault="003B2E2D" w:rsidP="003B2E2D">
      <w:pPr>
        <w:pStyle w:val="Bibliography"/>
        <w:rPr>
          <w:rFonts w:cs="Times New Roman"/>
        </w:rPr>
      </w:pPr>
      <w:r w:rsidRPr="003B2E2D">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14:paraId="3D6451FF" w14:textId="77777777" w:rsidR="003B2E2D" w:rsidRPr="003B2E2D" w:rsidRDefault="003B2E2D" w:rsidP="003B2E2D">
      <w:pPr>
        <w:pStyle w:val="Bibliography"/>
        <w:rPr>
          <w:rFonts w:cs="Times New Roman"/>
        </w:rPr>
      </w:pPr>
      <w:r w:rsidRPr="003B2E2D">
        <w:rPr>
          <w:rFonts w:cs="Times New Roman"/>
        </w:rPr>
        <w:t>Stewart, I.J., Hamel, O.S., 2014. Bootstrapping of sample sizes for length-or age-composition data used in stock assessments. Can. J. Fish. Aquat. Sci. 71, 581–588.</w:t>
      </w:r>
    </w:p>
    <w:p w14:paraId="4CAA766F" w14:textId="77777777" w:rsidR="003B2E2D" w:rsidRPr="003B2E2D" w:rsidRDefault="003B2E2D" w:rsidP="003B2E2D">
      <w:pPr>
        <w:pStyle w:val="Bibliography"/>
        <w:rPr>
          <w:rFonts w:cs="Times New Roman"/>
        </w:rPr>
      </w:pPr>
      <w:r w:rsidRPr="003B2E2D">
        <w:rPr>
          <w:rFonts w:cs="Times New Roman"/>
        </w:rPr>
        <w:t>Taylor, I., Grandin, C., Hicks, A.C., Taylor, N., Cox, S., 2015. Status of the Pacific Hake (whiting) stock in US and Canadian waters in 2015. Prepared by the Joint Technical Committee of the U.S. and Canada Pacific Hake/ Whiting Agreement.</w:t>
      </w:r>
    </w:p>
    <w:p w14:paraId="428E6627" w14:textId="77777777" w:rsidR="003B2E2D" w:rsidRPr="003B2E2D" w:rsidRDefault="003B2E2D" w:rsidP="003B2E2D">
      <w:pPr>
        <w:pStyle w:val="Bibliography"/>
        <w:rPr>
          <w:rFonts w:cs="Times New Roman"/>
        </w:rPr>
      </w:pPr>
      <w:r w:rsidRPr="003B2E2D">
        <w:rPr>
          <w:rFonts w:cs="Times New Roman"/>
        </w:rPr>
        <w:t>Thorson, J.T., 2014. Standardizing compositional data for stock assessment. ICES J. Mar. Sci. J. Cons. 71, 1117–1128. doi:10.1093/icesjms/fst224</w:t>
      </w:r>
    </w:p>
    <w:p w14:paraId="6BF1BA3C" w14:textId="77777777" w:rsidR="003B2E2D" w:rsidRPr="003B2E2D" w:rsidRDefault="003B2E2D" w:rsidP="003B2E2D">
      <w:pPr>
        <w:pStyle w:val="Bibliography"/>
        <w:rPr>
          <w:rFonts w:cs="Times New Roman"/>
        </w:rPr>
      </w:pPr>
      <w:r w:rsidRPr="003B2E2D">
        <w:rPr>
          <w:rFonts w:cs="Times New Roman"/>
        </w:rPr>
        <w:t>Thorson, J.T., Hicks, A.C., Methot, R.D., 2015. Random effect estimation of time-varying factors in Stock Synthesis. ICES J. Mar. Sci. J. Cons. 72, 178–185. doi:10.1093/icesjms/fst211</w:t>
      </w:r>
    </w:p>
    <w:p w14:paraId="3382885C" w14:textId="77777777" w:rsidR="003B2E2D" w:rsidRPr="003B2E2D" w:rsidRDefault="003B2E2D" w:rsidP="003B2E2D">
      <w:pPr>
        <w:pStyle w:val="Bibliography"/>
        <w:rPr>
          <w:rFonts w:cs="Times New Roman"/>
        </w:rPr>
      </w:pPr>
      <w:r w:rsidRPr="003B2E2D">
        <w:rPr>
          <w:rFonts w:cs="Times New Roman"/>
        </w:rPr>
        <w:lastRenderedPageBreak/>
        <w:t>Thorson, J.T., Minto, C., 2015. Mixed effects: a unifying framework for statistical modelling in fisheries biology. ICES J. Mar. Sci. J. Cons. 72, 1245–1256. doi:10.1093/icesjms/fsu213</w:t>
      </w:r>
    </w:p>
    <w:p w14:paraId="31B5EEF0" w14:textId="77777777" w:rsidR="003B2E2D" w:rsidRPr="003B2E2D" w:rsidRDefault="003B2E2D" w:rsidP="003B2E2D">
      <w:pPr>
        <w:pStyle w:val="Bibliography"/>
        <w:rPr>
          <w:rFonts w:cs="Times New Roman"/>
        </w:rPr>
      </w:pPr>
      <w:r w:rsidRPr="003B2E2D">
        <w:rPr>
          <w:rFonts w:cs="Times New Roman"/>
        </w:rPr>
        <w:t>Walters, C.J., Martell, S.J.D., 2004. Fisheries Ecology and Management. Princeton University Press, Princeton, New Jersey.</w:t>
      </w:r>
    </w:p>
    <w:p w14:paraId="4A9FBC21" w14:textId="0249EAD0" w:rsidR="00753ED2" w:rsidRDefault="00753ED2" w:rsidP="00F92AD3">
      <w:pPr>
        <w:tabs>
          <w:tab w:val="left" w:pos="360"/>
        </w:tabs>
        <w:ind w:left="720" w:hanging="720"/>
      </w:pPr>
      <w:r>
        <w:fldChar w:fldCharType="end"/>
      </w:r>
    </w:p>
    <w:p w14:paraId="71E79930" w14:textId="77777777" w:rsidR="00BF4A5F" w:rsidRDefault="00BF4A5F">
      <w:pPr>
        <w:spacing w:after="200" w:line="276" w:lineRule="auto"/>
      </w:pPr>
      <w:r>
        <w:br w:type="page"/>
      </w:r>
    </w:p>
    <w:p w14:paraId="5CECA7D8" w14:textId="351D3658" w:rsidR="006B3596" w:rsidRDefault="006B3596" w:rsidP="00F92AD3">
      <w:pPr>
        <w:tabs>
          <w:tab w:val="left" w:pos="360"/>
        </w:tabs>
      </w:pPr>
      <w:r w:rsidRPr="006B3596">
        <w:lastRenderedPageBreak/>
        <w:t xml:space="preserve">Table 1. </w:t>
      </w:r>
      <w:r w:rsidR="00FE3034">
        <w:t xml:space="preserve"> P</w:t>
      </w:r>
      <w:r>
        <w:t>a</w:t>
      </w:r>
      <w:r w:rsidR="005E1C21">
        <w:t>rameters used to generate simulated data sets (</w:t>
      </w:r>
      <w:r w:rsidR="00FE3034">
        <w:t xml:space="preserve">the </w:t>
      </w:r>
      <w:r w:rsidR="005E1C21">
        <w:t xml:space="preserve">“operating model”) </w:t>
      </w:r>
      <w:r w:rsidR="00FE3034">
        <w:t>and</w:t>
      </w:r>
      <w:r w:rsidR="005E1C21">
        <w:t xml:space="preserve"> </w:t>
      </w:r>
      <w:r w:rsidR="00FE3034">
        <w:t xml:space="preserve">during model fitting </w:t>
      </w:r>
      <w:r w:rsidR="005E1C21">
        <w:t>(</w:t>
      </w:r>
      <w:r w:rsidR="00FE3034">
        <w:t xml:space="preserve">the </w:t>
      </w:r>
      <w:r w:rsidR="005E1C21">
        <w:t>“estimation model”)</w:t>
      </w:r>
      <w:r>
        <w:t>.</w:t>
      </w:r>
      <w:r w:rsidR="005E1C21">
        <w:t xml:space="preserve">  </w:t>
      </w:r>
      <w:r w:rsidR="003B2E2D">
        <w:t xml:space="preserve">A </w:t>
      </w:r>
      <w:r w:rsidR="00BE0E98">
        <w:t>modified version of the</w:t>
      </w:r>
      <w:r w:rsidR="005E1C21">
        <w:t xml:space="preserve"> </w:t>
      </w:r>
      <w:r w:rsidR="003B2E2D">
        <w:t>2015 Pacific hake assessment</w:t>
      </w:r>
      <w:r w:rsidR="005E1C21">
        <w:t xml:space="preserve"> model </w:t>
      </w:r>
      <w:r w:rsidR="003B2E2D">
        <w:t xml:space="preserve">with </w:t>
      </w:r>
      <w:r w:rsidR="005E1C21">
        <w:t xml:space="preserve">134 estimated parameters </w:t>
      </w:r>
      <w:r w:rsidR="003B2E2D">
        <w:t>is used as both the operating and estimation model</w:t>
      </w:r>
      <w:r w:rsidR="001B7477">
        <w:t xml:space="preserve"> (</w:t>
      </w:r>
      <w:r w:rsidR="006F2A1C">
        <w:t xml:space="preserve">the model uses empirical weight-at-age techniques, and </w:t>
      </w:r>
      <w:r w:rsidR="00DC5C78">
        <w:t xml:space="preserve">therefore </w:t>
      </w:r>
      <w:r w:rsidR="006F2A1C">
        <w:t>does not estimate individual growth parameters</w:t>
      </w:r>
      <w:r w:rsidR="001B7477">
        <w:t>)</w:t>
      </w:r>
      <w:r w:rsidR="005E1C21">
        <w:t xml:space="preserve">.  Survey and fishery selectivity values are not listed but follow the non-parametric form used in </w:t>
      </w:r>
      <w:r w:rsidR="00BE0E98">
        <w:t>Taylor et al. (2015)</w:t>
      </w:r>
      <w:r w:rsidR="001C6217">
        <w:t>, but without variation over time</w:t>
      </w:r>
      <w:r w:rsidR="00BE0E98">
        <w:t>.</w:t>
      </w:r>
      <w:r w:rsidR="005E1C21">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968"/>
        <w:gridCol w:w="511"/>
        <w:gridCol w:w="1959"/>
        <w:gridCol w:w="1992"/>
      </w:tblGrid>
      <w:tr w:rsidR="00622E11" w14:paraId="1B5162D3" w14:textId="77777777" w:rsidTr="00622E11">
        <w:tc>
          <w:tcPr>
            <w:tcW w:w="2988" w:type="dxa"/>
            <w:tcBorders>
              <w:top w:val="single" w:sz="4" w:space="0" w:color="auto"/>
              <w:bottom w:val="nil"/>
            </w:tcBorders>
          </w:tcPr>
          <w:p w14:paraId="70A4CAFD" w14:textId="77777777" w:rsidR="00622E11" w:rsidRDefault="00622E11" w:rsidP="005E1C21">
            <w:pPr>
              <w:tabs>
                <w:tab w:val="left" w:pos="360"/>
              </w:tabs>
              <w:spacing w:line="240" w:lineRule="auto"/>
            </w:pPr>
          </w:p>
        </w:tc>
        <w:tc>
          <w:tcPr>
            <w:tcW w:w="1968" w:type="dxa"/>
            <w:tcBorders>
              <w:top w:val="single" w:sz="4" w:space="0" w:color="auto"/>
              <w:bottom w:val="nil"/>
            </w:tcBorders>
          </w:tcPr>
          <w:p w14:paraId="7D0C3B66" w14:textId="74388383" w:rsidR="00622E11" w:rsidRPr="00622E11" w:rsidRDefault="00622E11" w:rsidP="00622E11">
            <w:pPr>
              <w:tabs>
                <w:tab w:val="left" w:pos="360"/>
              </w:tabs>
              <w:spacing w:line="240" w:lineRule="auto"/>
              <w:jc w:val="center"/>
              <w:rPr>
                <w:i/>
              </w:rPr>
            </w:pPr>
            <w:r w:rsidRPr="00622E11">
              <w:rPr>
                <w:i/>
              </w:rPr>
              <w:t>Operating model</w:t>
            </w:r>
          </w:p>
        </w:tc>
        <w:tc>
          <w:tcPr>
            <w:tcW w:w="511" w:type="dxa"/>
            <w:tcBorders>
              <w:top w:val="single" w:sz="4" w:space="0" w:color="auto"/>
              <w:bottom w:val="nil"/>
            </w:tcBorders>
          </w:tcPr>
          <w:p w14:paraId="37062D86" w14:textId="77777777" w:rsidR="00622E11" w:rsidRPr="00622E11" w:rsidRDefault="00622E11" w:rsidP="00622E11">
            <w:pPr>
              <w:tabs>
                <w:tab w:val="left" w:pos="360"/>
              </w:tabs>
              <w:spacing w:line="240" w:lineRule="auto"/>
              <w:jc w:val="center"/>
              <w:rPr>
                <w:i/>
              </w:rPr>
            </w:pPr>
          </w:p>
        </w:tc>
        <w:tc>
          <w:tcPr>
            <w:tcW w:w="3951" w:type="dxa"/>
            <w:gridSpan w:val="2"/>
            <w:tcBorders>
              <w:top w:val="single" w:sz="4" w:space="0" w:color="auto"/>
              <w:bottom w:val="nil"/>
            </w:tcBorders>
          </w:tcPr>
          <w:p w14:paraId="63FA7B19" w14:textId="15FA1BB8" w:rsidR="00622E11" w:rsidRPr="00622E11" w:rsidRDefault="00622E11" w:rsidP="00622E11">
            <w:pPr>
              <w:tabs>
                <w:tab w:val="left" w:pos="360"/>
              </w:tabs>
              <w:spacing w:line="240" w:lineRule="auto"/>
              <w:jc w:val="center"/>
              <w:rPr>
                <w:i/>
              </w:rPr>
            </w:pPr>
            <w:r w:rsidRPr="00622E11">
              <w:rPr>
                <w:i/>
              </w:rPr>
              <w:t>Estimation model</w:t>
            </w:r>
          </w:p>
        </w:tc>
      </w:tr>
      <w:tr w:rsidR="00622E11" w14:paraId="66922C50" w14:textId="77777777" w:rsidTr="00622E11">
        <w:tc>
          <w:tcPr>
            <w:tcW w:w="2988" w:type="dxa"/>
            <w:tcBorders>
              <w:top w:val="nil"/>
              <w:bottom w:val="single" w:sz="4" w:space="0" w:color="auto"/>
            </w:tcBorders>
          </w:tcPr>
          <w:p w14:paraId="57CC5BF9" w14:textId="7BAEA7FA" w:rsidR="00622E11" w:rsidRDefault="00622E11" w:rsidP="005E1C21">
            <w:pPr>
              <w:tabs>
                <w:tab w:val="left" w:pos="360"/>
              </w:tabs>
              <w:spacing w:line="240" w:lineRule="auto"/>
            </w:pPr>
            <w:r>
              <w:t>Name</w:t>
            </w:r>
          </w:p>
        </w:tc>
        <w:tc>
          <w:tcPr>
            <w:tcW w:w="1968" w:type="dxa"/>
            <w:tcBorders>
              <w:top w:val="nil"/>
              <w:bottom w:val="single" w:sz="4" w:space="0" w:color="auto"/>
            </w:tcBorders>
          </w:tcPr>
          <w:p w14:paraId="55F13A1F" w14:textId="6740D314" w:rsidR="00622E11" w:rsidRDefault="00622E11" w:rsidP="005E1C21">
            <w:pPr>
              <w:tabs>
                <w:tab w:val="left" w:pos="360"/>
              </w:tabs>
              <w:spacing w:line="240" w:lineRule="auto"/>
            </w:pPr>
            <w:r>
              <w:t>True value</w:t>
            </w:r>
          </w:p>
        </w:tc>
        <w:tc>
          <w:tcPr>
            <w:tcW w:w="511" w:type="dxa"/>
            <w:tcBorders>
              <w:top w:val="nil"/>
              <w:bottom w:val="single" w:sz="4" w:space="0" w:color="auto"/>
            </w:tcBorders>
          </w:tcPr>
          <w:p w14:paraId="2C5E6EF1" w14:textId="77777777" w:rsidR="00622E11" w:rsidRDefault="00622E11" w:rsidP="005E1C21">
            <w:pPr>
              <w:tabs>
                <w:tab w:val="left" w:pos="360"/>
              </w:tabs>
              <w:spacing w:line="240" w:lineRule="auto"/>
            </w:pPr>
          </w:p>
        </w:tc>
        <w:tc>
          <w:tcPr>
            <w:tcW w:w="1959" w:type="dxa"/>
            <w:tcBorders>
              <w:top w:val="nil"/>
              <w:bottom w:val="single" w:sz="4" w:space="0" w:color="auto"/>
            </w:tcBorders>
          </w:tcPr>
          <w:p w14:paraId="224F88DC" w14:textId="030D32B1" w:rsidR="00622E11" w:rsidRDefault="00622E11" w:rsidP="005E1C21">
            <w:pPr>
              <w:tabs>
                <w:tab w:val="left" w:pos="360"/>
              </w:tabs>
              <w:spacing w:line="240" w:lineRule="auto"/>
            </w:pPr>
            <w:r>
              <w:t>Estimated or fixed?</w:t>
            </w:r>
          </w:p>
        </w:tc>
        <w:tc>
          <w:tcPr>
            <w:tcW w:w="1992" w:type="dxa"/>
            <w:tcBorders>
              <w:top w:val="nil"/>
              <w:bottom w:val="single" w:sz="4" w:space="0" w:color="auto"/>
            </w:tcBorders>
          </w:tcPr>
          <w:p w14:paraId="60423257" w14:textId="603B88ED" w:rsidR="00622E11" w:rsidRDefault="00622E11" w:rsidP="005E1C21">
            <w:pPr>
              <w:tabs>
                <w:tab w:val="left" w:pos="360"/>
              </w:tabs>
              <w:spacing w:line="240" w:lineRule="auto"/>
            </w:pPr>
            <w:r>
              <w:t>Number of estimated parameters</w:t>
            </w:r>
          </w:p>
        </w:tc>
      </w:tr>
      <w:tr w:rsidR="00622E11" w14:paraId="2E81CD00" w14:textId="77777777" w:rsidTr="00622E11">
        <w:tc>
          <w:tcPr>
            <w:tcW w:w="2988" w:type="dxa"/>
            <w:tcBorders>
              <w:top w:val="single" w:sz="4" w:space="0" w:color="auto"/>
            </w:tcBorders>
          </w:tcPr>
          <w:p w14:paraId="10BAEACF" w14:textId="2398661F" w:rsidR="00622E11" w:rsidRDefault="00622E11" w:rsidP="00622E11">
            <w:pPr>
              <w:tabs>
                <w:tab w:val="left" w:pos="360"/>
              </w:tabs>
              <w:spacing w:line="240" w:lineRule="auto"/>
              <w:ind w:left="180" w:hanging="180"/>
            </w:pPr>
            <w:r>
              <w:t>Natural mortality rate</w:t>
            </w:r>
          </w:p>
        </w:tc>
        <w:tc>
          <w:tcPr>
            <w:tcW w:w="1968" w:type="dxa"/>
            <w:tcBorders>
              <w:top w:val="single" w:sz="4" w:space="0" w:color="auto"/>
            </w:tcBorders>
          </w:tcPr>
          <w:p w14:paraId="6DCEB055" w14:textId="26011650" w:rsidR="00622E11" w:rsidRDefault="00622E11" w:rsidP="005E1C21">
            <w:pPr>
              <w:tabs>
                <w:tab w:val="left" w:pos="360"/>
              </w:tabs>
              <w:spacing w:line="240" w:lineRule="auto"/>
              <w:jc w:val="right"/>
            </w:pPr>
            <w:r>
              <w:t>0.217</w:t>
            </w:r>
          </w:p>
        </w:tc>
        <w:tc>
          <w:tcPr>
            <w:tcW w:w="511" w:type="dxa"/>
            <w:tcBorders>
              <w:top w:val="single" w:sz="4" w:space="0" w:color="auto"/>
            </w:tcBorders>
          </w:tcPr>
          <w:p w14:paraId="5F0F87D5" w14:textId="77777777" w:rsidR="00622E11" w:rsidRDefault="00622E11" w:rsidP="005E1C21">
            <w:pPr>
              <w:tabs>
                <w:tab w:val="left" w:pos="360"/>
              </w:tabs>
              <w:spacing w:line="240" w:lineRule="auto"/>
              <w:jc w:val="right"/>
            </w:pPr>
          </w:p>
        </w:tc>
        <w:tc>
          <w:tcPr>
            <w:tcW w:w="1959" w:type="dxa"/>
            <w:tcBorders>
              <w:top w:val="single" w:sz="4" w:space="0" w:color="auto"/>
            </w:tcBorders>
          </w:tcPr>
          <w:p w14:paraId="2D4FA25E" w14:textId="3DD2E7B3" w:rsidR="00622E11" w:rsidRDefault="00622E11" w:rsidP="005E1C21">
            <w:pPr>
              <w:tabs>
                <w:tab w:val="left" w:pos="360"/>
              </w:tabs>
              <w:spacing w:line="240" w:lineRule="auto"/>
              <w:jc w:val="right"/>
            </w:pPr>
            <w:r>
              <w:t>Estimated</w:t>
            </w:r>
          </w:p>
        </w:tc>
        <w:tc>
          <w:tcPr>
            <w:tcW w:w="1992" w:type="dxa"/>
            <w:tcBorders>
              <w:top w:val="single" w:sz="4" w:space="0" w:color="auto"/>
            </w:tcBorders>
          </w:tcPr>
          <w:p w14:paraId="6314C2CB" w14:textId="26EFCDE5" w:rsidR="00622E11" w:rsidRDefault="00622E11" w:rsidP="005E1C21">
            <w:pPr>
              <w:tabs>
                <w:tab w:val="left" w:pos="360"/>
              </w:tabs>
              <w:spacing w:line="240" w:lineRule="auto"/>
              <w:jc w:val="right"/>
            </w:pPr>
            <w:r>
              <w:t>1</w:t>
            </w:r>
          </w:p>
        </w:tc>
      </w:tr>
      <w:tr w:rsidR="00622E11" w14:paraId="21A14320" w14:textId="77777777" w:rsidTr="00622E11">
        <w:tc>
          <w:tcPr>
            <w:tcW w:w="2988" w:type="dxa"/>
          </w:tcPr>
          <w:p w14:paraId="44A23804" w14:textId="7474918E" w:rsidR="00622E11" w:rsidRDefault="00622E11" w:rsidP="00DA2D90">
            <w:pPr>
              <w:tabs>
                <w:tab w:val="left" w:pos="360"/>
              </w:tabs>
              <w:spacing w:line="240" w:lineRule="auto"/>
              <w:ind w:left="180" w:hanging="180"/>
            </w:pPr>
            <w:r>
              <w:t>Expected recruits at unfished level (</w:t>
            </w:r>
            <w:r w:rsidR="00DA2D90">
              <w:t xml:space="preserve">natural </w:t>
            </w:r>
            <w:r>
              <w:t>log</w:t>
            </w:r>
            <w:r w:rsidR="00DA2D90">
              <w:t>arithm</w:t>
            </w:r>
            <w:r>
              <w:t>)</w:t>
            </w:r>
          </w:p>
        </w:tc>
        <w:tc>
          <w:tcPr>
            <w:tcW w:w="1968" w:type="dxa"/>
          </w:tcPr>
          <w:p w14:paraId="1E4BC214" w14:textId="68C752B4" w:rsidR="00622E11" w:rsidRDefault="00622E11" w:rsidP="005E1C21">
            <w:pPr>
              <w:tabs>
                <w:tab w:val="left" w:pos="360"/>
              </w:tabs>
              <w:spacing w:line="240" w:lineRule="auto"/>
              <w:jc w:val="right"/>
            </w:pPr>
            <w:r>
              <w:t>14.470</w:t>
            </w:r>
          </w:p>
        </w:tc>
        <w:tc>
          <w:tcPr>
            <w:tcW w:w="511" w:type="dxa"/>
          </w:tcPr>
          <w:p w14:paraId="71F72B93" w14:textId="77777777" w:rsidR="00622E11" w:rsidRDefault="00622E11" w:rsidP="005E1C21">
            <w:pPr>
              <w:tabs>
                <w:tab w:val="left" w:pos="360"/>
              </w:tabs>
              <w:spacing w:line="240" w:lineRule="auto"/>
              <w:jc w:val="right"/>
            </w:pPr>
          </w:p>
        </w:tc>
        <w:tc>
          <w:tcPr>
            <w:tcW w:w="1959" w:type="dxa"/>
          </w:tcPr>
          <w:p w14:paraId="5B613DD3" w14:textId="71DACCFE" w:rsidR="00622E11" w:rsidRDefault="00622E11" w:rsidP="005E1C21">
            <w:pPr>
              <w:tabs>
                <w:tab w:val="left" w:pos="360"/>
              </w:tabs>
              <w:spacing w:line="240" w:lineRule="auto"/>
              <w:jc w:val="right"/>
            </w:pPr>
            <w:r>
              <w:t>Estimated</w:t>
            </w:r>
          </w:p>
        </w:tc>
        <w:tc>
          <w:tcPr>
            <w:tcW w:w="1992" w:type="dxa"/>
          </w:tcPr>
          <w:p w14:paraId="3C8DA936" w14:textId="6A93FB98" w:rsidR="00622E11" w:rsidRDefault="00622E11" w:rsidP="005E1C21">
            <w:pPr>
              <w:tabs>
                <w:tab w:val="left" w:pos="360"/>
              </w:tabs>
              <w:spacing w:line="240" w:lineRule="auto"/>
              <w:jc w:val="right"/>
            </w:pPr>
            <w:r>
              <w:t>1</w:t>
            </w:r>
          </w:p>
        </w:tc>
      </w:tr>
      <w:tr w:rsidR="00622E11" w14:paraId="7CAD8912" w14:textId="77777777" w:rsidTr="00622E11">
        <w:tc>
          <w:tcPr>
            <w:tcW w:w="2988" w:type="dxa"/>
          </w:tcPr>
          <w:p w14:paraId="4298F98B" w14:textId="77CF79CE" w:rsidR="00622E11" w:rsidRDefault="00622E11" w:rsidP="00622E11">
            <w:pPr>
              <w:tabs>
                <w:tab w:val="left" w:pos="360"/>
              </w:tabs>
              <w:spacing w:line="240" w:lineRule="auto"/>
              <w:ind w:left="180" w:hanging="180"/>
            </w:pPr>
            <w:r>
              <w:t xml:space="preserve">Beverton-Holt steepness </w:t>
            </w:r>
          </w:p>
        </w:tc>
        <w:tc>
          <w:tcPr>
            <w:tcW w:w="1968" w:type="dxa"/>
          </w:tcPr>
          <w:p w14:paraId="01AA17F3" w14:textId="7FEDD410" w:rsidR="00622E11" w:rsidRDefault="00622E11" w:rsidP="005E1C21">
            <w:pPr>
              <w:tabs>
                <w:tab w:val="left" w:pos="360"/>
              </w:tabs>
              <w:spacing w:line="240" w:lineRule="auto"/>
              <w:jc w:val="right"/>
            </w:pPr>
            <w:r>
              <w:t>0.850</w:t>
            </w:r>
          </w:p>
        </w:tc>
        <w:tc>
          <w:tcPr>
            <w:tcW w:w="511" w:type="dxa"/>
          </w:tcPr>
          <w:p w14:paraId="327873EC" w14:textId="77777777" w:rsidR="00622E11" w:rsidRDefault="00622E11" w:rsidP="005E1C21">
            <w:pPr>
              <w:tabs>
                <w:tab w:val="left" w:pos="360"/>
              </w:tabs>
              <w:spacing w:line="240" w:lineRule="auto"/>
              <w:jc w:val="right"/>
            </w:pPr>
          </w:p>
        </w:tc>
        <w:tc>
          <w:tcPr>
            <w:tcW w:w="1959" w:type="dxa"/>
          </w:tcPr>
          <w:p w14:paraId="75657F92" w14:textId="324F979F" w:rsidR="00622E11" w:rsidRDefault="00622E11" w:rsidP="005E1C21">
            <w:pPr>
              <w:tabs>
                <w:tab w:val="left" w:pos="360"/>
              </w:tabs>
              <w:spacing w:line="240" w:lineRule="auto"/>
              <w:jc w:val="right"/>
            </w:pPr>
            <w:r>
              <w:t>Estimated</w:t>
            </w:r>
          </w:p>
        </w:tc>
        <w:tc>
          <w:tcPr>
            <w:tcW w:w="1992" w:type="dxa"/>
          </w:tcPr>
          <w:p w14:paraId="51DBEA04" w14:textId="4123F87E" w:rsidR="00622E11" w:rsidRDefault="00622E11" w:rsidP="005E1C21">
            <w:pPr>
              <w:tabs>
                <w:tab w:val="left" w:pos="360"/>
              </w:tabs>
              <w:spacing w:line="240" w:lineRule="auto"/>
              <w:jc w:val="right"/>
            </w:pPr>
            <w:r>
              <w:t>1</w:t>
            </w:r>
          </w:p>
        </w:tc>
      </w:tr>
      <w:tr w:rsidR="00622E11" w14:paraId="2021FEE3" w14:textId="77777777" w:rsidTr="00622E11">
        <w:tc>
          <w:tcPr>
            <w:tcW w:w="2988" w:type="dxa"/>
          </w:tcPr>
          <w:p w14:paraId="28706DC7" w14:textId="65A38CA3" w:rsidR="00622E11" w:rsidRDefault="00622E11" w:rsidP="00622E11">
            <w:pPr>
              <w:tabs>
                <w:tab w:val="left" w:pos="360"/>
              </w:tabs>
              <w:spacing w:line="240" w:lineRule="auto"/>
              <w:ind w:left="180" w:hanging="180"/>
            </w:pPr>
            <w:r>
              <w:t>log-standard deviation of recruitment deviations</w:t>
            </w:r>
          </w:p>
        </w:tc>
        <w:tc>
          <w:tcPr>
            <w:tcW w:w="1968" w:type="dxa"/>
          </w:tcPr>
          <w:p w14:paraId="7C30370B" w14:textId="61D36D45" w:rsidR="00622E11" w:rsidRDefault="00622E11" w:rsidP="005E1C21">
            <w:pPr>
              <w:tabs>
                <w:tab w:val="left" w:pos="360"/>
              </w:tabs>
              <w:spacing w:line="240" w:lineRule="auto"/>
              <w:jc w:val="right"/>
            </w:pPr>
            <w:r>
              <w:t>0.900</w:t>
            </w:r>
          </w:p>
        </w:tc>
        <w:tc>
          <w:tcPr>
            <w:tcW w:w="511" w:type="dxa"/>
          </w:tcPr>
          <w:p w14:paraId="7C4D55F6" w14:textId="77777777" w:rsidR="00622E11" w:rsidRDefault="00622E11" w:rsidP="005E1C21">
            <w:pPr>
              <w:tabs>
                <w:tab w:val="left" w:pos="360"/>
              </w:tabs>
              <w:spacing w:line="240" w:lineRule="auto"/>
              <w:jc w:val="right"/>
            </w:pPr>
          </w:p>
        </w:tc>
        <w:tc>
          <w:tcPr>
            <w:tcW w:w="1959" w:type="dxa"/>
          </w:tcPr>
          <w:p w14:paraId="60BC9356" w14:textId="3F5D5E1F" w:rsidR="00622E11" w:rsidRDefault="00622E11" w:rsidP="001F54A1">
            <w:pPr>
              <w:tabs>
                <w:tab w:val="left" w:pos="360"/>
              </w:tabs>
              <w:spacing w:line="240" w:lineRule="auto"/>
              <w:jc w:val="right"/>
            </w:pPr>
            <w:r>
              <w:t>Fixed</w:t>
            </w:r>
          </w:p>
        </w:tc>
        <w:tc>
          <w:tcPr>
            <w:tcW w:w="1992" w:type="dxa"/>
          </w:tcPr>
          <w:p w14:paraId="3D6D2B46" w14:textId="78D150AE" w:rsidR="00622E11" w:rsidRDefault="00622E11" w:rsidP="005E1C21">
            <w:pPr>
              <w:tabs>
                <w:tab w:val="left" w:pos="360"/>
              </w:tabs>
              <w:spacing w:line="240" w:lineRule="auto"/>
              <w:jc w:val="right"/>
            </w:pPr>
            <w:r>
              <w:t>-</w:t>
            </w:r>
          </w:p>
        </w:tc>
      </w:tr>
      <w:tr w:rsidR="00622E11" w14:paraId="18EA42A0" w14:textId="77777777" w:rsidTr="00622E11">
        <w:tc>
          <w:tcPr>
            <w:tcW w:w="2988" w:type="dxa"/>
          </w:tcPr>
          <w:p w14:paraId="39D61F04" w14:textId="485FC051" w:rsidR="00622E11" w:rsidRDefault="00622E11" w:rsidP="00622E11">
            <w:pPr>
              <w:tabs>
                <w:tab w:val="left" w:pos="360"/>
              </w:tabs>
              <w:spacing w:line="240" w:lineRule="auto"/>
              <w:ind w:left="180" w:hanging="180"/>
            </w:pPr>
            <w:r>
              <w:t xml:space="preserve">Additional variance for accoustic survey index </w:t>
            </w:r>
          </w:p>
        </w:tc>
        <w:tc>
          <w:tcPr>
            <w:tcW w:w="1968" w:type="dxa"/>
          </w:tcPr>
          <w:p w14:paraId="6670AA4D" w14:textId="1C61B34D" w:rsidR="00622E11" w:rsidRDefault="00622E11" w:rsidP="005E1C21">
            <w:pPr>
              <w:tabs>
                <w:tab w:val="left" w:pos="360"/>
              </w:tabs>
              <w:spacing w:line="240" w:lineRule="auto"/>
              <w:jc w:val="right"/>
            </w:pPr>
            <w:r>
              <w:t>0.313</w:t>
            </w:r>
          </w:p>
        </w:tc>
        <w:tc>
          <w:tcPr>
            <w:tcW w:w="511" w:type="dxa"/>
          </w:tcPr>
          <w:p w14:paraId="7E899894" w14:textId="77777777" w:rsidR="00622E11" w:rsidRDefault="00622E11" w:rsidP="005E1C21">
            <w:pPr>
              <w:tabs>
                <w:tab w:val="left" w:pos="360"/>
              </w:tabs>
              <w:spacing w:line="240" w:lineRule="auto"/>
              <w:jc w:val="right"/>
            </w:pPr>
          </w:p>
        </w:tc>
        <w:tc>
          <w:tcPr>
            <w:tcW w:w="1959" w:type="dxa"/>
          </w:tcPr>
          <w:p w14:paraId="0B42419D" w14:textId="3DE7BEA5" w:rsidR="00622E11" w:rsidRDefault="00622E11" w:rsidP="005E1C21">
            <w:pPr>
              <w:tabs>
                <w:tab w:val="left" w:pos="360"/>
              </w:tabs>
              <w:spacing w:line="240" w:lineRule="auto"/>
              <w:jc w:val="right"/>
            </w:pPr>
            <w:r>
              <w:t>Estimated</w:t>
            </w:r>
          </w:p>
        </w:tc>
        <w:tc>
          <w:tcPr>
            <w:tcW w:w="1992" w:type="dxa"/>
          </w:tcPr>
          <w:p w14:paraId="07DBDE42" w14:textId="067457CF" w:rsidR="00622E11" w:rsidRDefault="00622E11" w:rsidP="005E1C21">
            <w:pPr>
              <w:tabs>
                <w:tab w:val="left" w:pos="360"/>
              </w:tabs>
              <w:spacing w:line="240" w:lineRule="auto"/>
              <w:jc w:val="right"/>
            </w:pPr>
            <w:r>
              <w:t>1</w:t>
            </w:r>
          </w:p>
        </w:tc>
      </w:tr>
      <w:tr w:rsidR="00622E11" w14:paraId="7B7DAD1F" w14:textId="77777777" w:rsidTr="00622E11">
        <w:tc>
          <w:tcPr>
            <w:tcW w:w="2988" w:type="dxa"/>
          </w:tcPr>
          <w:p w14:paraId="533C17DD" w14:textId="506FC6F9" w:rsidR="00622E11" w:rsidRDefault="00622E11" w:rsidP="00622E11">
            <w:pPr>
              <w:tabs>
                <w:tab w:val="left" w:pos="360"/>
              </w:tabs>
              <w:spacing w:line="240" w:lineRule="auto"/>
              <w:ind w:left="180" w:hanging="180"/>
            </w:pPr>
            <w:r>
              <w:t>Accoustic survey selectivity at age</w:t>
            </w:r>
          </w:p>
        </w:tc>
        <w:tc>
          <w:tcPr>
            <w:tcW w:w="1968" w:type="dxa"/>
          </w:tcPr>
          <w:p w14:paraId="436C6B7A" w14:textId="3F5EED72" w:rsidR="00622E11" w:rsidRDefault="00622E11" w:rsidP="005E1C21">
            <w:pPr>
              <w:tabs>
                <w:tab w:val="left" w:pos="360"/>
              </w:tabs>
              <w:spacing w:line="240" w:lineRule="auto"/>
              <w:jc w:val="right"/>
            </w:pPr>
            <w:r>
              <w:t>-</w:t>
            </w:r>
          </w:p>
        </w:tc>
        <w:tc>
          <w:tcPr>
            <w:tcW w:w="511" w:type="dxa"/>
          </w:tcPr>
          <w:p w14:paraId="063854CF" w14:textId="77777777" w:rsidR="00622E11" w:rsidRDefault="00622E11" w:rsidP="005E1C21">
            <w:pPr>
              <w:tabs>
                <w:tab w:val="left" w:pos="360"/>
              </w:tabs>
              <w:spacing w:line="240" w:lineRule="auto"/>
              <w:jc w:val="right"/>
            </w:pPr>
          </w:p>
        </w:tc>
        <w:tc>
          <w:tcPr>
            <w:tcW w:w="1959" w:type="dxa"/>
          </w:tcPr>
          <w:p w14:paraId="3163FA44" w14:textId="7FAF6165" w:rsidR="00622E11" w:rsidRDefault="00622E11" w:rsidP="005E1C21">
            <w:pPr>
              <w:tabs>
                <w:tab w:val="left" w:pos="360"/>
              </w:tabs>
              <w:spacing w:line="240" w:lineRule="auto"/>
              <w:jc w:val="right"/>
            </w:pPr>
            <w:r>
              <w:t>Estimated</w:t>
            </w:r>
          </w:p>
        </w:tc>
        <w:tc>
          <w:tcPr>
            <w:tcW w:w="1992" w:type="dxa"/>
          </w:tcPr>
          <w:p w14:paraId="6384DF76" w14:textId="5AD70941" w:rsidR="00622E11" w:rsidRDefault="00622E11" w:rsidP="005E1C21">
            <w:pPr>
              <w:tabs>
                <w:tab w:val="left" w:pos="360"/>
              </w:tabs>
              <w:spacing w:line="240" w:lineRule="auto"/>
              <w:jc w:val="right"/>
            </w:pPr>
            <w:r>
              <w:t>4</w:t>
            </w:r>
          </w:p>
        </w:tc>
      </w:tr>
      <w:tr w:rsidR="00622E11" w14:paraId="6F5DC7D7" w14:textId="77777777" w:rsidTr="00622E11">
        <w:tc>
          <w:tcPr>
            <w:tcW w:w="2988" w:type="dxa"/>
          </w:tcPr>
          <w:p w14:paraId="1F6776C0" w14:textId="53DA4029" w:rsidR="00622E11" w:rsidRDefault="00622E11" w:rsidP="00622E11">
            <w:pPr>
              <w:tabs>
                <w:tab w:val="left" w:pos="360"/>
              </w:tabs>
              <w:spacing w:line="240" w:lineRule="auto"/>
              <w:ind w:left="180" w:hanging="180"/>
            </w:pPr>
            <w:r>
              <w:t>Fishery selectivity at age</w:t>
            </w:r>
          </w:p>
        </w:tc>
        <w:tc>
          <w:tcPr>
            <w:tcW w:w="1968" w:type="dxa"/>
          </w:tcPr>
          <w:p w14:paraId="5F435A39" w14:textId="3DF77AF9" w:rsidR="00622E11" w:rsidRDefault="00622E11" w:rsidP="005E1C21">
            <w:pPr>
              <w:tabs>
                <w:tab w:val="left" w:pos="360"/>
              </w:tabs>
              <w:spacing w:line="240" w:lineRule="auto"/>
              <w:jc w:val="right"/>
            </w:pPr>
            <w:r>
              <w:t>-</w:t>
            </w:r>
          </w:p>
        </w:tc>
        <w:tc>
          <w:tcPr>
            <w:tcW w:w="511" w:type="dxa"/>
          </w:tcPr>
          <w:p w14:paraId="1B0C90BB" w14:textId="77777777" w:rsidR="00622E11" w:rsidRDefault="00622E11" w:rsidP="005E1C21">
            <w:pPr>
              <w:tabs>
                <w:tab w:val="left" w:pos="360"/>
              </w:tabs>
              <w:spacing w:line="240" w:lineRule="auto"/>
              <w:jc w:val="right"/>
            </w:pPr>
          </w:p>
        </w:tc>
        <w:tc>
          <w:tcPr>
            <w:tcW w:w="1959" w:type="dxa"/>
          </w:tcPr>
          <w:p w14:paraId="35E91892" w14:textId="3A1A3914" w:rsidR="00622E11" w:rsidRDefault="00622E11" w:rsidP="005E1C21">
            <w:pPr>
              <w:tabs>
                <w:tab w:val="left" w:pos="360"/>
              </w:tabs>
              <w:spacing w:line="240" w:lineRule="auto"/>
              <w:jc w:val="right"/>
            </w:pPr>
            <w:r>
              <w:t>Estimated</w:t>
            </w:r>
          </w:p>
        </w:tc>
        <w:tc>
          <w:tcPr>
            <w:tcW w:w="1992" w:type="dxa"/>
          </w:tcPr>
          <w:p w14:paraId="4A60670A" w14:textId="2D02DAD7" w:rsidR="00622E11" w:rsidRDefault="00622E11" w:rsidP="005E1C21">
            <w:pPr>
              <w:tabs>
                <w:tab w:val="left" w:pos="360"/>
              </w:tabs>
              <w:spacing w:line="240" w:lineRule="auto"/>
              <w:jc w:val="right"/>
            </w:pPr>
            <w:r>
              <w:t>5</w:t>
            </w:r>
          </w:p>
        </w:tc>
      </w:tr>
      <w:tr w:rsidR="00622E11" w14:paraId="423E320F" w14:textId="77777777" w:rsidTr="00622E11">
        <w:tc>
          <w:tcPr>
            <w:tcW w:w="2988" w:type="dxa"/>
          </w:tcPr>
          <w:p w14:paraId="7BC881CE" w14:textId="789E86E2" w:rsidR="00622E11" w:rsidRDefault="00622E11" w:rsidP="00622E11">
            <w:pPr>
              <w:tabs>
                <w:tab w:val="left" w:pos="360"/>
              </w:tabs>
              <w:spacing w:line="240" w:lineRule="auto"/>
              <w:ind w:left="180" w:hanging="180"/>
            </w:pPr>
            <w:r>
              <w:t>Recruitment deviations</w:t>
            </w:r>
          </w:p>
        </w:tc>
        <w:tc>
          <w:tcPr>
            <w:tcW w:w="1968" w:type="dxa"/>
          </w:tcPr>
          <w:p w14:paraId="5628C208" w14:textId="74A99511" w:rsidR="00622E11" w:rsidRDefault="00622E11" w:rsidP="005E1C21">
            <w:pPr>
              <w:tabs>
                <w:tab w:val="left" w:pos="360"/>
              </w:tabs>
              <w:spacing w:line="240" w:lineRule="auto"/>
              <w:jc w:val="right"/>
            </w:pPr>
            <w:r>
              <w:t>-</w:t>
            </w:r>
          </w:p>
        </w:tc>
        <w:tc>
          <w:tcPr>
            <w:tcW w:w="511" w:type="dxa"/>
          </w:tcPr>
          <w:p w14:paraId="785F893E" w14:textId="77777777" w:rsidR="00622E11" w:rsidRDefault="00622E11" w:rsidP="005E1C21">
            <w:pPr>
              <w:tabs>
                <w:tab w:val="left" w:pos="360"/>
              </w:tabs>
              <w:spacing w:line="240" w:lineRule="auto"/>
              <w:jc w:val="right"/>
            </w:pPr>
          </w:p>
        </w:tc>
        <w:tc>
          <w:tcPr>
            <w:tcW w:w="1959" w:type="dxa"/>
          </w:tcPr>
          <w:p w14:paraId="74A89308" w14:textId="4C190EF4" w:rsidR="00622E11" w:rsidRDefault="00622E11" w:rsidP="005E1C21">
            <w:pPr>
              <w:tabs>
                <w:tab w:val="left" w:pos="360"/>
              </w:tabs>
              <w:spacing w:line="240" w:lineRule="auto"/>
              <w:jc w:val="right"/>
            </w:pPr>
            <w:r>
              <w:t>Estimated</w:t>
            </w:r>
          </w:p>
        </w:tc>
        <w:tc>
          <w:tcPr>
            <w:tcW w:w="1992" w:type="dxa"/>
          </w:tcPr>
          <w:p w14:paraId="021D89DA" w14:textId="35E9B166" w:rsidR="00622E11" w:rsidRDefault="00622E11" w:rsidP="005E1C21">
            <w:pPr>
              <w:tabs>
                <w:tab w:val="left" w:pos="360"/>
              </w:tabs>
              <w:spacing w:line="240" w:lineRule="auto"/>
              <w:jc w:val="right"/>
            </w:pPr>
            <w:r>
              <w:t>72</w:t>
            </w:r>
          </w:p>
        </w:tc>
      </w:tr>
      <w:tr w:rsidR="00622E11" w14:paraId="3648EF96" w14:textId="77777777" w:rsidTr="00622E11">
        <w:tc>
          <w:tcPr>
            <w:tcW w:w="2988" w:type="dxa"/>
          </w:tcPr>
          <w:p w14:paraId="39835437" w14:textId="59C182E9" w:rsidR="00622E11" w:rsidRDefault="00877A4E" w:rsidP="00877A4E">
            <w:pPr>
              <w:tabs>
                <w:tab w:val="left" w:pos="360"/>
              </w:tabs>
              <w:spacing w:line="240" w:lineRule="auto"/>
              <w:ind w:left="180" w:hanging="180"/>
            </w:pPr>
            <w:r>
              <w:t>Instantaneous f</w:t>
            </w:r>
            <w:r w:rsidR="00622E11">
              <w:t>ishing mortality rates</w:t>
            </w:r>
          </w:p>
        </w:tc>
        <w:tc>
          <w:tcPr>
            <w:tcW w:w="1968" w:type="dxa"/>
          </w:tcPr>
          <w:p w14:paraId="7E42A51B" w14:textId="2C76EC1B" w:rsidR="00622E11" w:rsidRDefault="00622E11" w:rsidP="005E1C21">
            <w:pPr>
              <w:tabs>
                <w:tab w:val="left" w:pos="360"/>
              </w:tabs>
              <w:spacing w:line="240" w:lineRule="auto"/>
              <w:jc w:val="right"/>
            </w:pPr>
            <w:r>
              <w:t>-</w:t>
            </w:r>
          </w:p>
        </w:tc>
        <w:tc>
          <w:tcPr>
            <w:tcW w:w="511" w:type="dxa"/>
          </w:tcPr>
          <w:p w14:paraId="039EA1BC" w14:textId="77777777" w:rsidR="00622E11" w:rsidRDefault="00622E11" w:rsidP="005E1C21">
            <w:pPr>
              <w:tabs>
                <w:tab w:val="left" w:pos="360"/>
              </w:tabs>
              <w:spacing w:line="240" w:lineRule="auto"/>
              <w:jc w:val="right"/>
            </w:pPr>
          </w:p>
        </w:tc>
        <w:tc>
          <w:tcPr>
            <w:tcW w:w="1959" w:type="dxa"/>
          </w:tcPr>
          <w:p w14:paraId="5DC508EC" w14:textId="0421113A" w:rsidR="00622E11" w:rsidRDefault="00622E11" w:rsidP="005E1C21">
            <w:pPr>
              <w:tabs>
                <w:tab w:val="left" w:pos="360"/>
              </w:tabs>
              <w:spacing w:line="240" w:lineRule="auto"/>
              <w:jc w:val="right"/>
            </w:pPr>
            <w:r>
              <w:t>Estimated</w:t>
            </w:r>
          </w:p>
        </w:tc>
        <w:tc>
          <w:tcPr>
            <w:tcW w:w="1992" w:type="dxa"/>
          </w:tcPr>
          <w:p w14:paraId="6AF43959" w14:textId="6097BDE5" w:rsidR="00622E11" w:rsidRDefault="00622E11" w:rsidP="005E1C21">
            <w:pPr>
              <w:tabs>
                <w:tab w:val="left" w:pos="360"/>
              </w:tabs>
              <w:spacing w:line="240" w:lineRule="auto"/>
              <w:jc w:val="right"/>
            </w:pPr>
            <w:r>
              <w:t>49</w:t>
            </w:r>
          </w:p>
        </w:tc>
      </w:tr>
    </w:tbl>
    <w:p w14:paraId="77B39693" w14:textId="77777777" w:rsidR="006B3596" w:rsidRDefault="006B3596" w:rsidP="00F92AD3">
      <w:pPr>
        <w:tabs>
          <w:tab w:val="left" w:pos="360"/>
        </w:tabs>
      </w:pPr>
    </w:p>
    <w:p w14:paraId="3FA4799E" w14:textId="77777777" w:rsidR="00BF4A5F" w:rsidRDefault="00BF4A5F">
      <w:pPr>
        <w:spacing w:after="200" w:line="276" w:lineRule="auto"/>
      </w:pPr>
      <w:r>
        <w:br w:type="page"/>
      </w:r>
    </w:p>
    <w:p w14:paraId="43814A11" w14:textId="5DE427E6" w:rsidR="008A451C" w:rsidRDefault="008A451C" w:rsidP="00BF4A5F">
      <w:pPr>
        <w:tabs>
          <w:tab w:val="left" w:pos="360"/>
        </w:tabs>
        <w:spacing w:after="200"/>
      </w:pPr>
      <w:r>
        <w:rPr>
          <w:b/>
          <w:noProof/>
        </w:rPr>
        <w:lastRenderedPageBreak/>
        <w:drawing>
          <wp:inline distT="0" distB="0" distL="0" distR="0" wp14:anchorId="14DB91FA" wp14:editId="467BDB1E">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F0C7468" w14:textId="1B1F9669" w:rsidR="00BF4A5F" w:rsidRPr="004F2BAA" w:rsidRDefault="00BF4A5F" w:rsidP="00BF4A5F">
      <w:pPr>
        <w:tabs>
          <w:tab w:val="left" w:pos="360"/>
        </w:tabs>
        <w:spacing w:after="200"/>
      </w:pPr>
      <w:r w:rsidRPr="004F2BAA">
        <w:t>Fig. 1</w:t>
      </w:r>
      <w:r>
        <w:t>.</w:t>
      </w:r>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w:t>
      </w:r>
      <w:r w:rsidR="005B0E9E">
        <w:t>m</w:t>
      </w:r>
      <w:r w:rsidRPr="004F2BAA">
        <w:t>ultinomial distribution across varying values for the D</w:t>
      </w:r>
      <w:r w:rsidR="00684973">
        <w:t>irichlet-multinomial</w:t>
      </w:r>
      <w:r w:rsidRPr="004F2BAA">
        <w:t xml:space="preserve"> parameter specific to each parameterization.</w:t>
      </w:r>
      <w:r>
        <w:t xml:space="preserve"> The dashed line represents the 1:1 line where input sample size is the same as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14:paraId="58672E93" w14:textId="77777777" w:rsidR="00FB6572" w:rsidRDefault="00FB6572" w:rsidP="00F92AD3">
      <w:pPr>
        <w:tabs>
          <w:tab w:val="left" w:pos="360"/>
        </w:tabs>
        <w:spacing w:after="200"/>
        <w:rPr>
          <w:b/>
        </w:rPr>
      </w:pPr>
      <w:r>
        <w:rPr>
          <w:b/>
        </w:rPr>
        <w:br w:type="page"/>
      </w:r>
    </w:p>
    <w:p w14:paraId="5A875E56" w14:textId="6C6ACD4C" w:rsidR="008A451C" w:rsidRDefault="00654D33" w:rsidP="00F92AD3">
      <w:pPr>
        <w:tabs>
          <w:tab w:val="left" w:pos="360"/>
        </w:tabs>
      </w:pPr>
      <w:r>
        <w:rPr>
          <w:noProof/>
        </w:rPr>
        <w:lastRenderedPageBreak/>
        <w:drawing>
          <wp:inline distT="0" distB="0" distL="0" distR="0" wp14:anchorId="36E68406" wp14:editId="2D38859E">
            <wp:extent cx="3657600" cy="5486400"/>
            <wp:effectExtent l="0" t="0" r="0" b="0"/>
            <wp:docPr id="2" name="Picture 2" descr="C:\Users\James.Thorson\Desktop\UW Hideaway\Collaborations\2015 -- Dirichlet-Multinomial\hake from rick\V3.3_2015-09-29\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UW Hideaway\Collaborations\2015 -- Dirichlet-Multinomial\hake from rick\V3.3_2015-09-29\Comparison_with_ha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0972A495" w14:textId="1AB8DC6D" w:rsidR="00BF4A5F" w:rsidRDefault="00BF4A5F" w:rsidP="00F92AD3">
      <w:pPr>
        <w:tabs>
          <w:tab w:val="left" w:pos="360"/>
        </w:tabs>
      </w:pPr>
      <w:r w:rsidRPr="006B3596">
        <w:t>Fig. 2</w:t>
      </w:r>
      <w:r>
        <w:t>.</w:t>
      </w:r>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w:t>
      </w:r>
      <w:r w:rsidR="00BA23AD">
        <w:t>exploitation fraction</w:t>
      </w:r>
      <w:r>
        <w:t xml:space="preserve"> (</w:t>
      </w:r>
      <w:r w:rsidR="00BA23AD">
        <w:t xml:space="preserve">catch divided by estimated biomass </w:t>
      </w:r>
      <w:r w:rsidR="00D30A45">
        <w:t>for individuals aged</w:t>
      </w:r>
      <w:r w:rsidR="00BA23AD">
        <w:t xml:space="preserve"> 3 and older;</w:t>
      </w:r>
      <w:r>
        <w:t xml:space="preserve"> </w:t>
      </w:r>
      <w:r w:rsidR="00060426">
        <w:t>bottom</w:t>
      </w:r>
      <w:r>
        <w:t>) for the Pacific hake assessment given four alternative methods of weighting the age-composition data: (i) unweighted (red), (ii) tuned (green); (iii) Dirichlet-</w:t>
      </w:r>
      <w:r w:rsidR="005B0E9E">
        <w:t>m</w:t>
      </w:r>
      <w:r>
        <w:t>ultinomial distribution (blue); and (iv) weight of zero for the age-composition data (black)</w:t>
      </w:r>
      <w:r w:rsidR="009A3FF6">
        <w:t xml:space="preserve">, where for each </w:t>
      </w:r>
      <w:r w:rsidR="00060426">
        <w:t>model</w:t>
      </w:r>
      <w:r w:rsidR="009A3FF6">
        <w:t xml:space="preserve"> we show the maximum likelihood estimates (solid line) and +/- 1 standard error (shaded region)</w:t>
      </w:r>
      <w:r>
        <w:t xml:space="preserve">.  </w:t>
      </w:r>
    </w:p>
    <w:p w14:paraId="14ADB318" w14:textId="2CC11D75" w:rsidR="00BF4A5F" w:rsidRDefault="00BF4A5F" w:rsidP="008A451C">
      <w:pPr>
        <w:tabs>
          <w:tab w:val="left" w:pos="360"/>
        </w:tabs>
      </w:pPr>
      <w:r w:rsidRPr="00BF4A5F">
        <w:lastRenderedPageBreak/>
        <w:t xml:space="preserve"> </w:t>
      </w:r>
    </w:p>
    <w:p w14:paraId="08A33528" w14:textId="1CC1CC1A" w:rsidR="008A451C" w:rsidRDefault="00953E8C" w:rsidP="00F92AD3">
      <w:pPr>
        <w:tabs>
          <w:tab w:val="left" w:pos="360"/>
        </w:tabs>
      </w:pPr>
      <w:r>
        <w:pict w14:anchorId="51BFC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in">
            <v:imagedata r:id="rId9" o:title="Combined_simulation_results"/>
          </v:shape>
        </w:pict>
      </w:r>
    </w:p>
    <w:p w14:paraId="24C206C0" w14:textId="5C4F3EF7" w:rsidR="00BF4A5F" w:rsidRDefault="00BF4A5F" w:rsidP="008A451C">
      <w:pPr>
        <w:tabs>
          <w:tab w:val="left" w:pos="360"/>
        </w:tabs>
      </w:pPr>
      <w:r>
        <w:t xml:space="preserve">Fig. 3. Estimated </w:t>
      </w:r>
      <w:r w:rsidR="00895C88">
        <w:t xml:space="preserve">Dirichlet-multinomial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w:t>
      </w:r>
      <w:r w:rsidR="007209DE">
        <w:rPr>
          <w:rFonts w:eastAsiaTheme="minorEastAsia"/>
        </w:rPr>
        <w:t>parameterization</w:t>
      </w:r>
      <w:r w:rsidR="00085D41">
        <w:rPr>
          <w:rFonts w:eastAsiaTheme="minorEastAsia"/>
        </w:rPr>
        <w:t xml:space="preserve">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Dirichlet-Multinomial distribution implemented in Stock Synthesis </w:t>
      </w:r>
      <w:r w:rsidR="00895C88">
        <w:rPr>
          <w:rFonts w:eastAsiaTheme="minorEastAsia"/>
        </w:rPr>
        <w:t>shown for three “true sample sizes” (representing an increase in available information from 25</w:t>
      </w:r>
      <w:r w:rsidR="007209DE">
        <w:rPr>
          <w:rFonts w:eastAsiaTheme="minorEastAsia"/>
        </w:rPr>
        <w:t>, 100,</w:t>
      </w:r>
      <w:r w:rsidR="00895C88">
        <w:rPr>
          <w:rFonts w:eastAsiaTheme="minorEastAsia"/>
        </w:rPr>
        <w:t xml:space="preserve"> to 400 true samples per year) and three levels of variance inflation (wherein the input sample size provided to Stock Synth</w:t>
      </w:r>
      <w:r w:rsidR="00D84CB5">
        <w:rPr>
          <w:rFonts w:eastAsiaTheme="minorEastAsia"/>
        </w:rPr>
        <w:t>e</w:t>
      </w:r>
      <w:r w:rsidR="00895C88">
        <w:rPr>
          <w:rFonts w:eastAsiaTheme="minorEastAsia"/>
        </w:rPr>
        <w:t>sis is 25, 100, or 1000 the true sample size)</w:t>
      </w:r>
      <w:r>
        <w:rPr>
          <w:rFonts w:eastAsiaTheme="minorEastAsia"/>
        </w:rPr>
        <w:t>.</w:t>
      </w:r>
      <w:r>
        <w:br w:type="page"/>
      </w:r>
    </w:p>
    <w:p w14:paraId="0C4F031E" w14:textId="6CF150C1" w:rsidR="008A451C" w:rsidRDefault="008A451C" w:rsidP="00BF4A5F">
      <w:pPr>
        <w:tabs>
          <w:tab w:val="left" w:pos="360"/>
        </w:tabs>
      </w:pPr>
      <w:r>
        <w:rPr>
          <w:rFonts w:eastAsiaTheme="minorEastAsia"/>
          <w:noProof/>
        </w:rPr>
        <w:lastRenderedPageBreak/>
        <w:drawing>
          <wp:inline distT="0" distB="0" distL="0" distR="0" wp14:anchorId="4DE0F5EF" wp14:editId="7501B97C">
            <wp:extent cx="5943600" cy="4448175"/>
            <wp:effectExtent l="0" t="0" r="0" b="9525"/>
            <wp:docPr id="1" name="Picture 1" descr="C:\Users\kelli\AppData\Local\Microsoft\Windows\INetCache\Content.Word\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i\AppData\Local\Microsoft\Windows\INetCache\Content.Word\R0andM_inf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15DDFA6F" w14:textId="219A1868" w:rsidR="006B3596" w:rsidRPr="00582FDA" w:rsidRDefault="00BF4A5F" w:rsidP="00BF4A5F">
      <w:pPr>
        <w:tabs>
          <w:tab w:val="left" w:pos="360"/>
        </w:tabs>
        <w:rPr>
          <w:b/>
        </w:rPr>
      </w:pPr>
      <w:r>
        <w:t xml:space="preserve">Fig. 4. Relative error in </w:t>
      </w:r>
      <w:r w:rsidR="00DA18D8">
        <w:t xml:space="preserve">parameter </w:t>
      </w:r>
      <w:r>
        <w:t xml:space="preserve">estimates </w:t>
      </w:r>
      <w:r>
        <w:rPr>
          <w:rFonts w:eastAsiaTheme="minorEastAsia"/>
        </w:rPr>
        <w:t xml:space="preserve">across estimation methods (rows; </w:t>
      </w:r>
      <w:r w:rsidR="00A52A64">
        <w:rPr>
          <w:rFonts w:eastAsiaTheme="minorEastAsia"/>
        </w:rPr>
        <w:t>”</w:t>
      </w:r>
      <w:r w:rsidR="00DA18D8">
        <w:rPr>
          <w:rFonts w:eastAsiaTheme="minorEastAsia"/>
        </w:rPr>
        <w:t xml:space="preserve"> </w:t>
      </w:r>
      <w:r w:rsidR="00A52A64">
        <w:rPr>
          <w:rFonts w:eastAsiaTheme="minorEastAsia"/>
        </w:rPr>
        <w:t>tuned”:</w:t>
      </w:r>
      <w:r w:rsidR="00DA18D8">
        <w:rPr>
          <w:rFonts w:eastAsiaTheme="minorEastAsia"/>
        </w:rPr>
        <w:t xml:space="preserve"> using the </w:t>
      </w:r>
      <w:r w:rsidR="00A52A64">
        <w:rPr>
          <w:rFonts w:eastAsiaTheme="minorEastAsia"/>
        </w:rPr>
        <w:t>ratio estimator of the harmonic mean to input sample size</w:t>
      </w:r>
      <w:r w:rsidR="00DA18D8">
        <w:rPr>
          <w:rFonts w:eastAsiaTheme="minorEastAsia"/>
        </w:rPr>
        <w:t xml:space="preserve">; “unweighted”: conventional </w:t>
      </w:r>
      <w:r>
        <w:rPr>
          <w:rFonts w:eastAsiaTheme="minorEastAsia"/>
        </w:rPr>
        <w:t>multinomial</w:t>
      </w:r>
      <w:r w:rsidR="00DA18D8">
        <w:rPr>
          <w:rFonts w:eastAsiaTheme="minorEastAsia"/>
        </w:rPr>
        <w:t xml:space="preserve"> treating input as effective sample size; “DM”: linear-parameterization of the Dirichlet-m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r w:rsidR="00DA18D8">
        <w:rPr>
          <w:rFonts w:eastAsiaTheme="minorEastAsia"/>
          <w:i/>
        </w:rPr>
        <w:t>ln(R</w:t>
      </w:r>
      <w:r w:rsidR="00684973">
        <w:rPr>
          <w:rFonts w:eastAsiaTheme="minorEastAsia"/>
          <w:i/>
        </w:rPr>
        <w:t>_</w:t>
      </w:r>
      <w:r w:rsidR="00DA18D8">
        <w:rPr>
          <w:rFonts w:eastAsiaTheme="minorEastAsia"/>
          <w:i/>
        </w:rPr>
        <w:t>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w:t>
      </w:r>
      <w:r w:rsidR="00D84CB5">
        <w:rPr>
          <w:rFonts w:eastAsiaTheme="minorEastAsia"/>
        </w:rPr>
        <w:t>n</w:t>
      </w:r>
      <w:r w:rsidR="00B06D64">
        <w:rPr>
          <w:rFonts w:eastAsiaTheme="minorEastAsia"/>
        </w:rPr>
        <w:t xml:space="preserve">verged for each of three estimation models), and confirm that results are qualitatively similar if using a different convergence </w:t>
      </w:r>
      <w:r w:rsidR="00B06D64">
        <w:rPr>
          <w:rFonts w:eastAsiaTheme="minorEastAsia"/>
        </w:rPr>
        <w:lastRenderedPageBreak/>
        <w:t>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F443F" w15:done="0"/>
  <w15:commentEx w15:paraId="600DABF1" w15:done="0"/>
  <w15:commentEx w15:paraId="20FA98B2" w15:done="0"/>
  <w15:commentEx w15:paraId="0E4C85CD" w15:done="0"/>
  <w15:commentEx w15:paraId="562FEA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364"/>
    <w:rsid w:val="00003B86"/>
    <w:rsid w:val="00003FEE"/>
    <w:rsid w:val="0000492D"/>
    <w:rsid w:val="000100BA"/>
    <w:rsid w:val="00017F9C"/>
    <w:rsid w:val="00020425"/>
    <w:rsid w:val="000265FC"/>
    <w:rsid w:val="0002787B"/>
    <w:rsid w:val="000328BC"/>
    <w:rsid w:val="00033164"/>
    <w:rsid w:val="000408CE"/>
    <w:rsid w:val="00057203"/>
    <w:rsid w:val="00060426"/>
    <w:rsid w:val="00067474"/>
    <w:rsid w:val="00082D05"/>
    <w:rsid w:val="00085D41"/>
    <w:rsid w:val="000B4A6E"/>
    <w:rsid w:val="000D4DF4"/>
    <w:rsid w:val="000E4E1F"/>
    <w:rsid w:val="001006A9"/>
    <w:rsid w:val="00102071"/>
    <w:rsid w:val="0010250E"/>
    <w:rsid w:val="00102A94"/>
    <w:rsid w:val="00107C78"/>
    <w:rsid w:val="00110C76"/>
    <w:rsid w:val="0011557C"/>
    <w:rsid w:val="00115620"/>
    <w:rsid w:val="001219CC"/>
    <w:rsid w:val="00147CF5"/>
    <w:rsid w:val="00170729"/>
    <w:rsid w:val="00170B6B"/>
    <w:rsid w:val="00175B70"/>
    <w:rsid w:val="001760A3"/>
    <w:rsid w:val="00186B08"/>
    <w:rsid w:val="001A5F52"/>
    <w:rsid w:val="001B1723"/>
    <w:rsid w:val="001B4A6C"/>
    <w:rsid w:val="001B5D85"/>
    <w:rsid w:val="001B6A40"/>
    <w:rsid w:val="001B7477"/>
    <w:rsid w:val="001C14B8"/>
    <w:rsid w:val="001C6217"/>
    <w:rsid w:val="001D00E6"/>
    <w:rsid w:val="001D490A"/>
    <w:rsid w:val="001E4EEC"/>
    <w:rsid w:val="001F3C0B"/>
    <w:rsid w:val="001F54A1"/>
    <w:rsid w:val="001F7856"/>
    <w:rsid w:val="00200C4C"/>
    <w:rsid w:val="00212B29"/>
    <w:rsid w:val="00231530"/>
    <w:rsid w:val="00243708"/>
    <w:rsid w:val="00254650"/>
    <w:rsid w:val="002564DE"/>
    <w:rsid w:val="00280874"/>
    <w:rsid w:val="00286D43"/>
    <w:rsid w:val="00294171"/>
    <w:rsid w:val="002B1A37"/>
    <w:rsid w:val="002B647A"/>
    <w:rsid w:val="002C0392"/>
    <w:rsid w:val="002C30BF"/>
    <w:rsid w:val="002D23B8"/>
    <w:rsid w:val="002F5B94"/>
    <w:rsid w:val="002F6B24"/>
    <w:rsid w:val="0032311B"/>
    <w:rsid w:val="00327277"/>
    <w:rsid w:val="0033424F"/>
    <w:rsid w:val="00335D6C"/>
    <w:rsid w:val="003471A2"/>
    <w:rsid w:val="0036045D"/>
    <w:rsid w:val="00385CA4"/>
    <w:rsid w:val="003972DB"/>
    <w:rsid w:val="003A09D6"/>
    <w:rsid w:val="003A24CC"/>
    <w:rsid w:val="003A63B5"/>
    <w:rsid w:val="003B1A85"/>
    <w:rsid w:val="003B2E2D"/>
    <w:rsid w:val="003C0198"/>
    <w:rsid w:val="003D1BB6"/>
    <w:rsid w:val="003D1C42"/>
    <w:rsid w:val="003E1885"/>
    <w:rsid w:val="003E4E22"/>
    <w:rsid w:val="003E62F3"/>
    <w:rsid w:val="003E7A36"/>
    <w:rsid w:val="003F46C5"/>
    <w:rsid w:val="004012E2"/>
    <w:rsid w:val="00413182"/>
    <w:rsid w:val="0041402F"/>
    <w:rsid w:val="0041622D"/>
    <w:rsid w:val="00421EFF"/>
    <w:rsid w:val="0042256D"/>
    <w:rsid w:val="00433706"/>
    <w:rsid w:val="00436587"/>
    <w:rsid w:val="0044485A"/>
    <w:rsid w:val="004456D1"/>
    <w:rsid w:val="004531C2"/>
    <w:rsid w:val="0046263D"/>
    <w:rsid w:val="00480F2C"/>
    <w:rsid w:val="00490D84"/>
    <w:rsid w:val="00491567"/>
    <w:rsid w:val="00491F03"/>
    <w:rsid w:val="004926EE"/>
    <w:rsid w:val="00495A80"/>
    <w:rsid w:val="004A0E05"/>
    <w:rsid w:val="004A2633"/>
    <w:rsid w:val="004A562A"/>
    <w:rsid w:val="004B1FD7"/>
    <w:rsid w:val="004D08A5"/>
    <w:rsid w:val="004D2437"/>
    <w:rsid w:val="004F2BAA"/>
    <w:rsid w:val="00502EDF"/>
    <w:rsid w:val="00515444"/>
    <w:rsid w:val="00515BB4"/>
    <w:rsid w:val="0052109C"/>
    <w:rsid w:val="00527D55"/>
    <w:rsid w:val="00541BD8"/>
    <w:rsid w:val="005616BD"/>
    <w:rsid w:val="00565741"/>
    <w:rsid w:val="005713EC"/>
    <w:rsid w:val="00574B43"/>
    <w:rsid w:val="0057605D"/>
    <w:rsid w:val="00576611"/>
    <w:rsid w:val="005825DD"/>
    <w:rsid w:val="00582FDA"/>
    <w:rsid w:val="00586E3C"/>
    <w:rsid w:val="0059430C"/>
    <w:rsid w:val="005A2331"/>
    <w:rsid w:val="005B0E9E"/>
    <w:rsid w:val="005C0D3A"/>
    <w:rsid w:val="005D5CA6"/>
    <w:rsid w:val="005E1C21"/>
    <w:rsid w:val="005E73DD"/>
    <w:rsid w:val="00611E8A"/>
    <w:rsid w:val="00622E11"/>
    <w:rsid w:val="00640F68"/>
    <w:rsid w:val="00641550"/>
    <w:rsid w:val="00646471"/>
    <w:rsid w:val="00654D33"/>
    <w:rsid w:val="00656F37"/>
    <w:rsid w:val="00664AC2"/>
    <w:rsid w:val="006722BB"/>
    <w:rsid w:val="00681378"/>
    <w:rsid w:val="00681AFA"/>
    <w:rsid w:val="00684973"/>
    <w:rsid w:val="00697CA9"/>
    <w:rsid w:val="006B1728"/>
    <w:rsid w:val="006B3596"/>
    <w:rsid w:val="006B3F81"/>
    <w:rsid w:val="006C2251"/>
    <w:rsid w:val="006D56A3"/>
    <w:rsid w:val="006F2A1C"/>
    <w:rsid w:val="00701CA2"/>
    <w:rsid w:val="007209DE"/>
    <w:rsid w:val="007259EF"/>
    <w:rsid w:val="00735785"/>
    <w:rsid w:val="007434CF"/>
    <w:rsid w:val="00753ED2"/>
    <w:rsid w:val="00762422"/>
    <w:rsid w:val="007701CB"/>
    <w:rsid w:val="00775103"/>
    <w:rsid w:val="007757D9"/>
    <w:rsid w:val="007979C4"/>
    <w:rsid w:val="007C6DD0"/>
    <w:rsid w:val="007D46AD"/>
    <w:rsid w:val="007D630D"/>
    <w:rsid w:val="007F0DF7"/>
    <w:rsid w:val="007F1504"/>
    <w:rsid w:val="00806A71"/>
    <w:rsid w:val="00824AB9"/>
    <w:rsid w:val="008334E7"/>
    <w:rsid w:val="008369E9"/>
    <w:rsid w:val="00837C4E"/>
    <w:rsid w:val="00841371"/>
    <w:rsid w:val="00845B4D"/>
    <w:rsid w:val="008533BC"/>
    <w:rsid w:val="00877A4E"/>
    <w:rsid w:val="00895C88"/>
    <w:rsid w:val="008A2439"/>
    <w:rsid w:val="008A451C"/>
    <w:rsid w:val="008C537F"/>
    <w:rsid w:val="008D292E"/>
    <w:rsid w:val="008E0B57"/>
    <w:rsid w:val="008E6C1B"/>
    <w:rsid w:val="008E7891"/>
    <w:rsid w:val="008E7A0D"/>
    <w:rsid w:val="008F7C4D"/>
    <w:rsid w:val="00917965"/>
    <w:rsid w:val="0092135A"/>
    <w:rsid w:val="009346B2"/>
    <w:rsid w:val="00953E8C"/>
    <w:rsid w:val="00956D4B"/>
    <w:rsid w:val="00962449"/>
    <w:rsid w:val="0096291C"/>
    <w:rsid w:val="00974727"/>
    <w:rsid w:val="00981777"/>
    <w:rsid w:val="00992E91"/>
    <w:rsid w:val="009A1BEA"/>
    <w:rsid w:val="009A3FF6"/>
    <w:rsid w:val="009E1F20"/>
    <w:rsid w:val="009F4352"/>
    <w:rsid w:val="009F4430"/>
    <w:rsid w:val="00A04D40"/>
    <w:rsid w:val="00A109FE"/>
    <w:rsid w:val="00A15614"/>
    <w:rsid w:val="00A36D5B"/>
    <w:rsid w:val="00A45A12"/>
    <w:rsid w:val="00A45BBB"/>
    <w:rsid w:val="00A46F2B"/>
    <w:rsid w:val="00A52A64"/>
    <w:rsid w:val="00A60CB7"/>
    <w:rsid w:val="00A6187C"/>
    <w:rsid w:val="00A70500"/>
    <w:rsid w:val="00A71194"/>
    <w:rsid w:val="00A90B40"/>
    <w:rsid w:val="00A90C11"/>
    <w:rsid w:val="00AD1BEC"/>
    <w:rsid w:val="00AD4C48"/>
    <w:rsid w:val="00AD7A64"/>
    <w:rsid w:val="00AE19D4"/>
    <w:rsid w:val="00AF4646"/>
    <w:rsid w:val="00B0230E"/>
    <w:rsid w:val="00B06D64"/>
    <w:rsid w:val="00B208BC"/>
    <w:rsid w:val="00B24D1E"/>
    <w:rsid w:val="00B25B32"/>
    <w:rsid w:val="00B278B7"/>
    <w:rsid w:val="00B27D83"/>
    <w:rsid w:val="00B360F9"/>
    <w:rsid w:val="00B44D42"/>
    <w:rsid w:val="00B5376F"/>
    <w:rsid w:val="00B55C57"/>
    <w:rsid w:val="00B6095A"/>
    <w:rsid w:val="00B64A8A"/>
    <w:rsid w:val="00BA23AD"/>
    <w:rsid w:val="00BA6B7A"/>
    <w:rsid w:val="00BB2F84"/>
    <w:rsid w:val="00BC23F1"/>
    <w:rsid w:val="00BD5047"/>
    <w:rsid w:val="00BE0E98"/>
    <w:rsid w:val="00BE3165"/>
    <w:rsid w:val="00BE69C6"/>
    <w:rsid w:val="00BF433E"/>
    <w:rsid w:val="00BF4A5F"/>
    <w:rsid w:val="00C06DF5"/>
    <w:rsid w:val="00C14762"/>
    <w:rsid w:val="00C167CB"/>
    <w:rsid w:val="00C22DFC"/>
    <w:rsid w:val="00C26578"/>
    <w:rsid w:val="00C31932"/>
    <w:rsid w:val="00C4199F"/>
    <w:rsid w:val="00C5474F"/>
    <w:rsid w:val="00C616C4"/>
    <w:rsid w:val="00C80D5A"/>
    <w:rsid w:val="00C92237"/>
    <w:rsid w:val="00C975EE"/>
    <w:rsid w:val="00CA2002"/>
    <w:rsid w:val="00CA2538"/>
    <w:rsid w:val="00CA6A10"/>
    <w:rsid w:val="00CB016C"/>
    <w:rsid w:val="00CC390D"/>
    <w:rsid w:val="00CC47C9"/>
    <w:rsid w:val="00CD42E8"/>
    <w:rsid w:val="00CD4AA7"/>
    <w:rsid w:val="00CE0AF0"/>
    <w:rsid w:val="00CE6831"/>
    <w:rsid w:val="00D30A45"/>
    <w:rsid w:val="00D33D4B"/>
    <w:rsid w:val="00D35ED4"/>
    <w:rsid w:val="00D429A5"/>
    <w:rsid w:val="00D5209A"/>
    <w:rsid w:val="00D64B4D"/>
    <w:rsid w:val="00D64F42"/>
    <w:rsid w:val="00D84CB5"/>
    <w:rsid w:val="00D87F5A"/>
    <w:rsid w:val="00DA18D8"/>
    <w:rsid w:val="00DA2D90"/>
    <w:rsid w:val="00DA494A"/>
    <w:rsid w:val="00DA4FCB"/>
    <w:rsid w:val="00DB545D"/>
    <w:rsid w:val="00DC3DE2"/>
    <w:rsid w:val="00DC5C78"/>
    <w:rsid w:val="00DD6EE3"/>
    <w:rsid w:val="00DE771B"/>
    <w:rsid w:val="00DF5DD8"/>
    <w:rsid w:val="00E03E0A"/>
    <w:rsid w:val="00E11016"/>
    <w:rsid w:val="00E15A57"/>
    <w:rsid w:val="00E20B39"/>
    <w:rsid w:val="00E37568"/>
    <w:rsid w:val="00E42681"/>
    <w:rsid w:val="00E54673"/>
    <w:rsid w:val="00E55AB5"/>
    <w:rsid w:val="00E63264"/>
    <w:rsid w:val="00E67A70"/>
    <w:rsid w:val="00E7225D"/>
    <w:rsid w:val="00E77EC4"/>
    <w:rsid w:val="00E93B67"/>
    <w:rsid w:val="00EB218C"/>
    <w:rsid w:val="00EC7088"/>
    <w:rsid w:val="00EE63B5"/>
    <w:rsid w:val="00F20BF8"/>
    <w:rsid w:val="00F27866"/>
    <w:rsid w:val="00F319A2"/>
    <w:rsid w:val="00F355C8"/>
    <w:rsid w:val="00F36251"/>
    <w:rsid w:val="00F508AB"/>
    <w:rsid w:val="00F67A4D"/>
    <w:rsid w:val="00F70768"/>
    <w:rsid w:val="00F71AA0"/>
    <w:rsid w:val="00F908C6"/>
    <w:rsid w:val="00F92AD3"/>
    <w:rsid w:val="00FA2532"/>
    <w:rsid w:val="00FA5C63"/>
    <w:rsid w:val="00FB6572"/>
    <w:rsid w:val="00FD3433"/>
    <w:rsid w:val="00FD4CDE"/>
    <w:rsid w:val="00FD70D0"/>
    <w:rsid w:val="00FD7998"/>
    <w:rsid w:val="00FE0727"/>
    <w:rsid w:val="00FE3034"/>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82F9B-62E8-44D1-9DE8-1602DAC4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27</Pages>
  <Words>11785</Words>
  <Characters>67175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5</cp:revision>
  <cp:lastPrinted>2015-10-03T14:39:00Z</cp:lastPrinted>
  <dcterms:created xsi:type="dcterms:W3CDTF">2015-10-22T15:38:00Z</dcterms:created>
  <dcterms:modified xsi:type="dcterms:W3CDTF">2015-10-22T16:30:00Z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id="5rUVr3GU"/&gt;&lt;style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