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8B04" w14:textId="77777777" w:rsidR="009010E9" w:rsidRPr="001A5E97" w:rsidRDefault="00CE488D">
      <w:pPr>
        <w:spacing w:before="1800" w:after="360"/>
        <w:jc w:val="center"/>
      </w:pPr>
      <w:r w:rsidRPr="001A5E97">
        <w:rPr>
          <w:b/>
          <w:sz w:val="48"/>
        </w:rPr>
        <w:t>HealthLink</w:t>
      </w:r>
    </w:p>
    <w:p w14:paraId="3865E63B" w14:textId="77777777" w:rsidR="009010E9" w:rsidRPr="001A5E97" w:rsidRDefault="00CE488D">
      <w:pPr>
        <w:spacing w:after="480"/>
        <w:jc w:val="center"/>
      </w:pPr>
      <w:r w:rsidRPr="001A5E97">
        <w:rPr>
          <w:b/>
          <w:sz w:val="32"/>
        </w:rPr>
        <w:t>An Interoperable Patient Referral and Health Information Exchange System</w:t>
      </w:r>
    </w:p>
    <w:p w14:paraId="383E2DBD" w14:textId="77777777" w:rsidR="009010E9" w:rsidRPr="001A5E97" w:rsidRDefault="00CE488D">
      <w:pPr>
        <w:spacing w:after="240"/>
        <w:jc w:val="center"/>
      </w:pPr>
      <w:r w:rsidRPr="001A5E97">
        <w:rPr>
          <w:i/>
        </w:rPr>
        <w:t>Manuscript for a Project Concept Proposal</w:t>
      </w:r>
    </w:p>
    <w:p w14:paraId="446D905D" w14:textId="77777777" w:rsidR="009010E9" w:rsidRPr="001A5E97" w:rsidRDefault="00CE488D">
      <w:pPr>
        <w:spacing w:before="2400"/>
        <w:jc w:val="center"/>
      </w:pPr>
      <w:r w:rsidRPr="001A5E97">
        <w:rPr>
          <w:b/>
          <w:sz w:val="28"/>
        </w:rPr>
        <w:t>Chapters 1 to 3</w:t>
      </w:r>
    </w:p>
    <w:p w14:paraId="3A481E6C" w14:textId="77777777" w:rsidR="009010E9" w:rsidRPr="001A5E97" w:rsidRDefault="00CE488D">
      <w:pPr>
        <w:spacing w:before="480"/>
        <w:jc w:val="center"/>
      </w:pPr>
      <w:r w:rsidRPr="001A5E97">
        <w:t>2026</w:t>
      </w:r>
    </w:p>
    <w:p w14:paraId="7BC3D884" w14:textId="77777777" w:rsidR="009010E9" w:rsidRPr="001A5E97" w:rsidRDefault="00CE488D">
      <w:r w:rsidRPr="001A5E97">
        <w:br w:type="page"/>
      </w:r>
    </w:p>
    <w:p w14:paraId="23564481" w14:textId="77777777" w:rsidR="009010E9" w:rsidRPr="001A5E97" w:rsidRDefault="00CE488D" w:rsidP="001A5E97">
      <w:pPr>
        <w:pStyle w:val="Heading1"/>
        <w:spacing w:before="200" w:after="80"/>
        <w:jc w:val="center"/>
        <w:rPr>
          <w:color w:val="auto"/>
        </w:rPr>
      </w:pPr>
      <w:r w:rsidRPr="001A5E97">
        <w:rPr>
          <w:rFonts w:ascii="Times New Roman" w:eastAsia="Times New Roman" w:hAnsi="Times New Roman"/>
          <w:color w:val="auto"/>
        </w:rPr>
        <w:lastRenderedPageBreak/>
        <w:t>Chapter 1</w:t>
      </w:r>
    </w:p>
    <w:p w14:paraId="3F8EC8C7"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Introduction</w:t>
      </w:r>
    </w:p>
    <w:p w14:paraId="63B951CF"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 xml:space="preserve">Background of </w:t>
      </w:r>
      <w:proofErr w:type="gramStart"/>
      <w:r w:rsidRPr="001A5E97">
        <w:rPr>
          <w:rFonts w:ascii="Times New Roman" w:eastAsia="Times New Roman" w:hAnsi="Times New Roman"/>
          <w:color w:val="auto"/>
        </w:rPr>
        <w:t>the Study</w:t>
      </w:r>
      <w:proofErr w:type="gramEnd"/>
    </w:p>
    <w:p w14:paraId="57845208" w14:textId="77777777" w:rsidR="009010E9" w:rsidRPr="001A5E97" w:rsidRDefault="00CE488D" w:rsidP="001A5E97">
      <w:pPr>
        <w:ind w:firstLine="720"/>
        <w:jc w:val="both"/>
      </w:pPr>
      <w:r w:rsidRPr="001A5E97">
        <w:t xml:space="preserve">Healthcare referrals are intended to connect patients with the appropriate level of care, but the process becomes unsafe and inefficient when providers cannot access the patient's relevant medical history. A clinic or medical institution may be compelled to refer a patient, including a patient who may be at risk, because it cannot verify prior diagnoses, medications, allergies, previous procedures, laboratory findings, imaging results, or other information needed for assessment. The referral may therefore be driven by uncertainty rather than by a clear clinical decision that the receiving facility is the only appropriate setting. For </w:t>
      </w:r>
      <w:proofErr w:type="gramStart"/>
      <w:r w:rsidRPr="001A5E97">
        <w:t>high-risk</w:t>
      </w:r>
      <w:proofErr w:type="gramEnd"/>
      <w:r w:rsidRPr="001A5E97">
        <w:t xml:space="preserve"> or urgent cases, the absence of reliable history can delay triage, lead to repeated tests, and make it more difficult for the receiving provider to act quickly and safely. Health information exchange is intended to address this problem by making authorized clinical information available across organizational boundaries. Evidence from systematic reviews indicates that HIE can improve communication and care coordination and can reduce some duplicative services, although its effects depend on implementation quality, workflow fit, and the maturity of participating organizations (Hersh et al., 2015; Dobrow et al., 2019).</w:t>
      </w:r>
    </w:p>
    <w:p w14:paraId="0A4BE2F6" w14:textId="77777777" w:rsidR="009010E9" w:rsidRPr="001A5E97" w:rsidRDefault="00CE488D" w:rsidP="001A5E97">
      <w:pPr>
        <w:ind w:firstLine="720"/>
        <w:jc w:val="both"/>
      </w:pPr>
      <w:r w:rsidRPr="001A5E97">
        <w:t xml:space="preserve">The local context of Davao City makes this referral problem an important project concern. Davao City is a large and geographically distributed urban center with a population of 1,776,949 recorded in the 2020 Census of Population and Housing and 1,848,947 in the 2024 Census of Population (Philippine Statistics Authority [PSA], 2023, 2025). Residents obtain care from a combination of primary care providers, private clinics, public facilities, hospitals, diagnostic centers, and specialist practices. These organizations may use different information systems, forms, communication channels, and operating procedures. Consequently, a provider may </w:t>
      </w:r>
      <w:proofErr w:type="gramStart"/>
      <w:r w:rsidRPr="001A5E97">
        <w:t>refer</w:t>
      </w:r>
      <w:proofErr w:type="gramEnd"/>
      <w:r w:rsidRPr="001A5E97">
        <w:t xml:space="preserve"> a patient simply because the patient's history is not visible or cannot be trusted across facilities, even when a more complete clinical picture could have supported earlier management or more appropriate triage. Patients may be asked to carry paper records, repeat their history, or undergo tests again, while receiving providers may need to make decisions with incomplete context. This creates a practical need for a local coordination layer that can preserve existing systems while helping authorized providers exchange complete referral and clinical summary information in a consistent manner.</w:t>
      </w:r>
    </w:p>
    <w:p w14:paraId="1C4EB9FB" w14:textId="77777777" w:rsidR="009010E9" w:rsidRPr="001A5E97" w:rsidRDefault="00CE488D" w:rsidP="001A5E97">
      <w:pPr>
        <w:ind w:firstLine="720"/>
        <w:jc w:val="both"/>
      </w:pPr>
      <w:r w:rsidRPr="001A5E97">
        <w:t xml:space="preserve">At the national level, the Philippines has recognized standards and interoperability as important components of digital health development. The Philippine eHealth Strategic Framework and Plan described interoperability as the exchange of health information across geographic and health-sector boundaries through common data structures, terminologies, and messaging standards (Department of Health [DOH], 2014). More recent national health planning also emphasizes the need to strengthen digital systems and information use in health services (DOH, 2023). The emerging Draft Philippine Core FHIR Implementation Guide further demonstrates a national direction toward a common, testable foundation for exchanging clinical </w:t>
      </w:r>
      <w:r w:rsidRPr="001A5E97">
        <w:lastRenderedPageBreak/>
        <w:t xml:space="preserve">and administrative data using HL7 FHIR. The draft guide identifies core resources such as Patient, Practitioner, Organization, Encounter, and Observation and is being developed under the guidance of the DOH and the UP Manila National </w:t>
      </w:r>
      <w:proofErr w:type="spellStart"/>
      <w:r w:rsidRPr="001A5E97">
        <w:t>TeleHealth</w:t>
      </w:r>
      <w:proofErr w:type="spellEnd"/>
      <w:r w:rsidRPr="001A5E97">
        <w:t xml:space="preserve"> Center (UP Manila National </w:t>
      </w:r>
      <w:proofErr w:type="spellStart"/>
      <w:r w:rsidRPr="001A5E97">
        <w:t>TeleHealth</w:t>
      </w:r>
      <w:proofErr w:type="spellEnd"/>
      <w:r w:rsidRPr="001A5E97">
        <w:t xml:space="preserve"> Center &amp; DOH, 2026).</w:t>
      </w:r>
    </w:p>
    <w:p w14:paraId="13419805" w14:textId="77777777" w:rsidR="009010E9" w:rsidRPr="001A5E97" w:rsidRDefault="00CE488D" w:rsidP="001A5E97">
      <w:pPr>
        <w:ind w:firstLine="720"/>
        <w:jc w:val="both"/>
      </w:pPr>
      <w:r w:rsidRPr="001A5E97">
        <w:t>Globally, the movement toward standards-based digital health reflects the need to connect health services rather than simply digitize isolated transactions. The World Health Organization and International Telecommunication Union (WHO &amp; ITU, 2020) describe digital health platforms as shared infrastructure that can support integrated and interoperable national health information systems. WHO also identifies interoperability and data sharing as priorities for digital health because digital solutions must support informed decision-making and coordinated services (WHO, 2025). Within this direction, FHIR is a modern technical standard created by HL7 International for exchanging healthcare information electronically. FHIR represents exchangeable information as reusable resources, uses web-oriented methods such as RESTful APIs, and provides mechanisms for conformance, terminology, security, and auditability (HL7 International, 2023).</w:t>
      </w:r>
    </w:p>
    <w:p w14:paraId="5671B661" w14:textId="77777777" w:rsidR="009010E9" w:rsidRPr="001A5E97" w:rsidRDefault="00CE488D" w:rsidP="001A5E97">
      <w:pPr>
        <w:ind w:firstLine="720"/>
        <w:jc w:val="both"/>
      </w:pPr>
      <w:r w:rsidRPr="001A5E97">
        <w:t>A patient referral is a particularly suitable use case for interoperability because it involves a defined transition of responsibility and information from one provider or facility to another. A useful electronic referral should communicate why the patient is being referred, the urgency of the request, relevant history, current findings, medications, allergies, diagnostic results, and the action requested from the receiving provider. It should also make the referral visible after transmission: the sender should know whether it was received, accepted, returned for more information, scheduled, completed, or closed with a feedback summary. Reviews of electronic referral systems have reported improvements in access to specialist care, referral timeliness, communication quality, information transfer, and integration between health services, while also noting that workflow, adoption, and local sociotechnical conditions influence success (</w:t>
      </w:r>
      <w:proofErr w:type="spellStart"/>
      <w:r w:rsidRPr="001A5E97">
        <w:t>Naseriasl</w:t>
      </w:r>
      <w:proofErr w:type="spellEnd"/>
      <w:r w:rsidRPr="001A5E97">
        <w:t xml:space="preserve"> et al., 2015).</w:t>
      </w:r>
    </w:p>
    <w:p w14:paraId="636E9AC7" w14:textId="77777777" w:rsidR="009010E9" w:rsidRPr="001A5E97" w:rsidRDefault="00CE488D" w:rsidP="001A5E97">
      <w:pPr>
        <w:ind w:firstLine="720"/>
        <w:jc w:val="both"/>
      </w:pPr>
      <w:r w:rsidRPr="001A5E97">
        <w:t xml:space="preserve">The proposed project, HealthLink, is an interoperable patient referral and health information exchange system designed as a middleware and coordination layer among existing </w:t>
      </w:r>
      <w:proofErr w:type="gramStart"/>
      <w:r w:rsidRPr="001A5E97">
        <w:t>hospital</w:t>
      </w:r>
      <w:proofErr w:type="gramEnd"/>
      <w:r w:rsidRPr="001A5E97">
        <w:t xml:space="preserve">, </w:t>
      </w:r>
      <w:proofErr w:type="gramStart"/>
      <w:r w:rsidRPr="001A5E97">
        <w:t>clinic</w:t>
      </w:r>
      <w:proofErr w:type="gramEnd"/>
      <w:r w:rsidRPr="001A5E97">
        <w:t xml:space="preserve">, </w:t>
      </w:r>
      <w:proofErr w:type="gramStart"/>
      <w:r w:rsidRPr="001A5E97">
        <w:t>laboratory</w:t>
      </w:r>
      <w:proofErr w:type="gramEnd"/>
      <w:r w:rsidRPr="001A5E97">
        <w:t>, radiology, and electronic medical record systems. The concept image supplied for this proposal describes a workflow that begins with patient assessment, continues through creation of an electronic referral and attachment of clinical information, routes the referral through a FHIR-based interoperability layer, and ends with receiving-facility action, patient transfer or consultation, and feedback to the referring provider. The platform is therefore not intended to replace every participating system. Instead, it is intended to standardize the information needed for referral exchange, provide an API gateway and data mapping functions, support consent and access control, and maintain status tracking and an audit trail.</w:t>
      </w:r>
    </w:p>
    <w:p w14:paraId="2534A195" w14:textId="77777777" w:rsidR="009010E9" w:rsidRPr="001A5E97" w:rsidRDefault="00CE488D" w:rsidP="001A5E97">
      <w:pPr>
        <w:ind w:firstLine="720"/>
        <w:jc w:val="both"/>
      </w:pPr>
      <w:r w:rsidRPr="001A5E97">
        <w:t xml:space="preserve">The project is grounded in FHIR because a referral platform must communicate across heterogeneous systems while remaining extensible. A FHIR-based design can represent patients, practitioners, organizations, encounters, service requests, clinical observations, diagnostic </w:t>
      </w:r>
      <w:r w:rsidRPr="001A5E97">
        <w:lastRenderedPageBreak/>
        <w:t xml:space="preserve">reports, </w:t>
      </w:r>
      <w:proofErr w:type="gramStart"/>
      <w:r w:rsidRPr="001A5E97">
        <w:t>documents, and</w:t>
      </w:r>
      <w:proofErr w:type="gramEnd"/>
      <w:r w:rsidRPr="001A5E97">
        <w:t xml:space="preserve"> task or workflow information as linked resources. It can also support the use of related standards such as ICD-10 for diagnoses, LOINC for laboratory and clinical observations, and DICOM for medical imaging. The intended benefit is not standards compliance for its own sake; it is the creation of a shared meaning and predictable exchange process so that authorized providers can make decisions using information that is timely, complete, and understandable.</w:t>
      </w:r>
    </w:p>
    <w:p w14:paraId="6F278A12" w14:textId="77777777" w:rsidR="009010E9" w:rsidRPr="001A5E97" w:rsidRDefault="00CE488D" w:rsidP="001A5E97">
      <w:pPr>
        <w:ind w:firstLine="720"/>
        <w:jc w:val="both"/>
      </w:pPr>
      <w:r w:rsidRPr="001A5E97">
        <w:t xml:space="preserve">Despite the international evidence supporting interoperability and electronic referral, a local research gap remains. Much of the published evidence is concentrated in high-income settings and evaluates mature HIE programs, while fewer studies address the design of a standards-based referral exchange for a Philippine city with mixed public and private providers, uneven system capabilities, privacy constraints, and the need to interoperate without replacing existing systems (Dobrow et al., 2019; </w:t>
      </w:r>
      <w:proofErr w:type="spellStart"/>
      <w:r w:rsidRPr="001A5E97">
        <w:t>Torab-Miandoab</w:t>
      </w:r>
      <w:proofErr w:type="spellEnd"/>
      <w:r w:rsidRPr="001A5E97">
        <w:t xml:space="preserve"> et al., 2023). In Davao City, a concept that combines referral workflow, FHIR-based exchange, consent management, status tracking, and feedback within one locally grounded platform can provide a practical basis for reducing information-related referral uncertainty. HealthLink responds to this gap by translating international interoperability principles into a proposed local solution that can help providers make safer referral decisions and can be evaluated by intended users before wider implementation.</w:t>
      </w:r>
    </w:p>
    <w:p w14:paraId="5AE8D68A"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Statement of the Problem</w:t>
      </w:r>
    </w:p>
    <w:p w14:paraId="317B4BAB" w14:textId="77777777" w:rsidR="009010E9" w:rsidRPr="001A5E97" w:rsidRDefault="00CE488D" w:rsidP="001A5E97">
      <w:pPr>
        <w:ind w:firstLine="720"/>
        <w:jc w:val="both"/>
      </w:pPr>
      <w:r w:rsidRPr="001A5E97">
        <w:t xml:space="preserve">Referral coordination among healthcare providers may be slowed by paper-based forms, incomplete clinical summaries, fragmented communication channels, and information systems that cannot exchange data consistently. When a provider cannot access a patient's relevant history, the provider may </w:t>
      </w:r>
      <w:proofErr w:type="gramStart"/>
      <w:r w:rsidRPr="001A5E97">
        <w:t>refer</w:t>
      </w:r>
      <w:proofErr w:type="gramEnd"/>
      <w:r w:rsidRPr="001A5E97">
        <w:t xml:space="preserve"> the patient because of uncertainty about the patient's risk or because the facility cannot safely continue the assessment without prior diagnoses, medications, allergies, laboratory results, or imaging findings. This can delay appropriate triage, contribute to repeated tests or unnecessary transfers, and require receiving providers to make decisions with incomplete context. It can also make it difficult for referring providers to know whether a referral was received or acted upon and for patients to experience continuity of care across facilities. In addition, health data exchange must protect sensitive personal information through lawful access, consent, security controls, and traceable transactions. The proposed study addresses the need for a locally appropriate and FHIR-based design for HealthLink that can support safer, more informed, and trackable referral exchange while respecting existing systems and Philippine privacy requirements.</w:t>
      </w:r>
    </w:p>
    <w:p w14:paraId="6212A94C"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Research Questions</w:t>
      </w:r>
    </w:p>
    <w:p w14:paraId="00F5C213" w14:textId="77777777" w:rsidR="009010E9" w:rsidRPr="001A5E97" w:rsidRDefault="00CE488D" w:rsidP="001A5E97">
      <w:pPr>
        <w:ind w:firstLine="720"/>
        <w:jc w:val="both"/>
      </w:pPr>
      <w:r w:rsidRPr="001A5E97">
        <w:t>This study will be guided by the following general research question:</w:t>
      </w:r>
    </w:p>
    <w:p w14:paraId="6F22F0DF" w14:textId="77777777" w:rsidR="009010E9" w:rsidRPr="001A5E97" w:rsidRDefault="00CE488D" w:rsidP="001A5E97">
      <w:pPr>
        <w:spacing w:after="80"/>
        <w:ind w:left="720" w:hanging="360"/>
        <w:jc w:val="both"/>
      </w:pPr>
      <w:r w:rsidRPr="001A5E97">
        <w:t>General Question: How can HealthLink be designed as a FHIR-based interoperable patient referral and health information exchange system that improves referral coordination among selected healthcare facilities in Davao City?</w:t>
      </w:r>
    </w:p>
    <w:p w14:paraId="2A7F8E08" w14:textId="77777777" w:rsidR="009010E9" w:rsidRPr="001A5E97" w:rsidRDefault="00CE488D" w:rsidP="001A5E97">
      <w:pPr>
        <w:ind w:firstLine="720"/>
        <w:jc w:val="both"/>
      </w:pPr>
      <w:r w:rsidRPr="001A5E97">
        <w:lastRenderedPageBreak/>
        <w:t>Specifically, it seeks to answer the following questions:</w:t>
      </w:r>
    </w:p>
    <w:p w14:paraId="7A788106" w14:textId="77777777" w:rsidR="009010E9" w:rsidRPr="001A5E97" w:rsidRDefault="00CE488D" w:rsidP="001A5E97">
      <w:pPr>
        <w:spacing w:after="80"/>
        <w:ind w:left="720" w:hanging="360"/>
        <w:jc w:val="both"/>
      </w:pPr>
      <w:r w:rsidRPr="001A5E97">
        <w:t>1. What problems, information requirements, and workflow needs are experienced by selected healthcare providers and referral personnel in the current referral process?</w:t>
      </w:r>
    </w:p>
    <w:p w14:paraId="7BFAC540" w14:textId="77777777" w:rsidR="009010E9" w:rsidRPr="001A5E97" w:rsidRDefault="00CE488D" w:rsidP="001A5E97">
      <w:pPr>
        <w:spacing w:after="80"/>
        <w:ind w:left="720" w:hanging="360"/>
        <w:jc w:val="both"/>
      </w:pPr>
      <w:r w:rsidRPr="001A5E97">
        <w:t>2. How can the referral and clinical summary data required by users be represented and exchanged through relevant HL7 FHIR resources and related standards?</w:t>
      </w:r>
    </w:p>
    <w:p w14:paraId="5E6E350A" w14:textId="77777777" w:rsidR="009010E9" w:rsidRPr="001A5E97" w:rsidRDefault="00CE488D" w:rsidP="001A5E97">
      <w:pPr>
        <w:spacing w:after="80"/>
        <w:ind w:left="720" w:hanging="360"/>
        <w:jc w:val="both"/>
      </w:pPr>
      <w:r w:rsidRPr="001A5E97">
        <w:t>3. What system architecture and core features should HealthLink include to support secure exchange, consent and access control, referral status tracking, audit logging, and feedback?</w:t>
      </w:r>
    </w:p>
    <w:p w14:paraId="44F5A629" w14:textId="77777777" w:rsidR="009010E9" w:rsidRPr="001A5E97" w:rsidRDefault="00CE488D" w:rsidP="001A5E97">
      <w:pPr>
        <w:spacing w:after="80"/>
        <w:ind w:left="720" w:hanging="360"/>
        <w:jc w:val="both"/>
      </w:pPr>
      <w:r w:rsidRPr="001A5E97">
        <w:t>4. What is the perceived usability, usefulness, and acceptability of the proposed HealthLink concept or prototype among selected healthcare and administrative users?</w:t>
      </w:r>
    </w:p>
    <w:p w14:paraId="1EF45175"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Research Objectives</w:t>
      </w:r>
    </w:p>
    <w:p w14:paraId="1DE5B1D3" w14:textId="77777777" w:rsidR="009010E9" w:rsidRPr="001A5E97" w:rsidRDefault="00CE488D" w:rsidP="001A5E97">
      <w:pPr>
        <w:ind w:firstLine="720"/>
        <w:jc w:val="both"/>
      </w:pPr>
      <w:r w:rsidRPr="001A5E97">
        <w:t>The general objective of the study is to design and initially evaluate HealthLink as a FHIR-based interoperable patient referral and health information exchange system for selected healthcare facilities in Davao City.</w:t>
      </w:r>
    </w:p>
    <w:p w14:paraId="0FE3A799" w14:textId="77777777" w:rsidR="009010E9" w:rsidRPr="001A5E97" w:rsidRDefault="00CE488D" w:rsidP="001A5E97">
      <w:pPr>
        <w:ind w:firstLine="720"/>
        <w:jc w:val="both"/>
      </w:pPr>
      <w:r w:rsidRPr="001A5E97">
        <w:t>Specifically, the study aims to:</w:t>
      </w:r>
    </w:p>
    <w:p w14:paraId="2BA1580C" w14:textId="77777777" w:rsidR="009010E9" w:rsidRPr="001A5E97" w:rsidRDefault="00CE488D" w:rsidP="001A5E97">
      <w:pPr>
        <w:spacing w:after="80"/>
        <w:ind w:left="720" w:hanging="360"/>
        <w:jc w:val="both"/>
      </w:pPr>
      <w:r w:rsidRPr="001A5E97">
        <w:t>1. Assess the current referral process, coordination difficulties, and data requirements of selected healthcare providers and referral personnel.</w:t>
      </w:r>
    </w:p>
    <w:p w14:paraId="67BB986D" w14:textId="77777777" w:rsidR="009010E9" w:rsidRPr="001A5E97" w:rsidRDefault="00CE488D" w:rsidP="001A5E97">
      <w:pPr>
        <w:spacing w:after="80"/>
        <w:ind w:left="720" w:hanging="360"/>
        <w:jc w:val="both"/>
      </w:pPr>
      <w:r w:rsidRPr="001A5E97">
        <w:t>2. Define a FHIR-aligned referral and clinical summary model using appropriate resources, terminology mappings, and exchange interactions.</w:t>
      </w:r>
    </w:p>
    <w:p w14:paraId="22D38629" w14:textId="77777777" w:rsidR="009010E9" w:rsidRPr="001A5E97" w:rsidRDefault="00CE488D" w:rsidP="001A5E97">
      <w:pPr>
        <w:spacing w:after="80"/>
        <w:ind w:left="720" w:hanging="360"/>
        <w:jc w:val="both"/>
      </w:pPr>
      <w:r w:rsidRPr="001A5E97">
        <w:t>3. Develop a conceptual architecture or functional prototype for HealthLink that includes referral creation, clinical attachments, routing, status tracking, consent and access control, audit logging, and feedback.</w:t>
      </w:r>
    </w:p>
    <w:p w14:paraId="27CE9056" w14:textId="77777777" w:rsidR="009010E9" w:rsidRPr="001A5E97" w:rsidRDefault="00CE488D" w:rsidP="001A5E97">
      <w:pPr>
        <w:spacing w:after="80"/>
        <w:ind w:left="720" w:hanging="360"/>
        <w:jc w:val="both"/>
      </w:pPr>
      <w:r w:rsidRPr="001A5E97">
        <w:t>4. Evaluate the perceived usability, usefulness, and acceptability of the proposed HealthLink concept or prototype among selected healthcare and administrative users.</w:t>
      </w:r>
    </w:p>
    <w:p w14:paraId="3A840AFC"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 xml:space="preserve">Significance of </w:t>
      </w:r>
      <w:proofErr w:type="gramStart"/>
      <w:r w:rsidRPr="001A5E97">
        <w:rPr>
          <w:rFonts w:ascii="Times New Roman" w:eastAsia="Times New Roman" w:hAnsi="Times New Roman"/>
          <w:color w:val="auto"/>
        </w:rPr>
        <w:t>the Study</w:t>
      </w:r>
      <w:proofErr w:type="gramEnd"/>
    </w:p>
    <w:p w14:paraId="76A633EB" w14:textId="77777777" w:rsidR="009010E9" w:rsidRPr="001A5E97" w:rsidRDefault="00CE488D" w:rsidP="001A5E97">
      <w:pPr>
        <w:ind w:firstLine="720"/>
        <w:jc w:val="both"/>
      </w:pPr>
      <w:r w:rsidRPr="001A5E97">
        <w:rPr>
          <w:b/>
        </w:rPr>
        <w:t xml:space="preserve">Patients. </w:t>
      </w:r>
      <w:r w:rsidRPr="001A5E97">
        <w:t>The project may help patients experience fewer delays and less repetition when moving between healthcare providers because relevant referral information and clinical summaries can accompany the referral. It may also improve visibility of the referral process and support continuity of care.</w:t>
      </w:r>
    </w:p>
    <w:p w14:paraId="6122BE6C" w14:textId="77777777" w:rsidR="009010E9" w:rsidRPr="001A5E97" w:rsidRDefault="00CE488D" w:rsidP="001A5E97">
      <w:pPr>
        <w:ind w:firstLine="720"/>
        <w:jc w:val="both"/>
      </w:pPr>
      <w:r w:rsidRPr="001A5E97">
        <w:rPr>
          <w:b/>
        </w:rPr>
        <w:t xml:space="preserve">Healthcare providers. </w:t>
      </w:r>
      <w:r w:rsidRPr="001A5E97">
        <w:t>Physicians, nurses, referral coordinators, medical records staff, and other authorized users may benefit from a structured referral workflow, clearer information requirements, and a common way to track and complete referrals.</w:t>
      </w:r>
    </w:p>
    <w:p w14:paraId="0CF01F69" w14:textId="77777777" w:rsidR="009010E9" w:rsidRPr="001A5E97" w:rsidRDefault="00CE488D" w:rsidP="001A5E97">
      <w:pPr>
        <w:ind w:firstLine="720"/>
        <w:jc w:val="both"/>
      </w:pPr>
      <w:r w:rsidRPr="001A5E97">
        <w:rPr>
          <w:b/>
        </w:rPr>
        <w:t xml:space="preserve">Healthcare facilities and administrators. </w:t>
      </w:r>
      <w:r w:rsidRPr="001A5E97">
        <w:t>Hospitals, clinics, laboratories, and specialty practices may use the proposed architecture as a basis for connecting heterogeneous systems without immediately replacing existing applications. Status data and audit logs may support service monitoring and accountability.</w:t>
      </w:r>
    </w:p>
    <w:p w14:paraId="72F1C161" w14:textId="77777777" w:rsidR="009010E9" w:rsidRPr="001A5E97" w:rsidRDefault="00CE488D" w:rsidP="001A5E97">
      <w:pPr>
        <w:ind w:firstLine="720"/>
        <w:jc w:val="both"/>
      </w:pPr>
      <w:r w:rsidRPr="001A5E97">
        <w:rPr>
          <w:b/>
        </w:rPr>
        <w:lastRenderedPageBreak/>
        <w:t xml:space="preserve">Health information technology and informatics practitioners. </w:t>
      </w:r>
      <w:r w:rsidRPr="001A5E97">
        <w:t>The project provides a local use case for applying HL7 FHIR, terminology mapping, API-based exchange, consent management, and security controls to a referral workflow in a mixed healthcare environment.</w:t>
      </w:r>
    </w:p>
    <w:p w14:paraId="3F9495F5" w14:textId="77777777" w:rsidR="009010E9" w:rsidRPr="001A5E97" w:rsidRDefault="00CE488D" w:rsidP="001A5E97">
      <w:pPr>
        <w:ind w:firstLine="720"/>
        <w:jc w:val="both"/>
      </w:pPr>
      <w:r w:rsidRPr="001A5E97">
        <w:rPr>
          <w:b/>
        </w:rPr>
        <w:t xml:space="preserve">Policy makers and health program planners. </w:t>
      </w:r>
      <w:r w:rsidRPr="001A5E97">
        <w:t>The findings may contribute local evidence for discussions on standards-based interoperability, digital health governance, and alignment with emerging Philippine FHIR implementation guidance.</w:t>
      </w:r>
    </w:p>
    <w:p w14:paraId="4249AB40" w14:textId="77777777" w:rsidR="009010E9" w:rsidRPr="001A5E97" w:rsidRDefault="00CE488D" w:rsidP="001A5E97">
      <w:pPr>
        <w:ind w:firstLine="720"/>
        <w:jc w:val="both"/>
      </w:pPr>
      <w:r w:rsidRPr="001A5E97">
        <w:rPr>
          <w:b/>
        </w:rPr>
        <w:t xml:space="preserve">Future researchers and developers. </w:t>
      </w:r>
      <w:r w:rsidRPr="001A5E97">
        <w:t>The manuscript can serve as a reference for subsequent studies on usability, interoperability conformance, workflow impact, implementation readiness, and patient outcomes in Davao City or other Philippine settings.</w:t>
      </w:r>
    </w:p>
    <w:p w14:paraId="1F3B8886" w14:textId="77777777" w:rsidR="009010E9" w:rsidRPr="001A5E97" w:rsidRDefault="00CE488D" w:rsidP="001A5E97">
      <w:pPr>
        <w:jc w:val="both"/>
      </w:pPr>
      <w:r w:rsidRPr="001A5E97">
        <w:br w:type="page"/>
      </w:r>
    </w:p>
    <w:p w14:paraId="49F14117" w14:textId="77777777" w:rsidR="009010E9" w:rsidRPr="001A5E97" w:rsidRDefault="00CE488D" w:rsidP="001A5E97">
      <w:pPr>
        <w:pStyle w:val="Heading1"/>
        <w:spacing w:before="200" w:after="80"/>
        <w:jc w:val="center"/>
        <w:rPr>
          <w:color w:val="auto"/>
        </w:rPr>
      </w:pPr>
      <w:r w:rsidRPr="001A5E97">
        <w:rPr>
          <w:rFonts w:ascii="Times New Roman" w:eastAsia="Times New Roman" w:hAnsi="Times New Roman"/>
          <w:color w:val="auto"/>
        </w:rPr>
        <w:lastRenderedPageBreak/>
        <w:t>Chapter 2</w:t>
      </w:r>
    </w:p>
    <w:p w14:paraId="475AE2FA"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Review of Related Literature</w:t>
      </w:r>
    </w:p>
    <w:p w14:paraId="04C25F93"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Health Information Exchange and Care Coordination</w:t>
      </w:r>
    </w:p>
    <w:p w14:paraId="2FD93A35" w14:textId="77777777" w:rsidR="009010E9" w:rsidRPr="001A5E97" w:rsidRDefault="00CE488D" w:rsidP="001A5E97">
      <w:pPr>
        <w:ind w:firstLine="720"/>
        <w:jc w:val="both"/>
      </w:pPr>
      <w:r w:rsidRPr="001A5E97">
        <w:t xml:space="preserve">Health information exchange refers to the electronic sharing of health information between organizations that may use different systems, workflows, and accountability structures. Its purpose is to make clinically relevant information available to authorized users at the point of care. HIE is especially important when care is distributed across primary, secondary, and tertiary services, because each transition creates a risk that information will be delayed, lost, duplicated, or misunderstood. </w:t>
      </w:r>
      <w:proofErr w:type="gramStart"/>
      <w:r w:rsidRPr="001A5E97">
        <w:t>The literature</w:t>
      </w:r>
      <w:proofErr w:type="gramEnd"/>
      <w:r w:rsidRPr="001A5E97">
        <w:t xml:space="preserve"> treats HIE as both a technical and organizational intervention: data must be exchanged, but people and organizations must also trust the information, understand their responsibilities, and incorporate the exchange into daily work.</w:t>
      </w:r>
    </w:p>
    <w:p w14:paraId="3B9AD8BF" w14:textId="77777777" w:rsidR="009010E9" w:rsidRPr="001A5E97" w:rsidRDefault="00CE488D" w:rsidP="001A5E97">
      <w:pPr>
        <w:ind w:firstLine="720"/>
        <w:jc w:val="both"/>
      </w:pPr>
      <w:r w:rsidRPr="001A5E97">
        <w:t>A systematic review by Hersh et al. (2015) found generally positive associations between HIE and care coordination, communication, resource use, and public health reporting, while noting that evidence on clinical outcomes and harms was limited. This finding is relevant to HealthLink because the proposed project should initially evaluate process outcomes such as completeness, timeliness, visibility, and perceived coordination rather than claim direct improvement in morbidity or mortality. Similarly, Dobrow et al. (2019) found that interoperability studies reported many positive outcomes but also reflected variation in settings, measures, and implementation quality. These findings support a design that makes workflow requirements and measurable evaluation criteria explicit from the beginning.</w:t>
      </w:r>
    </w:p>
    <w:p w14:paraId="3E79FAE4"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Electronic Referral Systems</w:t>
      </w:r>
    </w:p>
    <w:p w14:paraId="689ADF0F" w14:textId="77777777" w:rsidR="009010E9" w:rsidRPr="001A5E97" w:rsidRDefault="00CE488D" w:rsidP="001A5E97">
      <w:pPr>
        <w:ind w:firstLine="720"/>
        <w:jc w:val="both"/>
      </w:pPr>
      <w:r w:rsidRPr="001A5E97">
        <w:t>Electronic referral systems are designed to improve the movement of patients and referral information between providers. A referral is more than a message: it is a workflow that includes assessment, decision to refer, preparation of clinical information, selection of a receiving service, transmission, triage, scheduling, consultation or admission, and communication of the result back to the referring provider. If the system records only the initial request, it cannot support closed-loop referral management.</w:t>
      </w:r>
    </w:p>
    <w:p w14:paraId="186C2150" w14:textId="77777777" w:rsidR="009010E9" w:rsidRPr="001A5E97" w:rsidRDefault="00CE488D" w:rsidP="001A5E97">
      <w:pPr>
        <w:ind w:firstLine="720"/>
        <w:jc w:val="both"/>
      </w:pPr>
      <w:proofErr w:type="spellStart"/>
      <w:r w:rsidRPr="001A5E97">
        <w:t>Naseriasl</w:t>
      </w:r>
      <w:proofErr w:type="spellEnd"/>
      <w:r w:rsidRPr="001A5E97">
        <w:t xml:space="preserve"> et al. (2015) reviewed electronic referral solutions and identified benefits such as improved access to specialists, reduced waiting time, better referral communication, more accurate information transfer, and integration of health services. The review also emphasized that solutions are often local and shaped by the context in which they operate. For HealthLink, this suggests that the platform should be configurable around Davao City workflows and should be evaluated with users who understand current referral practice. The proposed status model therefore includes creation, routing, receipt, review, acceptance, request for more information, redirection, completion, and feedback.</w:t>
      </w:r>
    </w:p>
    <w:p w14:paraId="0746ABE5"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lastRenderedPageBreak/>
        <w:t>Interoperability in Health Information Systems</w:t>
      </w:r>
    </w:p>
    <w:p w14:paraId="3D3D1BA6" w14:textId="77777777" w:rsidR="009010E9" w:rsidRPr="001A5E97" w:rsidRDefault="00CE488D" w:rsidP="001A5E97">
      <w:pPr>
        <w:ind w:firstLine="720"/>
        <w:jc w:val="both"/>
      </w:pPr>
      <w:r w:rsidRPr="001A5E97">
        <w:t>Interoperability is commonly described in layers. Technical interoperability concerns the ability of systems to connect and exchange messages. Syntactic interoperability concerns whether data follow a shared structure. Semantic interoperability concerns whether systems interpret the exchanged data in the same way. Organizational or process interoperability concerns whether the exchange supports agreed workflows, roles, policies, and governance. A referral platform that solves only the technical connection problem may still fail if the receiving provider cannot interpret the information or if staff do not know what to do after receiving it.</w:t>
      </w:r>
    </w:p>
    <w:p w14:paraId="6C5A96A1" w14:textId="77777777" w:rsidR="009010E9" w:rsidRPr="001A5E97" w:rsidRDefault="00CE488D" w:rsidP="001A5E97">
      <w:pPr>
        <w:ind w:firstLine="720"/>
        <w:jc w:val="both"/>
      </w:pPr>
      <w:r w:rsidRPr="001A5E97">
        <w:t xml:space="preserve">A recent systematic review of heterogeneous health information systems reported that lack of interoperability can reduce care quality and waste </w:t>
      </w:r>
      <w:proofErr w:type="gramStart"/>
      <w:r w:rsidRPr="001A5E97">
        <w:t>resources, and</w:t>
      </w:r>
      <w:proofErr w:type="gramEnd"/>
      <w:r w:rsidRPr="001A5E97">
        <w:t xml:space="preserve"> highlighted the importance of semantic interaction so that systems can recognize and process equivalent information consistently (</w:t>
      </w:r>
      <w:proofErr w:type="spellStart"/>
      <w:r w:rsidRPr="001A5E97">
        <w:t>Torab-Miandoab</w:t>
      </w:r>
      <w:proofErr w:type="spellEnd"/>
      <w:r w:rsidRPr="001A5E97">
        <w:t xml:space="preserve"> et al., 2023). This supports the inclusion of terminology mapping and data validation in HealthLink. The project concept identifies ICD-10, LOINC, and DICOM as complementary standards. These standards are not substitutes for FHIR: they address different aspects of clinical information, while FHIR supplies a structured exchange framework that can reference and carry coded data from these vocabularies and formats.</w:t>
      </w:r>
    </w:p>
    <w:p w14:paraId="6A518AD5"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HL7 FHIR as the Project Framework</w:t>
      </w:r>
    </w:p>
    <w:p w14:paraId="55480065" w14:textId="77777777" w:rsidR="009010E9" w:rsidRPr="001A5E97" w:rsidRDefault="00CE488D" w:rsidP="001A5E97">
      <w:pPr>
        <w:ind w:firstLine="720"/>
        <w:jc w:val="both"/>
      </w:pPr>
      <w:r w:rsidRPr="001A5E97">
        <w:t>HL7 FHIR is a standard for exchanging healthcare information electronically. HL7 International (2023) describes FHIR as a resource-based specification that combines reusable data structures with exchange methods, implementation guidance, conformance rules, terminology support, and security-related resources. FHIR can be used through RESTful APIs, messaging, documents, services, and other exchange approaches. Its resource model allows a system to represent real-world entities and events, link them through references, and constrain them through profiles and implementation guides.</w:t>
      </w:r>
    </w:p>
    <w:p w14:paraId="4643F590" w14:textId="77777777" w:rsidR="009010E9" w:rsidRPr="001A5E97" w:rsidRDefault="00CE488D" w:rsidP="001A5E97">
      <w:pPr>
        <w:ind w:firstLine="720"/>
        <w:jc w:val="both"/>
      </w:pPr>
      <w:r w:rsidRPr="001A5E97">
        <w:t xml:space="preserve">FHIR is relevant to HealthLink because the project must exchange information without requiring all participating facilities to use the same vendor or database. Candidate resources include Patient for identity and demographic data; Practitioner and Organization for participants; Encounter for the care context; ServiceRequest for the requested referral or service; Observation and </w:t>
      </w:r>
      <w:proofErr w:type="spellStart"/>
      <w:r w:rsidRPr="001A5E97">
        <w:t>DiagnosticReport</w:t>
      </w:r>
      <w:proofErr w:type="spellEnd"/>
      <w:r w:rsidRPr="001A5E97">
        <w:t xml:space="preserve"> for clinical and diagnostic information; </w:t>
      </w:r>
      <w:proofErr w:type="spellStart"/>
      <w:r w:rsidRPr="001A5E97">
        <w:t>DocumentReference</w:t>
      </w:r>
      <w:proofErr w:type="spellEnd"/>
      <w:r w:rsidRPr="001A5E97">
        <w:t xml:space="preserve"> for attached summaries; Task for referral workflow; Consent for permission; Provenance and </w:t>
      </w:r>
      <w:proofErr w:type="spellStart"/>
      <w:r w:rsidRPr="001A5E97">
        <w:t>AuditEvent</w:t>
      </w:r>
      <w:proofErr w:type="spellEnd"/>
      <w:r w:rsidRPr="001A5E97">
        <w:t xml:space="preserve"> for traceability; and Communication or </w:t>
      </w:r>
      <w:proofErr w:type="spellStart"/>
      <w:r w:rsidRPr="001A5E97">
        <w:t>CommunicationRequest</w:t>
      </w:r>
      <w:proofErr w:type="spellEnd"/>
      <w:r w:rsidRPr="001A5E97">
        <w:t xml:space="preserve"> for related messages. The exact resource selection should be refined through requirements analysis, but the framework provides a common vocabulary for architecture and testing.</w:t>
      </w:r>
    </w:p>
    <w:p w14:paraId="38306B1B" w14:textId="77777777" w:rsidR="009010E9" w:rsidRPr="001A5E97" w:rsidRDefault="00CE488D" w:rsidP="001A5E97">
      <w:pPr>
        <w:ind w:firstLine="720"/>
        <w:jc w:val="both"/>
      </w:pPr>
      <w:r w:rsidRPr="001A5E97">
        <w:t xml:space="preserve">The emerging Draft Philippine Core FHIR Implementation Guide is particularly relevant to the national and local context. It is intended to define a common, implementable foundation for clinical and administrative exchange in the Philippines and includes profiles, extensions, terminology bindings, and conformance expectations (UP Manila National </w:t>
      </w:r>
      <w:proofErr w:type="spellStart"/>
      <w:r w:rsidRPr="001A5E97">
        <w:t>TeleHealth</w:t>
      </w:r>
      <w:proofErr w:type="spellEnd"/>
      <w:r w:rsidRPr="001A5E97">
        <w:t xml:space="preserve"> Center &amp; DOH, 2026). Because the guide is explicitly identified as in development and not yet available </w:t>
      </w:r>
      <w:r w:rsidRPr="001A5E97">
        <w:lastRenderedPageBreak/>
        <w:t>for public or production use, HealthLink should treat it as an alignment reference rather than a finalized regulatory requirement. This distinction is important for a concept proposal: the system can be designed for standards compatibility while allowing future updates when Philippine implementation guidance matures.</w:t>
      </w:r>
    </w:p>
    <w:p w14:paraId="3489C3D3"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Digital Health Platforms and Architecture</w:t>
      </w:r>
    </w:p>
    <w:p w14:paraId="242A4767" w14:textId="77777777" w:rsidR="009010E9" w:rsidRPr="001A5E97" w:rsidRDefault="00CE488D" w:rsidP="001A5E97">
      <w:pPr>
        <w:ind w:firstLine="720"/>
        <w:jc w:val="both"/>
      </w:pPr>
      <w:r w:rsidRPr="001A5E97">
        <w:t>WHO and ITU (2020) describe digital health platforms as infrastructure that supports integrated digital health services. A platform approach separates shared interoperability services from the applications that collect and use data. This separation can reduce duplication, make common services reusable, and allow individual facilities to retain their specialized systems. The HealthLink concept follows this pattern through a middleware layer that includes an API gateway, FHIR services, data mapping and validation, consent and access control, and audit logging.</w:t>
      </w:r>
    </w:p>
    <w:p w14:paraId="0501F46B" w14:textId="77777777" w:rsidR="009010E9" w:rsidRPr="001A5E97" w:rsidRDefault="00CE488D" w:rsidP="001A5E97">
      <w:pPr>
        <w:ind w:firstLine="720"/>
        <w:jc w:val="both"/>
      </w:pPr>
      <w:r w:rsidRPr="001A5E97">
        <w:t>A platform must also accommodate differences in infrastructure and organizational capacity. The World Health Organization's digital health guidance emphasizes that digital tools should be standards-based, scalable, maintainable, and appropriate to local conditions (WHO, 2025). This suggests that the project should identify minimum technical capabilities, fallback procedures, and user roles rather than assume that every facility has identical connectivity or a fully interoperable electronic medical record. The initial proposal can therefore focus on a pilotable referral exchange with clear boundaries and a roadmap for broader integration.</w:t>
      </w:r>
    </w:p>
    <w:p w14:paraId="370A509D"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Security, Privacy, Consent, and Auditability</w:t>
      </w:r>
    </w:p>
    <w:p w14:paraId="21C3632A" w14:textId="77777777" w:rsidR="009010E9" w:rsidRPr="001A5E97" w:rsidRDefault="00CE488D" w:rsidP="001A5E97">
      <w:pPr>
        <w:ind w:firstLine="720"/>
        <w:jc w:val="both"/>
      </w:pPr>
      <w:r w:rsidRPr="001A5E97">
        <w:t>Health information exchange must balance availability with confidentiality. Philippine law classifies information about an individual's health and current or previous health records as sensitive personal information. The Data Privacy Act of 2012 requires lawful processing and reasonable and appropriate organizational, physical, and technical measures to protect personal information (Republic Act No. 10173, 2012). The National Privacy Commission has also emphasized that health information should be handled with a clear lawful basis, controlled access, and safeguards against unauthorized disclosure (National Privacy Commission, 2018).</w:t>
      </w:r>
    </w:p>
    <w:p w14:paraId="5FC00AB6" w14:textId="77777777" w:rsidR="009010E9" w:rsidRPr="001A5E97" w:rsidRDefault="00CE488D" w:rsidP="001A5E97">
      <w:pPr>
        <w:ind w:firstLine="720"/>
        <w:jc w:val="both"/>
      </w:pPr>
      <w:r w:rsidRPr="001A5E97">
        <w:t xml:space="preserve">For HealthLink, privacy and security are design requirements rather than later additions. The proposed system should implement role-based access, authentication, least-privilege permissions, consent or other lawful basis documentation, encryption in transit </w:t>
      </w:r>
      <w:proofErr w:type="gramStart"/>
      <w:r w:rsidRPr="001A5E97">
        <w:t>and at</w:t>
      </w:r>
      <w:proofErr w:type="gramEnd"/>
      <w:r w:rsidRPr="001A5E97">
        <w:t xml:space="preserve"> rest, data minimization, retention rules, and audit logging. A user should be able to see what information is being shared, for which referral, and with which authorized recipient. Audit events should record significant activities such as creation, viewing, transmission, acceptance, modification, and closure. These controls also support accountability and user trust, which are necessary for adoption.</w:t>
      </w:r>
    </w:p>
    <w:p w14:paraId="6567DAC1"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Referral Feedback and Continuity of Care</w:t>
      </w:r>
    </w:p>
    <w:p w14:paraId="5C401ADE" w14:textId="77777777" w:rsidR="009010E9" w:rsidRPr="001A5E97" w:rsidRDefault="00CE488D" w:rsidP="001A5E97">
      <w:pPr>
        <w:ind w:firstLine="720"/>
        <w:jc w:val="both"/>
      </w:pPr>
      <w:r w:rsidRPr="001A5E97">
        <w:t xml:space="preserve">Closed-loop referral management depends on feedback. Without a response from the receiving provider, the referring provider may not know whether the patient attended, whether </w:t>
      </w:r>
      <w:r w:rsidRPr="001A5E97">
        <w:lastRenderedPageBreak/>
        <w:t>the requested service was appropriate, what diagnosis or procedure was established, or what follow-up is required. The feedback step supports continuity of care and can reduce the risk that patients are lost between levels of service. HealthLink therefore includes feedback and continuity-of-care updates as a core function, not as an optional message feature.</w:t>
      </w:r>
    </w:p>
    <w:p w14:paraId="2253A10C" w14:textId="77777777" w:rsidR="009010E9" w:rsidRPr="001A5E97" w:rsidRDefault="00CE488D" w:rsidP="001A5E97">
      <w:pPr>
        <w:ind w:firstLine="720"/>
        <w:jc w:val="both"/>
      </w:pPr>
      <w:proofErr w:type="gramStart"/>
      <w:r w:rsidRPr="001A5E97">
        <w:t>The literature</w:t>
      </w:r>
      <w:proofErr w:type="gramEnd"/>
      <w:r w:rsidRPr="001A5E97">
        <w:t xml:space="preserve"> also cautions against </w:t>
      </w:r>
      <w:proofErr w:type="gramStart"/>
      <w:r w:rsidRPr="001A5E97">
        <w:t>assuming that</w:t>
      </w:r>
      <w:proofErr w:type="gramEnd"/>
      <w:r w:rsidRPr="001A5E97">
        <w:t xml:space="preserve"> a digital tool automatically improves care. Evidence on electronic coordination tools has been mixed, with outcomes influenced by context, workflow, adoption, and the underlying care process (O'Malley et al., 2013; </w:t>
      </w:r>
      <w:proofErr w:type="spellStart"/>
      <w:r w:rsidRPr="001A5E97">
        <w:t>Campaz-Landazábal</w:t>
      </w:r>
      <w:proofErr w:type="spellEnd"/>
      <w:r w:rsidRPr="001A5E97">
        <w:t xml:space="preserve"> et al., 2024). This supports an evaluation strategy that examines usability and perceived usefulness together with the completeness and timeliness of the referral workflow. It also supports a phased project approach in which the prototype is tested with representative users before implementation at scale.</w:t>
      </w:r>
    </w:p>
    <w:p w14:paraId="7D56207F"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Local and National Context</w:t>
      </w:r>
    </w:p>
    <w:p w14:paraId="6C29B1DA" w14:textId="77777777" w:rsidR="009010E9" w:rsidRPr="001A5E97" w:rsidRDefault="00CE488D" w:rsidP="001A5E97">
      <w:pPr>
        <w:ind w:firstLine="720"/>
        <w:jc w:val="both"/>
      </w:pPr>
      <w:r w:rsidRPr="001A5E97">
        <w:t xml:space="preserve">The Philippine context requires attention to both health-system fragmentation and data governance. The DOH has previously framed interoperability as a national eHealth concern and identified common data structures, terminologies, messaging, and health information exchange as essential capabilities (DOH, 2014). The Draft PH Core FHIR Implementation Guide indicates continuing work to make national interoperability more implementable and testable (UP Manila National </w:t>
      </w:r>
      <w:proofErr w:type="spellStart"/>
      <w:r w:rsidRPr="001A5E97">
        <w:t>TeleHealth</w:t>
      </w:r>
      <w:proofErr w:type="spellEnd"/>
      <w:r w:rsidRPr="001A5E97">
        <w:t xml:space="preserve"> Center &amp; DOH, 2026). A Davao City referral platform can contribute to this direction by using a standards-based exchange model and by documenting local requirements that may inform future implementation guidance.</w:t>
      </w:r>
    </w:p>
    <w:p w14:paraId="1698F301" w14:textId="77777777" w:rsidR="009010E9" w:rsidRPr="001A5E97" w:rsidRDefault="00CE488D" w:rsidP="001A5E97">
      <w:pPr>
        <w:ind w:firstLine="720"/>
        <w:jc w:val="both"/>
      </w:pPr>
      <w:r w:rsidRPr="001A5E97">
        <w:t>At the city level, the proposed project is intended for a network rather than a single facility. Davao City's population and mix of healthcare settings create a reasonable context for studying how referrals move across organizational boundaries (PSA, 2023, 2025). The project does not assume that all facilities have the same level of digital maturity. Instead, it treats heterogeneity as a design constraint and proposes a middleware layer, mapping, validation, and user-centered workflow as mechanisms for making exchange practical.</w:t>
      </w:r>
    </w:p>
    <w:p w14:paraId="04AF3C1E"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Literature Synthesis</w:t>
      </w:r>
    </w:p>
    <w:p w14:paraId="51A1FAB4" w14:textId="77777777" w:rsidR="009010E9" w:rsidRPr="001A5E97" w:rsidRDefault="00CE488D" w:rsidP="001A5E97">
      <w:pPr>
        <w:ind w:firstLine="720"/>
        <w:jc w:val="both"/>
      </w:pPr>
      <w:r w:rsidRPr="001A5E97">
        <w:t>The reviewed literature converges on five points. First, information exchange can support care coordination, but outcomes depend on implementation quality and cannot be inferred from digitization alone. Second, electronic referrals are most useful when they support a closed-loop workflow from request through feedback. Third, interoperability requires technical, syntactic, semantic, and organizational alignment. Fourth, FHIR provides a practical standards framework for representing and exchanging linked clinical and administrative information across heterogeneous systems. Fifth, privacy, consent, security, and auditability are essential conditions for responsible health information exchange in the Philippines.</w:t>
      </w:r>
    </w:p>
    <w:p w14:paraId="4E1BA0E2" w14:textId="77777777" w:rsidR="009010E9" w:rsidRPr="001A5E97" w:rsidRDefault="00CE488D" w:rsidP="001A5E97">
      <w:pPr>
        <w:ind w:firstLine="720"/>
        <w:jc w:val="both"/>
      </w:pPr>
      <w:r w:rsidRPr="001A5E97">
        <w:t xml:space="preserve">The literature also reveals the gap addressed by this project. International reviews provide evidence about HIE and electronic referral, yet they offer limited guidance for a city-level Philippine platform that must connect mixed public and private facilities, accommodate varying </w:t>
      </w:r>
      <w:r w:rsidRPr="001A5E97">
        <w:lastRenderedPageBreak/>
        <w:t xml:space="preserve">system capabilities, align with developing national FHIR guidance, and maintain a referral status loop. HealthLink addresses this gap by combining a locally grounded requirements study with </w:t>
      </w:r>
      <w:proofErr w:type="gramStart"/>
      <w:r w:rsidRPr="001A5E97">
        <w:t>a FHIR</w:t>
      </w:r>
      <w:proofErr w:type="gramEnd"/>
      <w:r w:rsidRPr="001A5E97">
        <w:t>-based architecture and an initial user evaluation. The proposed contribution is therefore a design and evaluation basis for a pilot, not a claim that the concept has already demonstrated clinical outcomes.</w:t>
      </w:r>
    </w:p>
    <w:p w14:paraId="14F7E19C"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Literature Synthesis Matrix</w:t>
      </w:r>
    </w:p>
    <w:tbl>
      <w:tblPr>
        <w:tblStyle w:val="PlainTable2"/>
        <w:tblW w:w="0" w:type="auto"/>
        <w:tblLook w:val="04A0" w:firstRow="1" w:lastRow="0" w:firstColumn="1" w:lastColumn="0" w:noHBand="0" w:noVBand="1"/>
      </w:tblPr>
      <w:tblGrid>
        <w:gridCol w:w="1785"/>
        <w:gridCol w:w="2033"/>
        <w:gridCol w:w="3410"/>
        <w:gridCol w:w="2348"/>
      </w:tblGrid>
      <w:tr w:rsidR="009010E9" w:rsidRPr="001A5E97" w14:paraId="3BB9920D" w14:textId="77777777" w:rsidTr="001A5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496D98B" w14:textId="77777777" w:rsidR="009010E9" w:rsidRPr="001A5E97" w:rsidRDefault="00CE488D" w:rsidP="001A5E97">
            <w:pPr>
              <w:spacing w:after="0"/>
              <w:jc w:val="both"/>
            </w:pPr>
            <w:r w:rsidRPr="001A5E97">
              <w:rPr>
                <w:sz w:val="17"/>
              </w:rPr>
              <w:t>Author or source</w:t>
            </w:r>
          </w:p>
        </w:tc>
        <w:tc>
          <w:tcPr>
            <w:tcW w:w="2232" w:type="dxa"/>
          </w:tcPr>
          <w:p w14:paraId="2A2461FE" w14:textId="77777777" w:rsidR="009010E9" w:rsidRPr="001A5E97" w:rsidRDefault="00CE488D" w:rsidP="001A5E97">
            <w:pPr>
              <w:spacing w:after="0"/>
              <w:jc w:val="both"/>
              <w:cnfStyle w:val="100000000000" w:firstRow="1" w:lastRow="0" w:firstColumn="0" w:lastColumn="0" w:oddVBand="0" w:evenVBand="0" w:oddHBand="0" w:evenHBand="0" w:firstRowFirstColumn="0" w:firstRowLastColumn="0" w:lastRowFirstColumn="0" w:lastRowLastColumn="0"/>
            </w:pPr>
            <w:r w:rsidRPr="001A5E97">
              <w:rPr>
                <w:sz w:val="17"/>
              </w:rPr>
              <w:t>Focus</w:t>
            </w:r>
          </w:p>
        </w:tc>
        <w:tc>
          <w:tcPr>
            <w:tcW w:w="3960" w:type="dxa"/>
          </w:tcPr>
          <w:p w14:paraId="50D02577" w14:textId="77777777" w:rsidR="009010E9" w:rsidRPr="001A5E97" w:rsidRDefault="00CE488D" w:rsidP="001A5E97">
            <w:pPr>
              <w:spacing w:after="0"/>
              <w:jc w:val="both"/>
              <w:cnfStyle w:val="100000000000" w:firstRow="1" w:lastRow="0" w:firstColumn="0" w:lastColumn="0" w:oddVBand="0" w:evenVBand="0" w:oddHBand="0" w:evenHBand="0" w:firstRowFirstColumn="0" w:firstRowLastColumn="0" w:lastRowFirstColumn="0" w:lastRowLastColumn="0"/>
            </w:pPr>
            <w:r w:rsidRPr="001A5E97">
              <w:rPr>
                <w:sz w:val="17"/>
              </w:rPr>
              <w:t>Key finding</w:t>
            </w:r>
          </w:p>
        </w:tc>
        <w:tc>
          <w:tcPr>
            <w:tcW w:w="2664" w:type="dxa"/>
          </w:tcPr>
          <w:p w14:paraId="5C3A180D" w14:textId="77777777" w:rsidR="009010E9" w:rsidRPr="001A5E97" w:rsidRDefault="00CE488D" w:rsidP="001A5E97">
            <w:pPr>
              <w:spacing w:after="0"/>
              <w:jc w:val="both"/>
              <w:cnfStyle w:val="100000000000" w:firstRow="1" w:lastRow="0" w:firstColumn="0" w:lastColumn="0" w:oddVBand="0" w:evenVBand="0" w:oddHBand="0" w:evenHBand="0" w:firstRowFirstColumn="0" w:firstRowLastColumn="0" w:lastRowFirstColumn="0" w:lastRowLastColumn="0"/>
            </w:pPr>
            <w:r w:rsidRPr="001A5E97">
              <w:rPr>
                <w:sz w:val="17"/>
              </w:rPr>
              <w:t>Relevance to HealthLink</w:t>
            </w:r>
          </w:p>
        </w:tc>
      </w:tr>
      <w:tr w:rsidR="009010E9" w:rsidRPr="001A5E97" w14:paraId="773C7979"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924C2B4" w14:textId="77777777" w:rsidR="009010E9" w:rsidRPr="001A5E97" w:rsidRDefault="00CE488D" w:rsidP="001A5E97">
            <w:pPr>
              <w:spacing w:after="0"/>
              <w:jc w:val="both"/>
            </w:pPr>
            <w:r w:rsidRPr="001A5E97">
              <w:rPr>
                <w:sz w:val="17"/>
              </w:rPr>
              <w:t>HL7 International (2023)</w:t>
            </w:r>
          </w:p>
        </w:tc>
        <w:tc>
          <w:tcPr>
            <w:tcW w:w="2232" w:type="dxa"/>
          </w:tcPr>
          <w:p w14:paraId="724E6641"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FHIR overview and exchange framework</w:t>
            </w:r>
          </w:p>
        </w:tc>
        <w:tc>
          <w:tcPr>
            <w:tcW w:w="3960" w:type="dxa"/>
          </w:tcPr>
          <w:p w14:paraId="44B5B6E9"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FHIR uses reusable resources, profiles, terminology, conformance, and multiple exchange methods.</w:t>
            </w:r>
          </w:p>
        </w:tc>
        <w:tc>
          <w:tcPr>
            <w:tcW w:w="2664" w:type="dxa"/>
          </w:tcPr>
          <w:p w14:paraId="0A36E6AF"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Provides the technical framework and candidate resources for HealthLink.</w:t>
            </w:r>
          </w:p>
        </w:tc>
      </w:tr>
      <w:tr w:rsidR="009010E9" w:rsidRPr="001A5E97" w14:paraId="2D763F35" w14:textId="77777777" w:rsidTr="001A5E97">
        <w:tc>
          <w:tcPr>
            <w:cnfStyle w:val="001000000000" w:firstRow="0" w:lastRow="0" w:firstColumn="1" w:lastColumn="0" w:oddVBand="0" w:evenVBand="0" w:oddHBand="0" w:evenHBand="0" w:firstRowFirstColumn="0" w:firstRowLastColumn="0" w:lastRowFirstColumn="0" w:lastRowLastColumn="0"/>
            <w:tcW w:w="1944" w:type="dxa"/>
          </w:tcPr>
          <w:p w14:paraId="660D161C" w14:textId="77777777" w:rsidR="009010E9" w:rsidRPr="001A5E97" w:rsidRDefault="00CE488D" w:rsidP="001A5E97">
            <w:pPr>
              <w:spacing w:after="0"/>
              <w:jc w:val="both"/>
            </w:pPr>
            <w:r w:rsidRPr="001A5E97">
              <w:rPr>
                <w:sz w:val="17"/>
              </w:rPr>
              <w:t>WHO &amp; ITU (2020)</w:t>
            </w:r>
          </w:p>
        </w:tc>
        <w:tc>
          <w:tcPr>
            <w:tcW w:w="2232" w:type="dxa"/>
          </w:tcPr>
          <w:p w14:paraId="1F161374"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Digital health platform infrastructure</w:t>
            </w:r>
          </w:p>
        </w:tc>
        <w:tc>
          <w:tcPr>
            <w:tcW w:w="3960" w:type="dxa"/>
          </w:tcPr>
          <w:p w14:paraId="2CF51678"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Interoperable platforms provide shared infrastructure for integrated digital health systems.</w:t>
            </w:r>
          </w:p>
        </w:tc>
        <w:tc>
          <w:tcPr>
            <w:tcW w:w="2664" w:type="dxa"/>
          </w:tcPr>
          <w:p w14:paraId="516BBE74"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Supports the middleware and API gateway architecture.</w:t>
            </w:r>
          </w:p>
        </w:tc>
      </w:tr>
      <w:tr w:rsidR="009010E9" w:rsidRPr="001A5E97" w14:paraId="691DB2D6"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C63B0A4" w14:textId="77777777" w:rsidR="009010E9" w:rsidRPr="001A5E97" w:rsidRDefault="00CE488D" w:rsidP="001A5E97">
            <w:pPr>
              <w:spacing w:after="0"/>
              <w:jc w:val="both"/>
            </w:pPr>
            <w:r w:rsidRPr="001A5E97">
              <w:rPr>
                <w:sz w:val="17"/>
              </w:rPr>
              <w:t>Hersh et al. (2015)</w:t>
            </w:r>
          </w:p>
        </w:tc>
        <w:tc>
          <w:tcPr>
            <w:tcW w:w="2232" w:type="dxa"/>
          </w:tcPr>
          <w:p w14:paraId="077C5BFF"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Outcomes of HIE</w:t>
            </w:r>
          </w:p>
        </w:tc>
        <w:tc>
          <w:tcPr>
            <w:tcW w:w="3960" w:type="dxa"/>
          </w:tcPr>
          <w:p w14:paraId="48E20600"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HIE is associated with improved coordination and communication and reduced use of some duplicative services; clinical outcome evidence remains limited.</w:t>
            </w:r>
          </w:p>
        </w:tc>
        <w:tc>
          <w:tcPr>
            <w:tcW w:w="2664" w:type="dxa"/>
          </w:tcPr>
          <w:p w14:paraId="220D08F7"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Supports process-focused evaluation and cautious claims.</w:t>
            </w:r>
          </w:p>
        </w:tc>
      </w:tr>
      <w:tr w:rsidR="009010E9" w:rsidRPr="001A5E97" w14:paraId="3261BE8F" w14:textId="77777777" w:rsidTr="001A5E97">
        <w:tc>
          <w:tcPr>
            <w:cnfStyle w:val="001000000000" w:firstRow="0" w:lastRow="0" w:firstColumn="1" w:lastColumn="0" w:oddVBand="0" w:evenVBand="0" w:oddHBand="0" w:evenHBand="0" w:firstRowFirstColumn="0" w:firstRowLastColumn="0" w:lastRowFirstColumn="0" w:lastRowLastColumn="0"/>
            <w:tcW w:w="1944" w:type="dxa"/>
          </w:tcPr>
          <w:p w14:paraId="3362A40B" w14:textId="77777777" w:rsidR="009010E9" w:rsidRPr="001A5E97" w:rsidRDefault="00CE488D" w:rsidP="001A5E97">
            <w:pPr>
              <w:spacing w:after="0"/>
              <w:jc w:val="both"/>
            </w:pPr>
            <w:r w:rsidRPr="001A5E97">
              <w:rPr>
                <w:sz w:val="17"/>
              </w:rPr>
              <w:t>Dobrow et al. (2019)</w:t>
            </w:r>
          </w:p>
        </w:tc>
        <w:tc>
          <w:tcPr>
            <w:tcW w:w="2232" w:type="dxa"/>
          </w:tcPr>
          <w:p w14:paraId="6A3C0DD7"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Interoperable EHR and HIE systematic review</w:t>
            </w:r>
          </w:p>
        </w:tc>
        <w:tc>
          <w:tcPr>
            <w:tcW w:w="3960" w:type="dxa"/>
          </w:tcPr>
          <w:p w14:paraId="1CEBD4C3"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Reported many positive impacts but substantial variation in settings, measures, and implementation quality.</w:t>
            </w:r>
          </w:p>
        </w:tc>
        <w:tc>
          <w:tcPr>
            <w:tcW w:w="2664" w:type="dxa"/>
          </w:tcPr>
          <w:p w14:paraId="1E4E06A6"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Supports context-sensitive requirements and evaluation.</w:t>
            </w:r>
          </w:p>
        </w:tc>
      </w:tr>
      <w:tr w:rsidR="009010E9" w:rsidRPr="001A5E97" w14:paraId="7D7AD1F6"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AD84CE3" w14:textId="77777777" w:rsidR="009010E9" w:rsidRPr="001A5E97" w:rsidRDefault="00CE488D" w:rsidP="001A5E97">
            <w:pPr>
              <w:spacing w:after="0"/>
              <w:jc w:val="both"/>
            </w:pPr>
            <w:proofErr w:type="spellStart"/>
            <w:r w:rsidRPr="001A5E97">
              <w:rPr>
                <w:sz w:val="17"/>
              </w:rPr>
              <w:t>Naseriasl</w:t>
            </w:r>
            <w:proofErr w:type="spellEnd"/>
            <w:r w:rsidRPr="001A5E97">
              <w:rPr>
                <w:sz w:val="17"/>
              </w:rPr>
              <w:t xml:space="preserve"> et al. (2015)</w:t>
            </w:r>
          </w:p>
        </w:tc>
        <w:tc>
          <w:tcPr>
            <w:tcW w:w="2232" w:type="dxa"/>
          </w:tcPr>
          <w:p w14:paraId="070A919C"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Electronic referral solutions</w:t>
            </w:r>
          </w:p>
        </w:tc>
        <w:tc>
          <w:tcPr>
            <w:tcW w:w="3960" w:type="dxa"/>
          </w:tcPr>
          <w:p w14:paraId="3B80CBF0"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E-referrals can improve access, timeliness, communication, information transfer, and integration, but solutions are locally shaped.</w:t>
            </w:r>
          </w:p>
        </w:tc>
        <w:tc>
          <w:tcPr>
            <w:tcW w:w="2664" w:type="dxa"/>
          </w:tcPr>
          <w:p w14:paraId="571C8DDA"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Supports closed-loop referral workflow and Davao-specific design.</w:t>
            </w:r>
          </w:p>
        </w:tc>
      </w:tr>
      <w:tr w:rsidR="009010E9" w:rsidRPr="001A5E97" w14:paraId="47326E57" w14:textId="77777777" w:rsidTr="001A5E97">
        <w:tc>
          <w:tcPr>
            <w:cnfStyle w:val="001000000000" w:firstRow="0" w:lastRow="0" w:firstColumn="1" w:lastColumn="0" w:oddVBand="0" w:evenVBand="0" w:oddHBand="0" w:evenHBand="0" w:firstRowFirstColumn="0" w:firstRowLastColumn="0" w:lastRowFirstColumn="0" w:lastRowLastColumn="0"/>
            <w:tcW w:w="1944" w:type="dxa"/>
          </w:tcPr>
          <w:p w14:paraId="6BD5CE8A" w14:textId="77777777" w:rsidR="009010E9" w:rsidRPr="001A5E97" w:rsidRDefault="00CE488D" w:rsidP="001A5E97">
            <w:pPr>
              <w:spacing w:after="0"/>
              <w:jc w:val="both"/>
            </w:pPr>
            <w:proofErr w:type="spellStart"/>
            <w:r w:rsidRPr="001A5E97">
              <w:rPr>
                <w:sz w:val="17"/>
              </w:rPr>
              <w:t>Torab-Miandoab</w:t>
            </w:r>
            <w:proofErr w:type="spellEnd"/>
            <w:r w:rsidRPr="001A5E97">
              <w:rPr>
                <w:sz w:val="17"/>
              </w:rPr>
              <w:t xml:space="preserve"> et al. (2023)</w:t>
            </w:r>
          </w:p>
        </w:tc>
        <w:tc>
          <w:tcPr>
            <w:tcW w:w="2232" w:type="dxa"/>
          </w:tcPr>
          <w:p w14:paraId="04616DDC"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Interoperability of heterogeneous systems</w:t>
            </w:r>
          </w:p>
        </w:tc>
        <w:tc>
          <w:tcPr>
            <w:tcW w:w="3960" w:type="dxa"/>
          </w:tcPr>
          <w:p w14:paraId="28C04FCA"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Semantic interoperability is necessary for systems to recognize and process equivalent information consistently.</w:t>
            </w:r>
          </w:p>
        </w:tc>
        <w:tc>
          <w:tcPr>
            <w:tcW w:w="2664" w:type="dxa"/>
          </w:tcPr>
          <w:p w14:paraId="74C1BB11"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Supports terminology mapping, validation, and FHIR profiles.</w:t>
            </w:r>
          </w:p>
        </w:tc>
      </w:tr>
      <w:tr w:rsidR="009010E9" w:rsidRPr="001A5E97" w14:paraId="27C0D51C"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74BFE07C" w14:textId="77777777" w:rsidR="009010E9" w:rsidRPr="001A5E97" w:rsidRDefault="00CE488D" w:rsidP="001A5E97">
            <w:pPr>
              <w:spacing w:after="0"/>
              <w:jc w:val="both"/>
            </w:pPr>
            <w:r w:rsidRPr="001A5E97">
              <w:rPr>
                <w:sz w:val="17"/>
              </w:rPr>
              <w:t>DOH (2014); DOH (2023)</w:t>
            </w:r>
          </w:p>
        </w:tc>
        <w:tc>
          <w:tcPr>
            <w:tcW w:w="2232" w:type="dxa"/>
          </w:tcPr>
          <w:p w14:paraId="0013EFEF"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Philippine digital health policy</w:t>
            </w:r>
          </w:p>
        </w:tc>
        <w:tc>
          <w:tcPr>
            <w:tcW w:w="3960" w:type="dxa"/>
          </w:tcPr>
          <w:p w14:paraId="17E8531B"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National planning emphasizes information exchange, common standards, and digital health capacity.</w:t>
            </w:r>
          </w:p>
        </w:tc>
        <w:tc>
          <w:tcPr>
            <w:tcW w:w="2664" w:type="dxa"/>
          </w:tcPr>
          <w:p w14:paraId="46C8FDE3"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Establishes national relevance and policy alignment.</w:t>
            </w:r>
          </w:p>
        </w:tc>
      </w:tr>
      <w:tr w:rsidR="009010E9" w:rsidRPr="001A5E97" w14:paraId="1C2A11C2" w14:textId="77777777" w:rsidTr="001A5E97">
        <w:tc>
          <w:tcPr>
            <w:cnfStyle w:val="001000000000" w:firstRow="0" w:lastRow="0" w:firstColumn="1" w:lastColumn="0" w:oddVBand="0" w:evenVBand="0" w:oddHBand="0" w:evenHBand="0" w:firstRowFirstColumn="0" w:firstRowLastColumn="0" w:lastRowFirstColumn="0" w:lastRowLastColumn="0"/>
            <w:tcW w:w="1944" w:type="dxa"/>
          </w:tcPr>
          <w:p w14:paraId="2BBC6D2A" w14:textId="77777777" w:rsidR="009010E9" w:rsidRPr="001A5E97" w:rsidRDefault="00CE488D" w:rsidP="001A5E97">
            <w:pPr>
              <w:spacing w:after="0"/>
              <w:jc w:val="both"/>
            </w:pPr>
            <w:r w:rsidRPr="001A5E97">
              <w:rPr>
                <w:sz w:val="17"/>
              </w:rPr>
              <w:t xml:space="preserve">UP Manila National </w:t>
            </w:r>
            <w:proofErr w:type="spellStart"/>
            <w:r w:rsidRPr="001A5E97">
              <w:rPr>
                <w:sz w:val="17"/>
              </w:rPr>
              <w:t>TeleHealth</w:t>
            </w:r>
            <w:proofErr w:type="spellEnd"/>
            <w:r w:rsidRPr="001A5E97">
              <w:rPr>
                <w:sz w:val="17"/>
              </w:rPr>
              <w:t xml:space="preserve"> Center &amp; DOH (2026)</w:t>
            </w:r>
          </w:p>
        </w:tc>
        <w:tc>
          <w:tcPr>
            <w:tcW w:w="2232" w:type="dxa"/>
          </w:tcPr>
          <w:p w14:paraId="76B49D80"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Draft PH Core FHIR IG</w:t>
            </w:r>
          </w:p>
        </w:tc>
        <w:tc>
          <w:tcPr>
            <w:tcW w:w="3960" w:type="dxa"/>
          </w:tcPr>
          <w:p w14:paraId="0A0B2F04"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Defines an emerging national foundation for common clinical and administrative FHIR exchange; still in development.</w:t>
            </w:r>
          </w:p>
        </w:tc>
        <w:tc>
          <w:tcPr>
            <w:tcW w:w="2664" w:type="dxa"/>
          </w:tcPr>
          <w:p w14:paraId="6A175523" w14:textId="77777777" w:rsidR="009010E9" w:rsidRPr="001A5E97" w:rsidRDefault="00CE488D" w:rsidP="001A5E97">
            <w:pPr>
              <w:spacing w:after="0"/>
              <w:jc w:val="both"/>
              <w:cnfStyle w:val="000000000000" w:firstRow="0" w:lastRow="0" w:firstColumn="0" w:lastColumn="0" w:oddVBand="0" w:evenVBand="0" w:oddHBand="0" w:evenHBand="0" w:firstRowFirstColumn="0" w:firstRowLastColumn="0" w:lastRowFirstColumn="0" w:lastRowLastColumn="0"/>
            </w:pPr>
            <w:r w:rsidRPr="001A5E97">
              <w:rPr>
                <w:sz w:val="17"/>
              </w:rPr>
              <w:t>Provides an alignment target while recognizing that the guide may change.</w:t>
            </w:r>
          </w:p>
        </w:tc>
      </w:tr>
      <w:tr w:rsidR="009010E9" w:rsidRPr="001A5E97" w14:paraId="4906B03F"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14F8047D" w14:textId="77777777" w:rsidR="009010E9" w:rsidRPr="001A5E97" w:rsidRDefault="00CE488D" w:rsidP="001A5E97">
            <w:pPr>
              <w:spacing w:after="0"/>
              <w:jc w:val="both"/>
            </w:pPr>
            <w:r w:rsidRPr="001A5E97">
              <w:rPr>
                <w:sz w:val="17"/>
              </w:rPr>
              <w:t>Republic Act No. 10173 (2012); NPC (2018)</w:t>
            </w:r>
          </w:p>
        </w:tc>
        <w:tc>
          <w:tcPr>
            <w:tcW w:w="2232" w:type="dxa"/>
          </w:tcPr>
          <w:p w14:paraId="09D0EE0E"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Privacy and lawful processing</w:t>
            </w:r>
          </w:p>
        </w:tc>
        <w:tc>
          <w:tcPr>
            <w:tcW w:w="3960" w:type="dxa"/>
          </w:tcPr>
          <w:p w14:paraId="2F493CDE"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Health information is sensitive personal information requiring lawful processing and safeguards.</w:t>
            </w:r>
          </w:p>
        </w:tc>
        <w:tc>
          <w:tcPr>
            <w:tcW w:w="2664" w:type="dxa"/>
          </w:tcPr>
          <w:p w14:paraId="27B0E9D1"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t>Defines privacy, consent, access, and audit requirements.</w:t>
            </w:r>
          </w:p>
        </w:tc>
      </w:tr>
    </w:tbl>
    <w:p w14:paraId="20A43901" w14:textId="77777777" w:rsidR="009010E9" w:rsidRPr="001A5E97" w:rsidRDefault="009010E9" w:rsidP="001A5E97">
      <w:pPr>
        <w:spacing w:after="40"/>
        <w:jc w:val="both"/>
      </w:pPr>
    </w:p>
    <w:p w14:paraId="572BA637" w14:textId="77777777" w:rsidR="009010E9" w:rsidRPr="001A5E97" w:rsidRDefault="00CE488D" w:rsidP="001A5E97">
      <w:pPr>
        <w:jc w:val="both"/>
      </w:pPr>
      <w:r w:rsidRPr="001A5E97">
        <w:br w:type="page"/>
      </w:r>
    </w:p>
    <w:p w14:paraId="4094776E" w14:textId="77777777" w:rsidR="009010E9" w:rsidRPr="001A5E97" w:rsidRDefault="00CE488D" w:rsidP="001A5E97">
      <w:pPr>
        <w:pStyle w:val="Heading1"/>
        <w:spacing w:before="200" w:after="80"/>
        <w:jc w:val="center"/>
        <w:rPr>
          <w:color w:val="auto"/>
        </w:rPr>
      </w:pPr>
      <w:r w:rsidRPr="001A5E97">
        <w:rPr>
          <w:rFonts w:ascii="Times New Roman" w:eastAsia="Times New Roman" w:hAnsi="Times New Roman"/>
          <w:color w:val="auto"/>
        </w:rPr>
        <w:lastRenderedPageBreak/>
        <w:t>Chapter 3</w:t>
      </w:r>
    </w:p>
    <w:p w14:paraId="1AB67C92"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Methodology</w:t>
      </w:r>
    </w:p>
    <w:p w14:paraId="65D5BD0F" w14:textId="77777777" w:rsidR="009010E9" w:rsidRPr="001A5E97" w:rsidRDefault="00CE488D" w:rsidP="001A5E97">
      <w:pPr>
        <w:ind w:firstLine="720"/>
        <w:jc w:val="both"/>
      </w:pPr>
      <w:r w:rsidRPr="001A5E97">
        <w:t xml:space="preserve">This chapter presents the procedures that will be used to investigate the referral information problem and to develop and evaluate the </w:t>
      </w:r>
      <w:r w:rsidRPr="667D7B2D">
        <w:rPr>
          <w:color w:val="FF0000"/>
          <w:highlight w:val="yellow"/>
        </w:rPr>
        <w:t>HealthLink</w:t>
      </w:r>
      <w:r w:rsidRPr="633FCB87">
        <w:rPr>
          <w:color w:val="FF0000"/>
        </w:rPr>
        <w:t xml:space="preserve"> </w:t>
      </w:r>
      <w:r w:rsidRPr="001A5E97">
        <w:t>concept. The study will combine requirements assessment with standards-based system development. It will begin by examining how referrals are currently prepared, transmitted, received, and completed in selected healthcare facilities in Davao City. The researchers will then translate the identified workflow and information needs into a FHIR-aligned conceptual architecture or prototype, including referral data, clinical summaries, routing, status tracking, feedback, consent, access control, and audit logging. Finally, selected healthcare personnel and patients or patient representatives will review the proposed solution through interviews, walkthroughs, and structured evaluation. The methodology is intended to produce evidence about the local referral problem, define a practical interoperability design, and determine whether the proposed system is understandable, useful, acceptable, and ready for further pilot testing.</w:t>
      </w:r>
    </w:p>
    <w:p w14:paraId="53C2E85A"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Research Design</w:t>
      </w:r>
    </w:p>
    <w:p w14:paraId="7758A0DB" w14:textId="77777777" w:rsidR="009010E9" w:rsidRPr="001A5E97" w:rsidRDefault="00CE488D" w:rsidP="001A5E97">
      <w:pPr>
        <w:ind w:firstLine="720"/>
        <w:jc w:val="both"/>
      </w:pPr>
      <w:r w:rsidRPr="001A5E97">
        <w:t>The study will use a descriptive-developmental research design with a mixed-methods approach. The descriptive phase will document the existing referral process, information requirements, barriers, and user expectations in selected healthcare facilities. The developmental phase will translate these findings into a FHIR-aligned HealthLink concept and functional prototype or high-fidelity mock-up. The evaluation phase will gather structured ratings and qualitative feedback from intended users regarding usability, usefulness, interoperability requirements, privacy controls, and implementation readiness.</w:t>
      </w:r>
    </w:p>
    <w:p w14:paraId="1E1FDB6F" w14:textId="77777777" w:rsidR="009010E9" w:rsidRPr="001A5E97" w:rsidRDefault="00CE488D" w:rsidP="001A5E97">
      <w:pPr>
        <w:ind w:firstLine="720"/>
        <w:jc w:val="both"/>
      </w:pPr>
      <w:r w:rsidRPr="001A5E97">
        <w:t xml:space="preserve">The design is appropriate because the project is a concept proposal rather than an effectiveness trial. Its immediate purpose is to understand the problem, specify a standards-based solution, and determine whether the proposed workflow is acceptable enough to justify a subsequent pilot. Quantitative data will summarize the distribution of user responses, while qualitative data will explain why participants identify </w:t>
      </w:r>
      <w:proofErr w:type="gramStart"/>
      <w:r w:rsidRPr="001A5E97">
        <w:t>particular features</w:t>
      </w:r>
      <w:proofErr w:type="gramEnd"/>
      <w:r w:rsidRPr="001A5E97">
        <w:t>, risks, or improvements. The study will not claim that HealthLink reduces clinical mortality, morbidity, or costs unless those outcomes are tested in a later implementation study.</w:t>
      </w:r>
    </w:p>
    <w:p w14:paraId="4731FE20"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Conceptual Framework</w:t>
      </w:r>
    </w:p>
    <w:p w14:paraId="63EEF26E" w14:textId="77777777" w:rsidR="009010E9" w:rsidRPr="001A5E97" w:rsidRDefault="00CE488D" w:rsidP="001A5E97">
      <w:pPr>
        <w:ind w:firstLine="720"/>
        <w:jc w:val="both"/>
      </w:pPr>
      <w:r w:rsidRPr="001A5E97">
        <w:t>The conceptual framework uses an Input–Process–Output model adapted to the HealthLink project concept and grounded in HL7 FHIR. The inputs are the technical, information, service, and governance conditions that influence interoperability. The process is the FHIR-based referral exchange workflow, supported by mapping, validation, consent, security, routing, status tracking, and auditability. The outputs are the expected process and user outcomes that can be assessed during the concept evaluation.</w:t>
      </w:r>
    </w:p>
    <w:tbl>
      <w:tblPr>
        <w:tblStyle w:val="PlainTable2"/>
        <w:tblW w:w="0" w:type="auto"/>
        <w:tblLook w:val="04A0" w:firstRow="1" w:lastRow="0" w:firstColumn="1" w:lastColumn="0" w:noHBand="0" w:noVBand="1"/>
      </w:tblPr>
      <w:tblGrid>
        <w:gridCol w:w="2796"/>
        <w:gridCol w:w="3541"/>
        <w:gridCol w:w="3239"/>
      </w:tblGrid>
      <w:tr w:rsidR="009010E9" w:rsidRPr="001A5E97" w14:paraId="11EDA92B" w14:textId="77777777" w:rsidTr="001A5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60D759E0" w14:textId="77777777" w:rsidR="009010E9" w:rsidRPr="001A5E97" w:rsidRDefault="00CE488D" w:rsidP="001A5E97">
            <w:pPr>
              <w:spacing w:after="0"/>
              <w:jc w:val="both"/>
            </w:pPr>
            <w:r w:rsidRPr="001A5E97">
              <w:rPr>
                <w:sz w:val="17"/>
              </w:rPr>
              <w:t>INPUTS</w:t>
            </w:r>
          </w:p>
        </w:tc>
        <w:tc>
          <w:tcPr>
            <w:tcW w:w="4032" w:type="dxa"/>
          </w:tcPr>
          <w:p w14:paraId="409FC024" w14:textId="77777777" w:rsidR="009010E9" w:rsidRPr="001A5E97" w:rsidRDefault="00CE488D" w:rsidP="001A5E97">
            <w:pPr>
              <w:spacing w:after="0"/>
              <w:jc w:val="both"/>
              <w:cnfStyle w:val="100000000000" w:firstRow="1" w:lastRow="0" w:firstColumn="0" w:lastColumn="0" w:oddVBand="0" w:evenVBand="0" w:oddHBand="0" w:evenHBand="0" w:firstRowFirstColumn="0" w:firstRowLastColumn="0" w:lastRowFirstColumn="0" w:lastRowLastColumn="0"/>
            </w:pPr>
            <w:r w:rsidRPr="001A5E97">
              <w:rPr>
                <w:sz w:val="17"/>
              </w:rPr>
              <w:t>FHIR-based process</w:t>
            </w:r>
          </w:p>
        </w:tc>
        <w:tc>
          <w:tcPr>
            <w:tcW w:w="3672" w:type="dxa"/>
          </w:tcPr>
          <w:p w14:paraId="4B9AEFC8" w14:textId="77777777" w:rsidR="009010E9" w:rsidRPr="001A5E97" w:rsidRDefault="00CE488D" w:rsidP="001A5E97">
            <w:pPr>
              <w:spacing w:after="0"/>
              <w:jc w:val="both"/>
              <w:cnfStyle w:val="100000000000" w:firstRow="1" w:lastRow="0" w:firstColumn="0" w:lastColumn="0" w:oddVBand="0" w:evenVBand="0" w:oddHBand="0" w:evenHBand="0" w:firstRowFirstColumn="0" w:firstRowLastColumn="0" w:lastRowFirstColumn="0" w:lastRowLastColumn="0"/>
            </w:pPr>
            <w:r w:rsidRPr="001A5E97">
              <w:rPr>
                <w:sz w:val="17"/>
              </w:rPr>
              <w:t>EXPECTED OUTPUTS</w:t>
            </w:r>
          </w:p>
        </w:tc>
      </w:tr>
      <w:tr w:rsidR="009010E9" w:rsidRPr="001A5E97" w14:paraId="7D17BD89" w14:textId="77777777" w:rsidTr="001A5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657FA478" w14:textId="77777777" w:rsidR="009010E9" w:rsidRPr="001A5E97" w:rsidRDefault="00CE488D" w:rsidP="001A5E97">
            <w:pPr>
              <w:spacing w:after="0"/>
              <w:jc w:val="both"/>
            </w:pPr>
            <w:r w:rsidRPr="001A5E97">
              <w:rPr>
                <w:sz w:val="17"/>
              </w:rPr>
              <w:t>System quality</w:t>
            </w:r>
            <w:r w:rsidRPr="001A5E97">
              <w:rPr>
                <w:sz w:val="17"/>
              </w:rPr>
              <w:br/>
              <w:t>Reliability, usability, performance</w:t>
            </w:r>
            <w:r w:rsidRPr="001A5E97">
              <w:rPr>
                <w:sz w:val="17"/>
              </w:rPr>
              <w:br/>
            </w:r>
            <w:r w:rsidRPr="001A5E97">
              <w:rPr>
                <w:sz w:val="17"/>
              </w:rPr>
              <w:lastRenderedPageBreak/>
              <w:br/>
              <w:t>Information quality</w:t>
            </w:r>
            <w:r w:rsidRPr="001A5E97">
              <w:rPr>
                <w:sz w:val="17"/>
              </w:rPr>
              <w:br/>
              <w:t>Accuracy, completeness, timeliness</w:t>
            </w:r>
            <w:r w:rsidRPr="001A5E97">
              <w:rPr>
                <w:sz w:val="17"/>
              </w:rPr>
              <w:br/>
            </w:r>
            <w:r w:rsidRPr="001A5E97">
              <w:rPr>
                <w:sz w:val="17"/>
              </w:rPr>
              <w:br/>
              <w:t>Interoperability capability</w:t>
            </w:r>
            <w:r w:rsidRPr="001A5E97">
              <w:rPr>
                <w:sz w:val="17"/>
              </w:rPr>
              <w:br/>
              <w:t>Standards, integration, compatibility</w:t>
            </w:r>
            <w:r w:rsidRPr="001A5E97">
              <w:rPr>
                <w:sz w:val="17"/>
              </w:rPr>
              <w:br/>
            </w:r>
            <w:r w:rsidRPr="001A5E97">
              <w:rPr>
                <w:sz w:val="17"/>
              </w:rPr>
              <w:br/>
              <w:t>Service availability</w:t>
            </w:r>
            <w:r w:rsidRPr="001A5E97">
              <w:rPr>
                <w:sz w:val="17"/>
              </w:rPr>
              <w:br/>
              <w:t>Connectivity and access</w:t>
            </w:r>
            <w:r w:rsidRPr="001A5E97">
              <w:rPr>
                <w:sz w:val="17"/>
              </w:rPr>
              <w:br/>
            </w:r>
            <w:r w:rsidRPr="001A5E97">
              <w:rPr>
                <w:sz w:val="17"/>
              </w:rPr>
              <w:br/>
              <w:t>Security and privacy controls</w:t>
            </w:r>
            <w:r w:rsidRPr="001A5E97">
              <w:rPr>
                <w:sz w:val="17"/>
              </w:rPr>
              <w:br/>
              <w:t>Consent, confidentiality, integrity, trust</w:t>
            </w:r>
          </w:p>
        </w:tc>
        <w:tc>
          <w:tcPr>
            <w:tcW w:w="4032" w:type="dxa"/>
          </w:tcPr>
          <w:p w14:paraId="6CD5853B"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lastRenderedPageBreak/>
              <w:t>1. Capture referral request and clinical summary</w:t>
            </w:r>
            <w:r w:rsidRPr="001A5E97">
              <w:rPr>
                <w:sz w:val="17"/>
              </w:rPr>
              <w:br/>
              <w:t>2. Map and validate data</w:t>
            </w:r>
            <w:r w:rsidRPr="001A5E97">
              <w:rPr>
                <w:sz w:val="17"/>
              </w:rPr>
              <w:br/>
            </w:r>
            <w:r w:rsidRPr="001A5E97">
              <w:rPr>
                <w:sz w:val="17"/>
              </w:rPr>
              <w:lastRenderedPageBreak/>
              <w:t>3. Represent information with FHIR resources</w:t>
            </w:r>
            <w:r w:rsidRPr="001A5E97">
              <w:rPr>
                <w:sz w:val="17"/>
              </w:rPr>
              <w:br/>
              <w:t>4. Authenticate users and enforce consent/access</w:t>
            </w:r>
            <w:r w:rsidRPr="001A5E97">
              <w:rPr>
                <w:sz w:val="17"/>
              </w:rPr>
              <w:br/>
              <w:t>5. Route referral through API gateway</w:t>
            </w:r>
            <w:r w:rsidRPr="001A5E97">
              <w:rPr>
                <w:sz w:val="17"/>
              </w:rPr>
              <w:br/>
              <w:t>6. Track status and actions</w:t>
            </w:r>
            <w:r w:rsidRPr="001A5E97">
              <w:rPr>
                <w:sz w:val="17"/>
              </w:rPr>
              <w:br/>
              <w:t>7. Exchange feedback and audit events</w:t>
            </w:r>
          </w:p>
        </w:tc>
        <w:tc>
          <w:tcPr>
            <w:tcW w:w="3672" w:type="dxa"/>
          </w:tcPr>
          <w:p w14:paraId="56650904" w14:textId="77777777" w:rsidR="009010E9" w:rsidRPr="001A5E97" w:rsidRDefault="00CE488D" w:rsidP="001A5E97">
            <w:pPr>
              <w:spacing w:after="0"/>
              <w:jc w:val="both"/>
              <w:cnfStyle w:val="000000100000" w:firstRow="0" w:lastRow="0" w:firstColumn="0" w:lastColumn="0" w:oddVBand="0" w:evenVBand="0" w:oddHBand="1" w:evenHBand="0" w:firstRowFirstColumn="0" w:firstRowLastColumn="0" w:lastRowFirstColumn="0" w:lastRowLastColumn="0"/>
            </w:pPr>
            <w:r w:rsidRPr="001A5E97">
              <w:rPr>
                <w:sz w:val="17"/>
              </w:rPr>
              <w:lastRenderedPageBreak/>
              <w:t>Referral efficiency</w:t>
            </w:r>
            <w:r w:rsidRPr="001A5E97">
              <w:rPr>
                <w:sz w:val="17"/>
              </w:rPr>
              <w:br/>
              <w:t xml:space="preserve">Reduced duplication and administrative </w:t>
            </w:r>
            <w:r w:rsidRPr="001A5E97">
              <w:rPr>
                <w:sz w:val="17"/>
              </w:rPr>
              <w:lastRenderedPageBreak/>
              <w:t>burden</w:t>
            </w:r>
            <w:r w:rsidRPr="001A5E97">
              <w:rPr>
                <w:sz w:val="17"/>
              </w:rPr>
              <w:br/>
            </w:r>
            <w:r w:rsidRPr="001A5E97">
              <w:rPr>
                <w:sz w:val="17"/>
              </w:rPr>
              <w:br/>
              <w:t>Continuity of care</w:t>
            </w:r>
            <w:r w:rsidRPr="001A5E97">
              <w:rPr>
                <w:sz w:val="17"/>
              </w:rPr>
              <w:br/>
              <w:t>Better transitions across facilities</w:t>
            </w:r>
            <w:r w:rsidRPr="001A5E97">
              <w:rPr>
                <w:sz w:val="17"/>
              </w:rPr>
              <w:br/>
            </w:r>
            <w:r w:rsidRPr="001A5E97">
              <w:rPr>
                <w:sz w:val="17"/>
              </w:rPr>
              <w:br/>
              <w:t>User satisfaction</w:t>
            </w:r>
            <w:r w:rsidRPr="001A5E97">
              <w:rPr>
                <w:sz w:val="17"/>
              </w:rPr>
              <w:br/>
              <w:t>Positive experience for providers and patients</w:t>
            </w:r>
            <w:r w:rsidRPr="001A5E97">
              <w:rPr>
                <w:sz w:val="17"/>
              </w:rPr>
              <w:br/>
            </w:r>
            <w:r w:rsidRPr="001A5E97">
              <w:rPr>
                <w:sz w:val="17"/>
              </w:rPr>
              <w:br/>
              <w:t>Perceived usefulness</w:t>
            </w:r>
            <w:r w:rsidRPr="001A5E97">
              <w:rPr>
                <w:sz w:val="17"/>
              </w:rPr>
              <w:br/>
              <w:t>Value in clinical practice</w:t>
            </w:r>
            <w:r w:rsidRPr="001A5E97">
              <w:rPr>
                <w:sz w:val="17"/>
              </w:rPr>
              <w:br/>
            </w:r>
            <w:r w:rsidRPr="001A5E97">
              <w:rPr>
                <w:sz w:val="17"/>
              </w:rPr>
              <w:br/>
              <w:t>Care coordination improvement</w:t>
            </w:r>
            <w:r w:rsidRPr="001A5E97">
              <w:rPr>
                <w:sz w:val="17"/>
              </w:rPr>
              <w:br/>
              <w:t>More integrated and patient-centered care</w:t>
            </w:r>
          </w:p>
        </w:tc>
      </w:tr>
    </w:tbl>
    <w:p w14:paraId="12CF1DDE" w14:textId="77777777" w:rsidR="009010E9" w:rsidRPr="001A5E97" w:rsidRDefault="009010E9" w:rsidP="001A5E97">
      <w:pPr>
        <w:spacing w:after="40"/>
        <w:jc w:val="both"/>
      </w:pPr>
    </w:p>
    <w:p w14:paraId="2EB9931C" w14:textId="77777777" w:rsidR="009010E9" w:rsidRPr="001A5E97" w:rsidRDefault="00CE488D" w:rsidP="001A5E97">
      <w:pPr>
        <w:spacing w:before="80" w:line="240" w:lineRule="auto"/>
        <w:jc w:val="both"/>
      </w:pPr>
      <w:r w:rsidRPr="001A5E97">
        <w:rPr>
          <w:i/>
          <w:sz w:val="20"/>
        </w:rPr>
        <w:t>Figure 1. Input–Process–Output conceptual framework for HealthLink.</w:t>
      </w:r>
    </w:p>
    <w:p w14:paraId="204D5B43" w14:textId="77777777" w:rsidR="009010E9" w:rsidRPr="001A5E97" w:rsidRDefault="00CE488D" w:rsidP="001A5E97">
      <w:pPr>
        <w:ind w:firstLine="720"/>
        <w:jc w:val="both"/>
      </w:pPr>
      <w:r w:rsidRPr="001A5E97">
        <w:t>In this framework, the independent or enabling conditions are not treated as isolated technical variables. They interact through the workflow. For example, a complete referral cannot produce better coordination if the receiving facility cannot authenticate the sender, interpret the data, or see the referral status. The framework therefore treats FHIR as the organizing exchange standard and treats security, privacy, and user workflow as equally important design conditions. The outputs will be assessed through requirements findings, prototype review, and user evaluation rather than through patient outcome claims.</w:t>
      </w:r>
    </w:p>
    <w:p w14:paraId="52B2D4C2"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Research Locale and Participants</w:t>
      </w:r>
    </w:p>
    <w:p w14:paraId="3198F1E4" w14:textId="77777777" w:rsidR="009010E9" w:rsidRPr="001A5E97" w:rsidRDefault="00CE488D" w:rsidP="001A5E97">
      <w:pPr>
        <w:ind w:firstLine="720"/>
        <w:jc w:val="both"/>
      </w:pPr>
      <w:r w:rsidRPr="001A5E97">
        <w:t xml:space="preserve">The study will be conducted in selected healthcare facilities in Davao City, Philippines. The proposed locale includes at least one </w:t>
      </w:r>
      <w:proofErr w:type="gramStart"/>
      <w:r w:rsidRPr="001A5E97">
        <w:t>referring</w:t>
      </w:r>
      <w:proofErr w:type="gramEnd"/>
      <w:r w:rsidRPr="001A5E97">
        <w:t xml:space="preserve"> primary care or outpatient setting and one receiving hospital or specialty setting, with the possibility of including a diagnostic facility or medical records unit. The selection is intended to represent the referral pathway shown in the HealthLink concept: patient assessment, referral creation, clinical information exchange, receiving-provider review, and feedback to the referring provider.</w:t>
      </w:r>
    </w:p>
    <w:p w14:paraId="53848262" w14:textId="77777777" w:rsidR="009010E9" w:rsidRPr="001A5E97" w:rsidRDefault="00CE488D" w:rsidP="001A5E97">
      <w:pPr>
        <w:ind w:firstLine="720"/>
        <w:jc w:val="both"/>
      </w:pPr>
      <w:r w:rsidRPr="001A5E97">
        <w:t>Participants will be adults who have direct knowledge of referral, clinical documentation, health information management, information technology, or patient experience. The proposed target is approximately 40 participants: 8 physicians or specialists, 10 nurses or referral coordinators, 6 medical records or health information personnel, 4 health information technology or systems personnel, and 12 patients or patient representatives who have experienced a referral. The final number may be adjusted based on facility access and data saturation. Patients will not be asked to disclose unnecessary clinical details; the study will focus on their experience of referral communication, waiting, information repetition, and status visibility.</w:t>
      </w:r>
    </w:p>
    <w:p w14:paraId="1D8AB92E" w14:textId="77777777" w:rsidR="009010E9" w:rsidRPr="001A5E97" w:rsidRDefault="00CE488D" w:rsidP="001A5E97">
      <w:pPr>
        <w:ind w:firstLine="720"/>
        <w:jc w:val="both"/>
      </w:pPr>
      <w:r w:rsidRPr="001A5E97">
        <w:t>Inclusion criteria for provider and staff participants will be: (a) at least 18 years old; (b) currently affiliated with a selected facility; and (c) having at least six months of experience in referral, clinical care, medical records, health information management, or health information technology. Patient participants must be at least 18 years old, have experienced a referral within the relevant service network, and be able to provide informed consent. Individuals who cannot provide consent or who have no relevant experience with the referral process will be excluded.</w:t>
      </w:r>
    </w:p>
    <w:p w14:paraId="6DEEC970"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lastRenderedPageBreak/>
        <w:t>Sampling Technique</w:t>
      </w:r>
    </w:p>
    <w:p w14:paraId="7CB2C292" w14:textId="77777777" w:rsidR="009010E9" w:rsidRPr="001A5E97" w:rsidRDefault="00CE488D" w:rsidP="001A5E97">
      <w:pPr>
        <w:ind w:firstLine="720"/>
        <w:jc w:val="both"/>
      </w:pPr>
      <w:r w:rsidRPr="001A5E97">
        <w:t>Purposive sampling will be used to select facilities and participants who can provide information-rich accounts of the referral process. The study will seek variation across roles and facility types because interoperability requirements may differ between a referring clinic, a receiving hospital, a diagnostic service, and an information management unit. Within each participating facility, a designated contact person may assist in identifying eligible participants, but participation will remain voluntary and the researchers will avoid recruiting individuals whose supervisor directly controls their participation.</w:t>
      </w:r>
    </w:p>
    <w:p w14:paraId="70DF6907" w14:textId="77777777" w:rsidR="009010E9" w:rsidRPr="001A5E97" w:rsidRDefault="00CE488D" w:rsidP="001A5E97">
      <w:pPr>
        <w:ind w:firstLine="720"/>
        <w:jc w:val="both"/>
      </w:pPr>
      <w:r w:rsidRPr="001A5E97">
        <w:t>The proposed target of approximately 40 participants is intended to balance representation and feasibility for a concept proposal. Recruitment may stop when the planned role categories are adequately represented and additional interviews or open-ended survey responses no longer produce substantially new workflow requirements. The sample is not intended to statistically represent all healthcare workers or patients in Davao City. Instead, it is intended to provide a practical and diverse basis for requirements elicitation and preliminary user evaluation.</w:t>
      </w:r>
    </w:p>
    <w:p w14:paraId="45CD1379"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Data Collection Methods</w:t>
      </w:r>
    </w:p>
    <w:p w14:paraId="6770F261" w14:textId="77777777" w:rsidR="009010E9" w:rsidRPr="001A5E97" w:rsidRDefault="00CE488D" w:rsidP="001A5E97">
      <w:pPr>
        <w:ind w:firstLine="720"/>
        <w:jc w:val="both"/>
      </w:pPr>
      <w:r w:rsidRPr="001A5E97">
        <w:t xml:space="preserve">Data collection will proceed in four stages. First, the researchers will conduct </w:t>
      </w:r>
      <w:proofErr w:type="gramStart"/>
      <w:r w:rsidRPr="001A5E97">
        <w:t>document</w:t>
      </w:r>
      <w:proofErr w:type="gramEnd"/>
      <w:r w:rsidRPr="001A5E97">
        <w:t xml:space="preserve"> and workflow </w:t>
      </w:r>
      <w:proofErr w:type="gramStart"/>
      <w:r w:rsidRPr="001A5E97">
        <w:t>review</w:t>
      </w:r>
      <w:proofErr w:type="gramEnd"/>
      <w:r w:rsidRPr="001A5E97">
        <w:t>. Existing referral forms, information checklists, process maps, and non-identifying workflow materials will be examined to identify required data elements, hand-off points, delays, and current feedback mechanisms. No patient record will be copied into the research dataset unless specifically authorized by the participating facility and approved by the relevant ethics or privacy authority.</w:t>
      </w:r>
    </w:p>
    <w:p w14:paraId="730F62E1" w14:textId="77777777" w:rsidR="009010E9" w:rsidRPr="001A5E97" w:rsidRDefault="00CE488D" w:rsidP="001A5E97">
      <w:pPr>
        <w:ind w:firstLine="720"/>
        <w:jc w:val="both"/>
      </w:pPr>
      <w:r w:rsidRPr="001A5E97">
        <w:t>Second, semi-structured interviews or focused group discussions will be conducted with selected providers, referral coordinators, medical records personnel, IT staff, and administrators. Interview questions will address the current referral process, missing or duplicated information, communication channels, status visibility, interoperability needs, security and privacy concerns, and desired system features. Sessions will be documented through researcher notes or audio recording only with explicit consent. Interview data will be de-identified during transcription or coding.</w:t>
      </w:r>
    </w:p>
    <w:p w14:paraId="3051444E" w14:textId="77777777" w:rsidR="009010E9" w:rsidRPr="001A5E97" w:rsidRDefault="00CE488D" w:rsidP="001A5E97">
      <w:pPr>
        <w:ind w:firstLine="720"/>
        <w:jc w:val="both"/>
      </w:pPr>
      <w:r w:rsidRPr="001A5E97">
        <w:t>Third, the researchers will translate the findings into a requirements specification and FHIR-aligned concept model. The specification will identify user roles, referral states, required and optional data elements, candidate FHIR resources, terminology mappings, API interactions, validation rules, consent and access controls, audit events, and feedback requirements. The model will be reviewed for internal consistency and alignment with the available Philippine Core FHIR guidance, while recognizing that the national guide remains in development.</w:t>
      </w:r>
    </w:p>
    <w:p w14:paraId="38B633D6" w14:textId="77777777" w:rsidR="009010E9" w:rsidRPr="001A5E97" w:rsidRDefault="00CE488D" w:rsidP="001A5E97">
      <w:pPr>
        <w:ind w:firstLine="720"/>
        <w:jc w:val="both"/>
      </w:pPr>
      <w:r w:rsidRPr="001A5E97">
        <w:t xml:space="preserve">Fourth, participants will evaluate the proposed concept or prototype. The evaluation instrument may use a five-point Likert scale ranging from 1 (strongly disagree) to 5 (strongly agree) across dimensions such as ease of use, usefulness, information completeness, status </w:t>
      </w:r>
      <w:r w:rsidRPr="001A5E97">
        <w:lastRenderedPageBreak/>
        <w:t>visibility, interoperability readiness, privacy and security confidence, and intention to use. Open-ended questions will ask participants to identify the most valuable feature, the greatest risk, and the changes needed before pilot use. A short task-based walkthrough may be used, in which participants review a sample referral, attach a clinical summary, route it, update its status, and record feedback using synthetic or de-identified data.</w:t>
      </w:r>
    </w:p>
    <w:p w14:paraId="40EF67DE"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Data Analysis and Interpretation</w:t>
      </w:r>
    </w:p>
    <w:p w14:paraId="3B70824C" w14:textId="77777777" w:rsidR="009010E9" w:rsidRPr="001A5E97" w:rsidRDefault="00CE488D" w:rsidP="001A5E97">
      <w:pPr>
        <w:ind w:firstLine="720"/>
        <w:jc w:val="both"/>
      </w:pPr>
      <w:r w:rsidRPr="001A5E97">
        <w:t>Quantitative responses will be encoded and summarized using frequency, percentage, mean, and standard deviation as appropriate. For each evaluation dimension, the mean score will be computed from the valid responses. The proposed interpretation guide is: 4.21–5.00 = very high, 3.41–4.20 = high, 2.61–3.40 = moderate, 1.81–2.60 = low, and 1.00–1.80 = very low. These labels will be used only to summarize perceptions and will not be interpreted as proof of clinical effectiveness or technical conformance.</w:t>
      </w:r>
    </w:p>
    <w:p w14:paraId="66435E7F" w14:textId="77777777" w:rsidR="009010E9" w:rsidRPr="001A5E97" w:rsidRDefault="00CE488D" w:rsidP="001A5E97">
      <w:pPr>
        <w:ind w:firstLine="720"/>
        <w:jc w:val="both"/>
      </w:pPr>
      <w:r w:rsidRPr="001A5E97">
        <w:t xml:space="preserve">Qualitative </w:t>
      </w:r>
      <w:proofErr w:type="gramStart"/>
      <w:r w:rsidRPr="001A5E97">
        <w:t>interview</w:t>
      </w:r>
      <w:proofErr w:type="gramEnd"/>
      <w:r w:rsidRPr="001A5E97">
        <w:t>, observation, and open-ended survey data will be analyzed through thematic analysis. The researchers will first familiarize themselves with the data, identify meaningful statements, assign initial codes, group related codes into categories, and develop themes that describe workflow problems, information needs, interoperability requirements, privacy concerns, and adoption conditions. Representative paraphrased statements may be used in the manuscript without identifying participants or facilities. The qualitative findings will be compared with the quantitative results to identify convergence, divergence, and design priorities.</w:t>
      </w:r>
    </w:p>
    <w:p w14:paraId="418D1384" w14:textId="77777777" w:rsidR="009010E9" w:rsidRPr="001A5E97" w:rsidRDefault="00CE488D" w:rsidP="001A5E97">
      <w:pPr>
        <w:ind w:firstLine="720"/>
        <w:jc w:val="both"/>
      </w:pPr>
      <w:r w:rsidRPr="001A5E97">
        <w:t>The requirements and prototype review will also include a traceability check. Each major user requirement will be linked to a proposed feature, data element, FHIR resource or interaction, privacy or security control, and evaluation item. This matrix will help determine whether the proposed system addresses the research questions and whether important requirements have been omitted. Technical conformance testing, penetration testing, and live clinical integration are outside the scope of the initial concept proposal but should be included in a future pilot.</w:t>
      </w:r>
    </w:p>
    <w:p w14:paraId="5C327F93" w14:textId="77777777" w:rsidR="009010E9" w:rsidRPr="001A5E97" w:rsidRDefault="00CE488D" w:rsidP="001A5E97">
      <w:pPr>
        <w:pStyle w:val="Heading2"/>
        <w:spacing w:before="120" w:after="80"/>
        <w:jc w:val="both"/>
        <w:rPr>
          <w:color w:val="auto"/>
        </w:rPr>
      </w:pPr>
      <w:r w:rsidRPr="001A5E97">
        <w:rPr>
          <w:rFonts w:ascii="Times New Roman" w:eastAsia="Times New Roman" w:hAnsi="Times New Roman"/>
          <w:color w:val="auto"/>
        </w:rPr>
        <w:t>Ethical and Data Privacy Considerations</w:t>
      </w:r>
    </w:p>
    <w:p w14:paraId="18551554" w14:textId="77777777" w:rsidR="009010E9" w:rsidRPr="001A5E97" w:rsidRDefault="00CE488D" w:rsidP="001A5E97">
      <w:pPr>
        <w:ind w:firstLine="720"/>
        <w:jc w:val="both"/>
      </w:pPr>
      <w:r w:rsidRPr="001A5E97">
        <w:t>Before data collection, the researchers will seek approval from the appropriate institutional research ethics committee and permission from participating facilities. Participants will receive an informed consent form explaining the purpose of the study, procedures, voluntary nature of participation, foreseeable risks, expected benefits, confidentiality measures, and the right to withdraw without penalty. The study will use synthetic, de-identified, or minimum necessary information during prototype demonstration. Actual patient records will not be used for development or testing unless a separate approved protocol authorizes such use.</w:t>
      </w:r>
    </w:p>
    <w:p w14:paraId="131FF2B6" w14:textId="77777777" w:rsidR="009010E9" w:rsidRPr="001A5E97" w:rsidRDefault="00CE488D" w:rsidP="001A5E97">
      <w:pPr>
        <w:ind w:firstLine="720"/>
        <w:jc w:val="both"/>
      </w:pPr>
      <w:r w:rsidRPr="001A5E97">
        <w:t xml:space="preserve">Because health information is sensitive personal information under Philippine law, the researchers will apply data minimization, access restriction, secure storage, controlled sharing, and a defined retention and disposal schedule. Names of participants and facilities will be replaced with codes in the analysis file. Any prototype or screenshot used in presentations will </w:t>
      </w:r>
      <w:r w:rsidRPr="001A5E97">
        <w:lastRenderedPageBreak/>
        <w:t>exclude real identifiers. These measures are consistent with the Data Privacy Act of 2012 and the National Privacy Commission's guidance on the lawful processing and protection of health information (National Privacy Commission, 2018; Republic Act No. 10173, 2012).</w:t>
      </w:r>
    </w:p>
    <w:p w14:paraId="4BAEF6A0" w14:textId="77777777" w:rsidR="009010E9" w:rsidRPr="001A5E97" w:rsidRDefault="00CE488D" w:rsidP="001A5E97">
      <w:pPr>
        <w:jc w:val="both"/>
      </w:pPr>
      <w:r w:rsidRPr="001A5E97">
        <w:br w:type="page"/>
      </w:r>
    </w:p>
    <w:p w14:paraId="12382F0C" w14:textId="77777777" w:rsidR="009010E9" w:rsidRPr="001A5E97" w:rsidRDefault="00CE488D">
      <w:pPr>
        <w:pStyle w:val="Heading1"/>
        <w:spacing w:before="200" w:after="80"/>
        <w:rPr>
          <w:color w:val="auto"/>
        </w:rPr>
      </w:pPr>
      <w:r w:rsidRPr="001A5E97">
        <w:rPr>
          <w:rFonts w:ascii="Times New Roman" w:eastAsia="Times New Roman" w:hAnsi="Times New Roman"/>
          <w:color w:val="auto"/>
        </w:rPr>
        <w:lastRenderedPageBreak/>
        <w:t>References</w:t>
      </w:r>
    </w:p>
    <w:p w14:paraId="10718773" w14:textId="77777777" w:rsidR="009010E9" w:rsidRPr="001A5E97" w:rsidRDefault="00CE488D">
      <w:pPr>
        <w:ind w:left="720" w:hanging="720"/>
      </w:pPr>
      <w:r w:rsidRPr="001A5E97">
        <w:t>Department of Health. (2014). Philippine eHealth strategic framework and plan 2013–2017. https://ehealth.doh.gov.ph/images/PDF/PeHSFP20132017.pdf</w:t>
      </w:r>
    </w:p>
    <w:p w14:paraId="6E660112" w14:textId="77777777" w:rsidR="009010E9" w:rsidRPr="001A5E97" w:rsidRDefault="00CE488D">
      <w:pPr>
        <w:ind w:left="720" w:hanging="720"/>
      </w:pPr>
      <w:r w:rsidRPr="001A5E97">
        <w:t>Department of Health. (2023). National objectives for health 2023–2028. https://doh.gov.ph/wp-content/uploads/2024/01/National-Objectives-for-Health-2023-2028.pdf</w:t>
      </w:r>
    </w:p>
    <w:p w14:paraId="5A43F584" w14:textId="77777777" w:rsidR="009010E9" w:rsidRPr="001A5E97" w:rsidRDefault="00CE488D">
      <w:pPr>
        <w:ind w:left="720" w:hanging="720"/>
      </w:pPr>
      <w:r w:rsidRPr="001A5E97">
        <w:t xml:space="preserve">Dobrow, M. J., </w:t>
      </w:r>
      <w:proofErr w:type="spellStart"/>
      <w:r w:rsidRPr="001A5E97">
        <w:t>Bytautas</w:t>
      </w:r>
      <w:proofErr w:type="spellEnd"/>
      <w:r w:rsidRPr="001A5E97">
        <w:t xml:space="preserve">, J. P., </w:t>
      </w:r>
      <w:proofErr w:type="spellStart"/>
      <w:r w:rsidRPr="001A5E97">
        <w:t>Tharmalingam</w:t>
      </w:r>
      <w:proofErr w:type="spellEnd"/>
      <w:r w:rsidRPr="001A5E97">
        <w:t>, S., &amp; Hagens, S. (2019). Interoperable electronic health records and health information exchanges: Systematic review. JMIR Medical Informatics, 7(2), e12607. https://doi.org/10.2196/12607</w:t>
      </w:r>
    </w:p>
    <w:p w14:paraId="7C2EAB08" w14:textId="77777777" w:rsidR="009010E9" w:rsidRPr="001A5E97" w:rsidRDefault="00CE488D">
      <w:pPr>
        <w:ind w:left="720" w:hanging="720"/>
      </w:pPr>
      <w:r w:rsidRPr="001A5E97">
        <w:t xml:space="preserve">Hersh, W. R., Totten, A. M., Eden, K. B., Devine, B., Gorman, P., </w:t>
      </w:r>
      <w:proofErr w:type="spellStart"/>
      <w:r w:rsidRPr="001A5E97">
        <w:t>Kassakian</w:t>
      </w:r>
      <w:proofErr w:type="spellEnd"/>
      <w:r w:rsidRPr="001A5E97">
        <w:t xml:space="preserve">, S. Z., Woods, S. S., </w:t>
      </w:r>
      <w:proofErr w:type="spellStart"/>
      <w:r w:rsidRPr="001A5E97">
        <w:t>Daeges</w:t>
      </w:r>
      <w:proofErr w:type="spellEnd"/>
      <w:r w:rsidRPr="001A5E97">
        <w:t xml:space="preserve">, M., Pappas, M., &amp; McDonagh, </w:t>
      </w:r>
      <w:proofErr w:type="gramStart"/>
      <w:r w:rsidRPr="001A5E97">
        <w:t>M. S</w:t>
      </w:r>
      <w:proofErr w:type="gramEnd"/>
      <w:r w:rsidRPr="001A5E97">
        <w:t>. (2015). Outcomes from health information exchange: Systematic review and future research needs. JMIR Medical Informatics, 3(4), e39. https://doi.org/10.2196/medinform.5215</w:t>
      </w:r>
    </w:p>
    <w:p w14:paraId="25644932" w14:textId="77777777" w:rsidR="009010E9" w:rsidRPr="001A5E97" w:rsidRDefault="00CE488D">
      <w:pPr>
        <w:ind w:left="720" w:hanging="720"/>
      </w:pPr>
      <w:r w:rsidRPr="001A5E97">
        <w:t>HL7 International. (2023). FHIR overview (FHIR Release 5). https://fhir.hl7.org/fhir/overview.html</w:t>
      </w:r>
    </w:p>
    <w:p w14:paraId="1358BD3D" w14:textId="77777777" w:rsidR="009010E9" w:rsidRPr="001A5E97" w:rsidRDefault="00CE488D">
      <w:pPr>
        <w:ind w:left="720" w:hanging="720"/>
      </w:pPr>
      <w:r w:rsidRPr="001A5E97">
        <w:t>National Privacy Commission. (2018). Advisory opinion No. 2018-056: Lawful processing of sensitive personal information. https://privacy.gov.ph/wp-content/uploads/2022/01/AONo_2018-056.pdf</w:t>
      </w:r>
    </w:p>
    <w:p w14:paraId="4E6077DE" w14:textId="77777777" w:rsidR="009010E9" w:rsidRPr="001A5E97" w:rsidRDefault="00CE488D">
      <w:pPr>
        <w:ind w:left="720" w:hanging="720"/>
      </w:pPr>
      <w:r w:rsidRPr="001A5E97">
        <w:t>Naseriasl, M., Adair, C. E., &amp; Aquilina, A. M. (2015). E-referral solutions: Successful experiences, key features and challenges—A systematic review. Materia Socio-Medica, 27(3), 195–199. https://doi.org/10.5455/msm.2015.27.195-199</w:t>
      </w:r>
    </w:p>
    <w:p w14:paraId="65E36E04" w14:textId="77777777" w:rsidR="009010E9" w:rsidRPr="001A5E97" w:rsidRDefault="00CE488D">
      <w:pPr>
        <w:ind w:left="720" w:hanging="720"/>
      </w:pPr>
      <w:r w:rsidRPr="001A5E97">
        <w:t xml:space="preserve">O’Malley, A. S., </w:t>
      </w:r>
      <w:proofErr w:type="spellStart"/>
      <w:r w:rsidRPr="001A5E97">
        <w:t>Reschovsky</w:t>
      </w:r>
      <w:proofErr w:type="spellEnd"/>
      <w:r w:rsidRPr="001A5E97">
        <w:t>, J. D., Saiontz-Martinez, C., &amp; Kaskie, B. (2013). Electronic tools for health information exchange: An evidence-based analysis. Journal of the American Medical Informatics Association, 20(3), 493–502. https://doi.org/10.1136/amiajnl-2012-001332</w:t>
      </w:r>
    </w:p>
    <w:p w14:paraId="61007EA5" w14:textId="77777777" w:rsidR="009010E9" w:rsidRPr="001A5E97" w:rsidRDefault="00CE488D">
      <w:pPr>
        <w:ind w:left="720" w:hanging="720"/>
      </w:pPr>
      <w:r w:rsidRPr="001A5E97">
        <w:t>Philippine Statistics Authority. (2023, February 22). Age and sex distribution in Davao City (2020 Census of Population and Housing). https://rsso11.psa.gov.ph/content/age-and-sex-distribution-davao-city-2020-census-population-and-housing</w:t>
      </w:r>
    </w:p>
    <w:p w14:paraId="6B076F0F" w14:textId="77777777" w:rsidR="009010E9" w:rsidRPr="001A5E97" w:rsidRDefault="00CE488D">
      <w:pPr>
        <w:ind w:left="720" w:hanging="720"/>
      </w:pPr>
      <w:r w:rsidRPr="001A5E97">
        <w:t>Philippine Statistics Authority. (2025, August 11). 2024 Census of Population (POPCEN) official population counts in the City of Davao. https://rsso11.psa.gov.ph/content/2024-census-population-popcen-official-population-counts-city-davao</w:t>
      </w:r>
    </w:p>
    <w:p w14:paraId="173C7A9A" w14:textId="77777777" w:rsidR="009010E9" w:rsidRPr="001A5E97" w:rsidRDefault="00CE488D">
      <w:pPr>
        <w:ind w:left="720" w:hanging="720"/>
      </w:pPr>
      <w:r w:rsidRPr="001A5E97">
        <w:t>Republic Act No. 10173. (2012). Data Privacy Act of 2012. https://lawphil.net/statutes/repacts/ra2012/ra_10173_2012.html</w:t>
      </w:r>
    </w:p>
    <w:p w14:paraId="06382C02" w14:textId="77777777" w:rsidR="009010E9" w:rsidRPr="001A5E97" w:rsidRDefault="00CE488D">
      <w:pPr>
        <w:ind w:left="720" w:hanging="720"/>
      </w:pPr>
      <w:proofErr w:type="spellStart"/>
      <w:r w:rsidRPr="001A5E97">
        <w:t>Torab-Miandoab</w:t>
      </w:r>
      <w:proofErr w:type="spellEnd"/>
      <w:r w:rsidRPr="001A5E97">
        <w:t xml:space="preserve">, A., Samad-Soltani, T., </w:t>
      </w:r>
      <w:proofErr w:type="spellStart"/>
      <w:r w:rsidRPr="001A5E97">
        <w:t>Jodati</w:t>
      </w:r>
      <w:proofErr w:type="spellEnd"/>
      <w:r w:rsidRPr="001A5E97">
        <w:t>, A., &amp; Rezaei-</w:t>
      </w:r>
      <w:proofErr w:type="spellStart"/>
      <w:r w:rsidRPr="001A5E97">
        <w:t>Hachesu</w:t>
      </w:r>
      <w:proofErr w:type="spellEnd"/>
      <w:r w:rsidRPr="001A5E97">
        <w:t>, P. (2023). Interoperability of heterogeneous health information systems: A systematic literature review. BMC Medical Informatics and Decision Making, 23, Article 18. https://doi.org/10.1186/s12911-023-02115-5</w:t>
      </w:r>
    </w:p>
    <w:p w14:paraId="33FCF5D6" w14:textId="77777777" w:rsidR="009010E9" w:rsidRPr="001A5E97" w:rsidRDefault="00CE488D">
      <w:pPr>
        <w:ind w:left="720" w:hanging="720"/>
      </w:pPr>
      <w:r w:rsidRPr="001A5E97">
        <w:lastRenderedPageBreak/>
        <w:t xml:space="preserve">UP Manila National </w:t>
      </w:r>
      <w:proofErr w:type="spellStart"/>
      <w:r w:rsidRPr="001A5E97">
        <w:t>TeleHealth</w:t>
      </w:r>
      <w:proofErr w:type="spellEnd"/>
      <w:r w:rsidRPr="001A5E97">
        <w:t xml:space="preserve"> Center &amp; Department of Health. (2026). Draft Philippine Core FHIR Implementation Guide (Version 0.2.0). https://fhir.doh.gov.ph/phcore/index.html</w:t>
      </w:r>
    </w:p>
    <w:p w14:paraId="0A6FD38F" w14:textId="77777777" w:rsidR="009010E9" w:rsidRPr="001A5E97" w:rsidRDefault="00CE488D">
      <w:pPr>
        <w:ind w:left="720" w:hanging="720"/>
      </w:pPr>
      <w:proofErr w:type="spellStart"/>
      <w:r w:rsidRPr="001A5E97">
        <w:t>Campaz-Landazábal</w:t>
      </w:r>
      <w:proofErr w:type="spellEnd"/>
      <w:r w:rsidRPr="001A5E97">
        <w:t>, D., Vargas, I., &amp; Vázquez, M.-L. (2024). Impact of coordination mechanisms based on information and communication technologies on cross-level clinical coordination: A scoping review. Digital Health, 10, 20552076241271854. https://doi.org/10.1177/20552076241271854</w:t>
      </w:r>
    </w:p>
    <w:p w14:paraId="7F13CCFE" w14:textId="77777777" w:rsidR="009010E9" w:rsidRPr="001A5E97" w:rsidRDefault="00CE488D">
      <w:pPr>
        <w:ind w:left="720" w:hanging="720"/>
      </w:pPr>
      <w:r w:rsidRPr="001A5E97">
        <w:t>World Health Organization. (2025). Digital health. https://www.who.int/health-topics/digital-health</w:t>
      </w:r>
    </w:p>
    <w:p w14:paraId="35AC2762" w14:textId="77777777" w:rsidR="009010E9" w:rsidRPr="001A5E97" w:rsidRDefault="00CE488D">
      <w:pPr>
        <w:ind w:left="720" w:hanging="720"/>
      </w:pPr>
      <w:r w:rsidRPr="001A5E97">
        <w:t>World Health Organization, &amp; International Telecommunication Union. (2020). Digital health platform handbook: Building a digital information infrastructure for health. World Health Organization. https://www.who.int/publications/i/item/9789240013728</w:t>
      </w:r>
    </w:p>
    <w:sectPr w:rsidR="009010E9" w:rsidRPr="001A5E97"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AE963" w14:textId="77777777" w:rsidR="00FD316F" w:rsidRDefault="00FD316F">
      <w:pPr>
        <w:spacing w:after="0" w:line="240" w:lineRule="auto"/>
      </w:pPr>
      <w:r>
        <w:separator/>
      </w:r>
    </w:p>
  </w:endnote>
  <w:endnote w:type="continuationSeparator" w:id="0">
    <w:p w14:paraId="1BF5270F" w14:textId="77777777" w:rsidR="00FD316F" w:rsidRDefault="00FD3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1F57" w14:textId="77777777" w:rsidR="009010E9" w:rsidRDefault="00CE488D">
    <w:pPr>
      <w:pStyle w:val="Footer"/>
      <w:jc w:val="center"/>
    </w:pPr>
    <w:r>
      <w:rPr>
        <w:sz w:val="20"/>
      </w:rPr>
      <w:fldChar w:fldCharType="begin"/>
    </w:r>
    <w:r>
      <w:rPr>
        <w:sz w:val="20"/>
      </w:rPr>
      <w:instrText xml:space="preserve"> PAGE </w:instrText>
    </w:r>
    <w:r>
      <w:rPr>
        <w:sz w:val="20"/>
      </w:rPr>
      <w:fldChar w:fldCharType="separate"/>
    </w:r>
    <w:r w:rsidR="001A5E9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AB04" w14:textId="77777777" w:rsidR="00FD316F" w:rsidRDefault="00FD316F">
      <w:pPr>
        <w:spacing w:after="0" w:line="240" w:lineRule="auto"/>
      </w:pPr>
      <w:r>
        <w:separator/>
      </w:r>
    </w:p>
  </w:footnote>
  <w:footnote w:type="continuationSeparator" w:id="0">
    <w:p w14:paraId="05009C8B" w14:textId="77777777" w:rsidR="00FD316F" w:rsidRDefault="00FD3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277349">
    <w:abstractNumId w:val="7"/>
  </w:num>
  <w:num w:numId="2" w16cid:durableId="121728536">
    <w:abstractNumId w:val="6"/>
  </w:num>
  <w:num w:numId="3" w16cid:durableId="1240142606">
    <w:abstractNumId w:val="8"/>
  </w:num>
  <w:num w:numId="4" w16cid:durableId="1496998219">
    <w:abstractNumId w:val="0"/>
  </w:num>
  <w:num w:numId="5" w16cid:durableId="1760833976">
    <w:abstractNumId w:val="5"/>
  </w:num>
  <w:num w:numId="6" w16cid:durableId="2015261841">
    <w:abstractNumId w:val="2"/>
  </w:num>
  <w:num w:numId="7" w16cid:durableId="5865187">
    <w:abstractNumId w:val="4"/>
  </w:num>
  <w:num w:numId="8" w16cid:durableId="842545771">
    <w:abstractNumId w:val="1"/>
  </w:num>
  <w:num w:numId="9" w16cid:durableId="865758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0A"/>
    <w:rsid w:val="0006063C"/>
    <w:rsid w:val="000902BB"/>
    <w:rsid w:val="0015074B"/>
    <w:rsid w:val="001A5E97"/>
    <w:rsid w:val="0029639D"/>
    <w:rsid w:val="00326F90"/>
    <w:rsid w:val="00362503"/>
    <w:rsid w:val="003A15F8"/>
    <w:rsid w:val="003B3F87"/>
    <w:rsid w:val="003B7D29"/>
    <w:rsid w:val="005472A7"/>
    <w:rsid w:val="005C19DC"/>
    <w:rsid w:val="005D0DA2"/>
    <w:rsid w:val="0079619E"/>
    <w:rsid w:val="009010E9"/>
    <w:rsid w:val="00986A54"/>
    <w:rsid w:val="00A07CA6"/>
    <w:rsid w:val="00AA1D8D"/>
    <w:rsid w:val="00AB44F4"/>
    <w:rsid w:val="00B47730"/>
    <w:rsid w:val="00B96FD9"/>
    <w:rsid w:val="00BE4C9A"/>
    <w:rsid w:val="00BE549C"/>
    <w:rsid w:val="00CB0664"/>
    <w:rsid w:val="00CE488D"/>
    <w:rsid w:val="00E30137"/>
    <w:rsid w:val="00E47937"/>
    <w:rsid w:val="00E722A0"/>
    <w:rsid w:val="00F77817"/>
    <w:rsid w:val="00FC693F"/>
    <w:rsid w:val="00FD316F"/>
    <w:rsid w:val="00FF3833"/>
    <w:rsid w:val="0273ABDD"/>
    <w:rsid w:val="36550AA5"/>
    <w:rsid w:val="57F0FE48"/>
    <w:rsid w:val="633FCB87"/>
    <w:rsid w:val="667D7B2D"/>
    <w:rsid w:val="671820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BDC25"/>
  <w14:defaultImageDpi w14:val="300"/>
  <w15:docId w15:val="{6B1EBC6F-EF70-464F-9BC1-5F2288BC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1A5E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18</Pages>
  <Words>6679</Words>
  <Characters>38076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HealthLink Manuscript Chapters 1 to 3</vt:lpstr>
    </vt:vector>
  </TitlesOfParts>
  <Manager/>
  <Company/>
  <LinksUpToDate>false</LinksUpToDate>
  <CharactersWithSpaces>44666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HealthLink Manuscript Chapters 1 to 3</dc:title>
  <dc:subject>Project concept proposal manuscript for an interoperable patient referral and health information exchange system</dc:subject>
  <dc:creator>Project Research Team</dc:creator>
  <cp:keywords>HealthLink, FHIR, interoperability, patient referral, health information exchange, Davao City</cp:keywords>
  <dc:description>generated by python-docx</dc:description>
  <cp:lastModifiedBy>James Conrad M. Santiago</cp:lastModifiedBy>
  <cp:revision>2</cp:revision>
  <dcterms:created xsi:type="dcterms:W3CDTF">2026-10-12T11:19:00Z</dcterms:created>
  <dcterms:modified xsi:type="dcterms:W3CDTF">2026-10-12T11:19:00Z</dcterms:modified>
  <cp:category/>
</cp:coreProperties>
</file>