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Red Team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James Brown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Joshua Frazier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Christopher McCracken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Taylor Reid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Jul 11,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Module 11.1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Reports: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 deliveries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rPr>
          <w:rFonts w:ascii="Calibri" w:cs="Calibri" w:eastAsia="Calibri" w:hAnsi="Calibri"/>
          <w:color w:val="233a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Late</w:t>
      </w: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 Deliveries report displays a month by month tracking of deliveries that were late and the time gap it took to be logged. 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33a44"/>
          <w:sz w:val="24"/>
          <w:szCs w:val="24"/>
          <w:rtl w:val="0"/>
        </w:rPr>
        <w:t xml:space="preserve">Assumption was made if the deliveries arrived on different dates and were logged.</w:t>
      </w:r>
    </w:p>
    <w:p w:rsidR="00000000" w:rsidDel="00000000" w:rsidP="00000000" w:rsidRDefault="00000000" w:rsidRPr="00000000" w14:paraId="00000010">
      <w:pPr>
        <w:widowControl w:val="0"/>
        <w:spacing w:after="240" w:lineRule="auto"/>
        <w:rPr>
          <w:rFonts w:ascii="Calibri" w:cs="Calibri" w:eastAsia="Calibri" w:hAnsi="Calibri"/>
          <w:color w:val="233a4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33a44"/>
          <w:sz w:val="26"/>
          <w:szCs w:val="26"/>
        </w:rPr>
        <w:drawing>
          <wp:inline distB="19050" distT="19050" distL="19050" distR="19050">
            <wp:extent cx="2019350" cy="188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208" l="0" r="8975" t="7957"/>
                    <a:stretch>
                      <a:fillRect/>
                    </a:stretch>
                  </pic:blipFill>
                  <pic:spPr>
                    <a:xfrm>
                      <a:off x="0" y="0"/>
                      <a:ext cx="2019350" cy="18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lineRule="auto"/>
        <w:rPr>
          <w:rFonts w:ascii="Calibri" w:cs="Calibri" w:eastAsia="Calibri" w:hAnsi="Calibri"/>
          <w:color w:val="233a4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33a44"/>
          <w:sz w:val="26"/>
          <w:szCs w:val="26"/>
        </w:rPr>
        <w:drawing>
          <wp:inline distB="19050" distT="19050" distL="19050" distR="19050">
            <wp:extent cx="3875651" cy="2571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3456" t="7097"/>
                    <a:stretch>
                      <a:fillRect/>
                    </a:stretch>
                  </pic:blipFill>
                  <pic:spPr>
                    <a:xfrm>
                      <a:off x="0" y="0"/>
                      <a:ext cx="3875651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Wines sold report - a report showing which wines were most popular with each distributor and ranked by bottles sold.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Wines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Sold report identifies the wines by type,  which type the distributor carries, and how many were sold for focus.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Assumption made here is based on region and demand.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9050" distT="19050" distL="19050" distR="19050">
            <wp:extent cx="4730701" cy="1708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9283" l="0" r="0" t="9283"/>
                    <a:stretch>
                      <a:fillRect/>
                    </a:stretch>
                  </pic:blipFill>
                  <pic:spPr>
                    <a:xfrm>
                      <a:off x="0" y="0"/>
                      <a:ext cx="4730701" cy="170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Hours worked by employees during each quarter.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Hours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Worked breaks down an employee's credentials, role, and quarter on hours worked and provides a total for account budgeting.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Assumptions made were employees worked only one role and paid hourly per quarter.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9050" distT="19050" distL="19050" distR="19050">
            <wp:extent cx="5943600" cy="157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0992" l="0" r="2505" t="109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