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微软雅黑"/>
          <w:color w:val="000000"/>
          <w:sz w:val="28"/>
        </w:rPr>
        <w:t>销售人员绩效评估报告</w:t>
      </w:r>
    </w:p>
    <w:p>
      <w:pPr>
        <w:spacing w:after="60"/>
        <w:jc w:val="center"/>
      </w:pPr>
      <w:r>
        <w:rPr>
          <w:rFonts w:ascii="Microsoft YaHei" w:hAnsi="Microsoft YaHei" w:eastAsia="微软雅黑"/>
          <w:color w:val="000000"/>
          <w:sz w:val="15"/>
        </w:rPr>
        <w:t>Sales Performance Review Report</w:t>
      </w:r>
    </w:p>
    <w:p>
      <w:pPr>
        <w:spacing w:after="240"/>
        <w:jc w:val="center"/>
      </w:pPr>
      <w:r>
        <w:rPr>
          <w:rFonts w:ascii="Microsoft YaHei" w:hAnsi="Microsoft YaHei" w:eastAsia="微软雅黑"/>
          <w:color w:val="000000"/>
          <w:sz w:val="10"/>
        </w:rPr>
        <w:t>文档编号：HC-SAL-2026-李华伟  |  版本：V1.0  |  报告日期：2026-03-28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员工姓名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李华伟</w:t>
            </w:r>
          </w:p>
        </w:tc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员工类别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正式员工</w:t>
            </w:r>
          </w:p>
        </w:tc>
      </w:tr>
      <w:tr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岗位类型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区域销售</w:t>
            </w:r>
          </w:p>
        </w:tc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直属上级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郭小会</w:t>
            </w:r>
          </w:p>
        </w:tc>
      </w:tr>
      <w:tr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所属部门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营销中心（销售部）</w:t>
            </w:r>
          </w:p>
        </w:tc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评估周期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2026年Q1（1/1—3/27）</w:t>
            </w:r>
          </w:p>
        </w:tc>
      </w:tr>
      <w:tr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入职日期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老员工（早于系统建立）</w:t>
            </w:r>
          </w:p>
        </w:tc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报告日期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2026-03-28</w:t>
            </w:r>
          </w:p>
        </w:tc>
      </w:tr>
      <w:tr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薪酬确认书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HC-SAL-2026-李华伟（待补充）</w:t>
            </w:r>
          </w:p>
        </w:tc>
        <w:tc>
          <w:tcPr>
            <w:tcW w:type="dxa" w:w="2437"/>
            <w:shd w:fill="F5F5F5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评估依据</w:t>
            </w:r>
          </w:p>
        </w:tc>
        <w:tc>
          <w:tcPr>
            <w:tcW w:type="dxa" w:w="2437"/>
            <w:shd w:fill="FFFFFF" w:val="clear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系统数据 + 绩效评估制度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第一条  绩效指标评分汇总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考核周期：2026年Q1（1/1—3/27）。李华伟为老员工，不存在适应期因素。由于薪酬确认书尚未提供，批价完成率和绩效系数待补充，以下列出实际数据供核算使用。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FF3CD" w:val="clear"/>
          </w:tcPr>
          <w:p>
            <w:r>
              <w:rPr>
                <w:rFonts w:ascii="Microsoft YaHei" w:hAnsi="Microsoft YaHei" w:eastAsia="微软雅黑"/>
                <w:color w:val="555555"/>
                <w:sz w:val="10"/>
              </w:rPr>
              <w:t>重要说明：本次评估未收到李华伟的薪酬绩效确认书，批价完成率和绩效系数待补充。Q1批价53.56万为团队最高产出。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#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考核指标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年度目标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Q1目标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Q1实际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完成率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评定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批价目标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待补充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待补充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53.56万（4单）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商机面价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待补充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Q1报价14份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集成商签约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待补充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新客户开发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待补充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Q1新增17家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项目存活率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≥80%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≥80%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21/80=26%活跃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大量历史项目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1.1  Q1批价单明细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项目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批价金额（万）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报价面价（万）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批价率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日期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仙居民宿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0.99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2.19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45%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2/26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江西南昌轨交产业园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4.47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9.94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45%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2/26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杭州华东医药改造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31.16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82.01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38%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3/19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张家浜楔形绿地办公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16.94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37.66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45%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3/23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53.56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</w:tbl>
    <w:p/>
    <w:p>
      <w:r>
        <w:rPr>
          <w:rFonts w:ascii="Microsoft YaHei" w:hAnsi="Microsoft YaHei" w:eastAsia="微软雅黑"/>
          <w:color w:val="555555"/>
          <w:sz w:val="10"/>
        </w:rPr>
        <w:t>批价率基准：23份历史批价单中78%为45%标准批价率，极其稳定。低于45%的为大单让利（博览中心42%、华东医药38%、阿里达摩院37%）。</w:t>
      </w:r>
    </w:p>
    <w:p>
      <w:r>
        <w:rPr>
          <w:rFonts w:ascii="Microsoft YaHei" w:hAnsi="Microsoft YaHei" w:eastAsia="微软雅黑"/>
          <w:color w:val="000000"/>
          <w:sz w:val="13"/>
        </w:rPr>
        <w:t>1.2  季度纵向对比（同期 + 上季度）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指标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2025 Q1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2025 Q4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2026 Q1（本季）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同比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环比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批价单数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1份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7份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4份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+300%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-43%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批价金额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5.8万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94.7万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53.6万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+824%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-43%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报价单数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5份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25份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14份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+180%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-44%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行动记录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0条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13条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82条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+531%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新项目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15个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新客户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17家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</w:tbl>
    <w:p/>
    <w:p>
      <w:r>
        <w:rPr>
          <w:rFonts w:ascii="Microsoft YaHei" w:hAnsi="Microsoft YaHei" w:eastAsia="微软雅黑"/>
          <w:color w:val="555555"/>
          <w:sz w:val="10"/>
        </w:rPr>
        <w:t>趋势判断：同比大幅增长（批价+824%），行动力Q1爆发（82条 vs Q4仅13条）。环比下降43%但Q4是历史高峰，Q1仍是第二高季度。整体趋势向好。</w:t>
      </w:r>
    </w:p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第二条  项目管线深度分析</w:t>
      </w:r>
    </w:p>
    <w:p>
      <w:r>
        <w:rPr>
          <w:rFonts w:ascii="Microsoft YaHei" w:hAnsi="Microsoft YaHei" w:eastAsia="微软雅黑"/>
          <w:color w:val="000000"/>
          <w:sz w:val="13"/>
        </w:rPr>
        <w:t>2.1  漏斗结构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李华伟管线共80个项目（排除已丢失），各阶段均有覆盖。投标中13个是最大亮点——储备转化效率高，已签约26个提供持续产出基础。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阶段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总数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活跃数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占比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说明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发现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11%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前期储备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植入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24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30%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最大储备池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招标准备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已报价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13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16%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✅ 最大亮点，转化基础充足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已中标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待批价落地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已签约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33%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历史已落地项目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2.2  Q1行动的阶段分布（精力分配分析）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Q1精力集中在投标中（35%行动）和植入（26%）——投标中阶段优先级最高是正确的，说明精力聚焦在最接近成交的项目。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项目阶段</w:t>
            </w:r>
          </w:p>
        </w:tc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行动次数</w:t>
            </w:r>
          </w:p>
        </w:tc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涉及项目数</w:t>
            </w:r>
          </w:p>
        </w:tc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评价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发现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少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植入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18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11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储备培育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招标准备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24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✅ 最密集（35%）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已中标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合理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已签约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11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已落地跟进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2.3  行动集中度分析（按单个项目）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行动分布较均匀，TOP1仅占10%（张江集辰），没有过度集中在单个项目的问题。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项目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阶段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Q1行动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占总行动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说明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张江集辰中心二期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10%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Q1最密集跟进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杭州华东医药改造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已签约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已出批价31.16万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徐汇华泾镇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持续推进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衢州漂莱特工厂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植入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储备项目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新疆数据中心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跨区域项目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临安城市客厅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有代理商配合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其余项目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各阶段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各1-2次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35%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分布均匀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2.4  Q1项目阶段推进情况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8D7DA" w:val="clear"/>
          </w:tcPr>
          <w:p>
            <w:r>
              <w:rPr>
                <w:rFonts w:ascii="Microsoft YaHei" w:hAnsi="Microsoft YaHei" w:eastAsia="微软雅黑"/>
                <w:color w:val="555555"/>
                <w:sz w:val="10"/>
              </w:rPr>
              <w:t>关键发现：Q1没有任何项目发生系统记录的阶段推进（change_logs中current_stage变更记录为0条）。但实际上华东医药项目已完成从投标到签约到批价的全过程，说明系统状态更新严重滞后。建议立即更新所有项目的阶段状态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第三条  客户角色均衡性分析</w:t>
      </w:r>
    </w:p>
    <w:p>
      <w:r>
        <w:rPr>
          <w:rFonts w:ascii="Microsoft YaHei" w:hAnsi="Microsoft YaHei" w:eastAsia="微软雅黑"/>
          <w:color w:val="000000"/>
          <w:sz w:val="13"/>
        </w:rPr>
        <w:t>3.1  客户库与行动记录角色分布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李华伟客户库96家，但角色结构明显失衡：集成商严重过重（60%），代理商/合作伙伴严重不足（6%），终端用户行动完全为零。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客户类型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客户数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客户占比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行动记录占比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健康基准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诊断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集成商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58家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严重偏高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设计院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23家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24%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17%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偏高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终端用户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8家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❌ 严重偏低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代理商/合作伙伴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6家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13%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❌ 严重偏低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分销商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1家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3.2  终端用户缺失的影响链（重点）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客户库8家终端用户，Q1行动记录中终端用户互动0次。业务行动完全聚焦在集成商（70%）和设计院（17%），这两个角色难以帮助链接到终端用户，从而影响最终成功率：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设计院提供图纸和品牌推荐，但不决定采购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集成商负责投标和实施，但不决定品牌选择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缺少终端用户（业主）互动 → 无法影响业主决策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项目成功率完全取决于集成商的配合意愿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一旦集成商被竞品压价或替换 → 项目丢失</w:t>
      </w:r>
    </w:p>
    <w:p>
      <w:r>
        <w:rPr>
          <w:rFonts w:ascii="Microsoft YaHei" w:hAnsi="Microsoft YaHei" w:eastAsia="微软雅黑"/>
          <w:color w:val="000000"/>
          <w:sz w:val="13"/>
        </w:rPr>
        <w:t>3.3  代理商与合作伙伴深度分析（重点）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6家代理商/合作伙伴中，正式代理商仅2家（航博、德方），合作伙伴4家全部Q1行动为0。代理商发展极度薄弱。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代理商/合作伙伴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类型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Q1行动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占比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关联项目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关联阶段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行动对象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浙江航博智能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代理商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75%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5个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全阶段覆盖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集成商为主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浙江德方智能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代理商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13%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1个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上海福玛通信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代理商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沉默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上海大展通信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合作伙伴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沉默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上海弘谊工程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合作伙伴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沉默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上海鑫桉信息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合作伙伴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沉默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杭州合义信息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合作伙伴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沉默</w:t>
            </w:r>
          </w:p>
        </w:tc>
      </w:tr>
    </w:tbl>
    <w:p/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代理商渠道三重问题：</w:t>
        <w:br/>
        <w:t>一、代理商发展不良：正式代理商仅2家，合作伙伴4家全部沉默，渠道建设极度薄弱。</w:t>
        <w:br/>
        <w:t>二、行动过度集中在航博一家：航博占代理商行动75%（6/8次），历史总行动14次。单点依赖风险极高。</w:t>
        <w:br/>
        <w:t>三、代理商互动对象仍以集成商为主：缺少代理商→终端用户的连接链条，项目决策被动。</w:t>
      </w:r>
    </w:p>
    <w:p>
      <w:r>
        <w:rPr>
          <w:rFonts w:ascii="Microsoft YaHei" w:hAnsi="Microsoft YaHei" w:eastAsia="微软雅黑"/>
          <w:color w:val="000000"/>
          <w:sz w:val="13"/>
        </w:rPr>
        <w:t>3.4  未录入客户/角色识别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从Q1行动记录中提取已接触但未关联系统客户的记录（18条无客户关联的行动），识别出以下未录入的客户和角色：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日期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提及客户/联系人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角色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系统状态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建议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1/14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浙江绿城房屋、浙江绿城建筑、浙江亚卫通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集成商/终端用户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需检查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立即录入并关联项目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1/21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壹杰采购（甲方）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终端用户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已有客户但未关联行动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关联行动记录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1/27,1/29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瑞康代理商（曹总）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代理商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未录入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立即录入——已实质配合投标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1/30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农夫山泉酒店、新疆阿克苏万豪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终端用户/项目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未建项目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录入客户并建项目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2/9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业主（要求勘察远端机样品）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终端用户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未录入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需确认业主公司名并录入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浙江思迈德信息技术有限公司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集成商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需检查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已中标，录入并关联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益邦行余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合作伙伴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需检查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录入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3/10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凌越、驿传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竞品/集成商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竞品信息记录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8D7DA" w:val="clear"/>
          </w:tcPr>
          <w:p>
            <w:r>
              <w:rPr>
                <w:rFonts w:ascii="Microsoft YaHei" w:hAnsi="Microsoft YaHei" w:eastAsia="微软雅黑"/>
                <w:color w:val="555555"/>
                <w:sz w:val="10"/>
              </w:rPr>
              <w:t>关键发现：瑞康代理商（曹总）已实质配合投标并促成品牌确认（1/27-1/29行动），但未录入系统——这是一个活跃的代理商资源被遗漏。另外多个终端用户/业主在行动中提及但未录入，导致角色均衡数据失真。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3.5  渠道问题总结与明确要求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当前渠道结构的核心矛盾：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理想模式：代理商 → 终端用户 → 反馈需求 → 影响业主决策 → 项目主动推进</w:t>
      </w:r>
    </w:p>
    <w:p>
      <w:pPr>
        <w:pStyle w:val="ListParagraph"/>
      </w:pPr>
      <w:r>
        <w:rPr>
          <w:rFonts w:ascii="Microsoft YaHei" w:hAnsi="Microsoft YaHei" w:eastAsia="微软雅黑"/>
          <w:color w:val="000000"/>
          <w:sz w:val="11"/>
        </w:rPr>
        <w:t>实际模式：代理商 → 集成商 → 被动等结果 → 无法影响业主 → 项目被动等待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明确要求：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要求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具体内容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目标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完成潜在代理商签约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瑞康代理商已实质配合但未签约，4家沉默合作伙伴需评估签约或淘汰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Q2至少新增2家正式代理商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激活代理商的项目转化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福玛通信Q1行动为0，已签约但不产出——必须激活或淘汰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Q2每家代理商至少有1个活跃项目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代理商必须带出终端用户接触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Q1代理商行动全部面向集成商——代理商项目中不能只有集成商而没有终端用户交互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Q2每个代理商至少完成2次终端用户拜访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减少航博单点依赖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航博占代理商行动75%——过度依赖单一代理商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Q2航博占比降至50%以下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增加终端用户互动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Q1终端用户行动0次——必须在已中标和投标中项目直接接触业主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Q2每个已中标/投标中项目至少1次业主端行动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立即补录未录入客户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瑞康代理商、多个终端用户/业主未录入系统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1周内完成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3.6  业务影响力预判（11个关键项目）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对每个已中标/投标中项目，分析Q1行动链条中的角色组成。如果行动链条缺少终端用户环节，业务影响力不足，成败由集成商决定：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93"/>
        <w:gridCol w:w="1393"/>
        <w:gridCol w:w="1393"/>
        <w:gridCol w:w="1393"/>
        <w:gridCol w:w="1393"/>
        <w:gridCol w:w="1393"/>
        <w:gridCol w:w="1393"/>
      </w:tblGrid>
      <w:tr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项目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阶段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终端用户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代理商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集成商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设计院</w:t>
            </w:r>
          </w:p>
        </w:tc>
        <w:tc>
          <w:tcPr>
            <w:tcW w:type="dxa" w:w="1393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影响力判断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上海塘桥 #544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已中标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质子重离子医院 #676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已中标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义乌歌剧院 #876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已中标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❌ 无影响力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临安城市客厅 #559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台州国博酒店 #736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被动（仅代理商）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徐汇华泾镇 #883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张江集辰二期 #928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济源石化 #929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新疆数据中心 #969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张家浜C2b #985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被动</w:t>
            </w:r>
          </w:p>
        </w:tc>
      </w:tr>
      <w:tr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三林滨江11单元 #1040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投标中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393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❌ 无影响力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F8D7DA" w:val="clear"/>
          </w:tcPr>
          <w:p>
            <w:r>
              <w:rPr>
                <w:rFonts w:ascii="Microsoft YaHei" w:hAnsi="Microsoft YaHei" w:eastAsia="微软雅黑"/>
                <w:color w:val="555555"/>
                <w:sz w:val="10"/>
              </w:rPr>
              <w:t>结论：11个关键项目，终端用户行动全部为0。2个无影响力，9个被动。没有一个项目有主动把握的影响力——必须增加代理商与终端用户的互动来提升业务把握。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第四条  行动力与数据质量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行动力表现优秀：46篇日志100%提交（无draft）、98条工作条目、104次系统操作。Q1新增17家客户、15个项目、15份报价，系统使用极其积极。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工作类型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次数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关联客户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关联项目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评价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客户拜访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37（38%）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31（84%）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24（65%）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✅ 关联率高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售前支持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34（35%）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17（50%）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29（85%）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✅ 项目关联率极高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16（16%）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未关联客户/项目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其他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9（9%）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商务洽谈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2（2%）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偏少</w:t>
            </w:r>
          </w:p>
        </w:tc>
      </w:tr>
    </w:tbl>
    <w:p/>
    <w:p>
      <w:r>
        <w:rPr>
          <w:rFonts w:ascii="Microsoft YaHei" w:hAnsi="Microsoft YaHei" w:eastAsia="微软雅黑"/>
          <w:color w:val="555555"/>
          <w:sz w:val="10"/>
        </w:rPr>
        <w:t>客户拜访+售前支持占73%，与区域销售定位吻合。售前支持的项目关联率85%说明技术支持目标明确。商务洽谈仅2次（2%），偏低——需在投标中/已中标阶段增加商务洽谈力度。</w:t>
      </w:r>
    </w:p>
    <w:p>
      <w:r>
        <w:rPr>
          <w:rFonts w:ascii="Microsoft YaHei" w:hAnsi="Microsoft YaHei" w:eastAsia="微软雅黑"/>
          <w:color w:val="000000"/>
          <w:sz w:val="13"/>
        </w:rPr>
        <w:t>4.1  系统操作统计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操作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对象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次数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CREATE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客户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17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UPDATE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客户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12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CREATE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联系人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12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CREATE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项目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15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CREATE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报价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15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UPDATE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报价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32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合计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104</w:t>
            </w:r>
          </w:p>
        </w:tc>
      </w:tr>
    </w:tbl>
    <w:p/>
    <w:p>
      <w:r>
        <w:rPr>
          <w:rFonts w:ascii="Microsoft YaHei" w:hAnsi="Microsoft YaHei" w:eastAsia="微软雅黑"/>
          <w:color w:val="555555"/>
          <w:sz w:val="10"/>
        </w:rPr>
        <w:t>报价UPDATE 32次说明在积极调整报价内容，系统使用活跃度高。</w:t>
      </w:r>
    </w:p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第五条  上级管理有效性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郭小会对李华伟Q1管理记录共8条：5次周例会（稳定）+ 2次专项会议（含分销商沟通）+ 1次拜访（邹飞/成都区域）。管理以周例会为主。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日期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类型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内容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1/13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拜访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和邹飞沟通成都区域业务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1/13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和杨俊杰、李华伟及两家分销商沟通年末活动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1/19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和杨俊杰、李华伟会议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2/2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周例会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2/9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周例会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3/2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周例会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3/9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周例会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3/23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会议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周例会</w:t>
            </w:r>
          </w:p>
        </w:tc>
      </w:tr>
    </w:tbl>
    <w:p/>
    <w:p>
      <w:r>
        <w:rPr>
          <w:rFonts w:ascii="Microsoft YaHei" w:hAnsi="Microsoft YaHei" w:eastAsia="微软雅黑"/>
          <w:color w:val="555555"/>
          <w:sz w:val="10"/>
        </w:rPr>
        <w:t>善意提醒（数据可能不完整，以下建议仅作参考）：管理以周例会为主，节奏稳定。李华伟作为批价产出最好的老销售，"不需要过多管理"可以理解。但建议后续关注代理商渠道极度薄弱的问题（6家中仅航博活跃），这个结构性风险需要上级介入引导——帮助发展新代理商、推动合作伙伴签约。</w:t>
      </w:r>
    </w:p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第六条  Q2批价预判</w:t>
      </w:r>
    </w:p>
    <w:p>
      <w:r>
        <w:rPr>
          <w:rFonts w:ascii="Microsoft YaHei" w:hAnsi="Microsoft YaHei" w:eastAsia="微软雅黑"/>
          <w:color w:val="000000"/>
          <w:sz w:val="13"/>
        </w:rPr>
        <w:t>6.1  批价率基准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基于李华伟23份历史批价数据，45%是其标准批价率（18/23个项目，占78%），以此作为Q2预判基准。低于45%的为大单让利（博览中心42%、华东医药38%、阿里达摩院37%）。</w:t>
      </w:r>
    </w:p>
    <w:p>
      <w:r>
        <w:rPr>
          <w:rFonts w:ascii="Microsoft YaHei" w:hAnsi="Microsoft YaHei" w:eastAsia="微软雅黑"/>
          <w:color w:val="000000"/>
          <w:sz w:val="13"/>
        </w:rPr>
        <w:t>6.2  已中标项目——大概率出批价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已中标项目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报价面价（万）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按45%预估批价（万）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Q1行动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Q2批价判断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上海塘桥 #544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26.6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~12.0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1次（3/12）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大概率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质子重离子医院 #676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43.5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~19.6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1次（1/4）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⚠️ 需确认（2月后无跟进）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义乌歌剧院 #876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8.3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~3.8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2次（3/10）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中概率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天山路铁狮门 #279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18.2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~8.2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需确认状态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丁香园数据中心 #901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2.6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~1.2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需确认状态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6.3  投标中项目——有可能出批价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投标中项目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报价面价（万）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按45%预估批价（万）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Q1行动</w:t>
            </w:r>
          </w:p>
        </w:tc>
        <w:tc>
          <w:tcPr>
            <w:tcW w:type="dxa" w:w="19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Q2判断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临安城市客厅 #559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68.7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~30.9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有可能（唯一有代理商）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张江集辰二期 #928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47.3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~21.3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有可能（Q1最密集）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徐汇华泾镇 #883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32.6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~14.7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有可能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三林滨江11单元 #1040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21.7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~9.8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低概率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台州国博酒店 #736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11.7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~5.2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低（2月后无跟进）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新疆数据中心 #969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7.1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~3.2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低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张家浜C2b #985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14.9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~6.7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低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济源石化 #929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5.2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~2.3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低（2月后无跟进）</w:t>
            </w:r>
          </w:p>
        </w:tc>
      </w:tr>
      <w:tr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宝丽湾/三林12/嘉定/洋泾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87.8（合计）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~39.5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0次</w:t>
            </w:r>
          </w:p>
        </w:tc>
        <w:tc>
          <w:tcPr>
            <w:tcW w:type="dxa" w:w="19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需确认投标结果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6.4  Q2批价预期汇总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预期场景</w:t>
            </w:r>
          </w:p>
        </w:tc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项目组合</w:t>
            </w:r>
          </w:p>
        </w:tc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预估批价（万）</w:t>
            </w:r>
          </w:p>
        </w:tc>
        <w:tc>
          <w:tcPr>
            <w:tcW w:type="dxa" w:w="2437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说明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保守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塘桥 + 义乌歌剧院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~16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仅已中标且有行动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中等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保守 + 质子重离子 + 1-2个投标中标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~50-65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需确认质子重离子状态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乐观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中等 + 临安城市客厅 + 张江集辰中标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~100-115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可恢复Q4水平</w:t>
            </w:r>
          </w:p>
        </w:tc>
      </w:tr>
      <w:tr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对比历史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2025Q4批价94.7万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2437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乐观预期可达Q4水平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6.5  需销售确认的关键问题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需销售确认的关键问题</w:t>
            </w:r>
          </w:p>
        </w:tc>
        <w:tc>
          <w:tcPr>
            <w:tcW w:type="dxa" w:w="4874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说明</w:t>
            </w:r>
          </w:p>
        </w:tc>
      </w:tr>
      <w:tr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质子重离子医院 #676（面价43.5万）</w:t>
            </w:r>
          </w:p>
        </w:tc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2月后无跟进——项目是否仍活跃？报价单是否需要更新？</w:t>
            </w:r>
          </w:p>
        </w:tc>
      </w:tr>
      <w:tr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天山路铁狮门 #279 和丁香园 #901</w:t>
            </w:r>
          </w:p>
        </w:tc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两个已中标但Q1零行动——是否已交付？是否还有批价机会？面价合计20.8万</w:t>
            </w:r>
          </w:p>
        </w:tc>
      </w:tr>
      <w:tr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张江集辰 #928（7次行动、面价47.3万）</w:t>
            </w:r>
          </w:p>
        </w:tc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Q1行动最密集的投标项目——中标了吗？</w:t>
            </w:r>
          </w:p>
        </w:tc>
      </w:tr>
      <w:tr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4个投标中零行动项目（宝丽湾/三林12/嘉定/洋泾）</w:t>
            </w:r>
          </w:p>
        </w:tc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面价合计87.8万——投标结果是否已出？</w:t>
            </w:r>
          </w:p>
        </w:tc>
      </w:tr>
      <w:tr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报价单是否匹配最新方案？</w:t>
            </w:r>
          </w:p>
        </w:tc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14份Q1报价中哪些已过期或方案已变更？</w:t>
            </w:r>
          </w:p>
        </w:tc>
      </w:tr>
      <w:tr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如何增加终端用户互动来提升把握？</w:t>
            </w:r>
          </w:p>
        </w:tc>
        <w:tc>
          <w:tcPr>
            <w:tcW w:type="dxa" w:w="4874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11个关键项目全部被动——哪些可通过接触业主提升成功率？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第七条  综合评估结论</w:t>
      </w:r>
    </w:p>
    <w:p>
      <w:r>
        <w:rPr>
          <w:rFonts w:ascii="Microsoft YaHei" w:hAnsi="Microsoft YaHei" w:eastAsia="微软雅黑"/>
          <w:color w:val="000000"/>
          <w:sz w:val="13"/>
        </w:rPr>
        <w:t>7.1  维度评分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维度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评级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分数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权重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加权得分</w:t>
            </w:r>
          </w:p>
        </w:tc>
        <w:tc>
          <w:tcPr>
            <w:tcW w:type="dxa" w:w="1625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说明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KPI完成率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B+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3.3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0.66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Q1批价53.6万，4单全approved，批价率稳定45%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管线质量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A-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3.7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0.74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80个项目全链条，投标中13个最大亮点，但零阶段推进记录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客户角色均衡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D+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1.3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20%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0.26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集成商60%偏高，代理商6家仅航博活跃，终端用户行动0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行动力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A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4.0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25%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1.00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46篇100%提交，98条条目，104次操作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数据质量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B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3.0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15%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0.45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质量评分45分，拜访关联率84%，但阶段零更新</w:t>
            </w:r>
          </w:p>
        </w:tc>
      </w:tr>
      <w:tr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综合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B（偏B+）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3.11</w:t>
            </w:r>
          </w:p>
        </w:tc>
        <w:tc>
          <w:tcPr>
            <w:tcW w:type="dxa" w:w="1625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—</w:t>
            </w:r>
          </w:p>
        </w:tc>
      </w:tr>
    </w:tbl>
    <w:p/>
    <w:p>
      <w:r>
        <w:rPr>
          <w:rFonts w:ascii="Microsoft YaHei" w:hAnsi="Microsoft YaHei" w:eastAsia="微软雅黑"/>
          <w:color w:val="000000"/>
          <w:sz w:val="13"/>
        </w:rPr>
        <w:t>7.2  核心评语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李华伟是目前批价产出最好的销售——Q1四单53.6万，23份历史批价单全部approved、批价率高度稳定（78%为45%）。管线80个项目全链条覆盖，投标中13个提供了充足的Q2转化基础。行动力Q1爆发到82条行动记录，系统使用积极（104次操作）。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但存在一个结构性问题：代理商渠道极度薄弱。</w:t>
        <w:br/>
        <w:t>一、6家代理商/合作伙伴中仅航博1家活跃，占代理商行动75%——单点依赖风险极高。</w:t>
        <w:br/>
        <w:t>二、集成商占客户60%、行动70%，终端用户行动0——业务影响力完全建立在集成商配合上。</w:t>
        <w:br/>
        <w:t>三、11个已中标/投标中关键项目中没有一个有终端用户互动——决策完全被动。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李华伟当前靠数量和勤奋弥补了渠道结构的不足（80个项目、98条条目），但如果不增加代理商和终端用户互动，批价转化将持续依赖集成商态度，缺乏主动把握能力。</w:t>
      </w:r>
    </w:p>
    <w:p>
      <w:r>
        <w:rPr>
          <w:rFonts w:ascii="Microsoft YaHei" w:hAnsi="Microsoft YaHei" w:eastAsia="微软雅黑"/>
          <w:color w:val="000000"/>
          <w:sz w:val="13"/>
        </w:rPr>
        <w:t>7.3  Q2关键行动计划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优先级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行动项</w:t>
            </w:r>
          </w:p>
        </w:tc>
        <w:tc>
          <w:tcPr>
            <w:tcW w:type="dxa" w:w="3250"/>
            <w:shd w:fill="404040" w:val="clear"/>
          </w:tcPr>
          <w:p>
            <w:r>
              <w:rPr>
                <w:rFonts w:ascii="Microsoft YaHei" w:hAnsi="Microsoft YaHei" w:eastAsia="微软雅黑"/>
                <w:color w:val="FFFFFF"/>
                <w:sz w:val="11"/>
              </w:rPr>
              <w:t>具体要求与目标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P0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增加终端用户互动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Q1为0，每个已中标/投标中项目至少1次业主端行动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P0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发展代理商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当前仅航博1家活跃，需新增2-3家代理商，激活4家沉默合作伙伴或淘汰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P0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确认已中标零行动项目状态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铁狮门#279+丁香园#901，面价合计20.8万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P0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确认张江集辰#928投标结果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Q1行动最多（7次），面价47.3万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P1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确认4个投标中零行动项目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宝丽湾/三林12/嘉定/洋泾，面价合计87.8万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P1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推动已中标项目批价落地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塘桥+质子重离子+义乌歌剧院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P2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更新项目阶段状态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Q1零推进记录，系统数据失真</w:t>
            </w:r>
          </w:p>
        </w:tc>
      </w:tr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P2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减少航博单点依赖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Q2航博占代理商行动比降至50%以下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微软雅黑"/>
          <w:color w:val="000000"/>
          <w:sz w:val="18"/>
        </w:rPr>
        <w:t>第八条  签字确认</w:t>
      </w:r>
    </w:p>
    <w:p>
      <w:pPr>
        <w:spacing w:before="80" w:after="100"/>
      </w:pPr>
      <w:r>
        <w:rPr>
          <w:rFonts w:ascii="Microsoft YaHei" w:hAnsi="Microsoft YaHei" w:eastAsia="微软雅黑"/>
          <w:color w:val="000000"/>
          <w:sz w:val="11"/>
        </w:rPr>
        <w:t>本报告已与被评估人进行面谈沟通，员工对评估结果及处理建议知悉，并签字确认。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员工</w:t>
              <w:br/>
              <w:t>签字：</w:t>
              <w:br/>
              <w:br/>
              <w:t>日期：    年    月    日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直属上级</w:t>
              <w:br/>
              <w:t>签字：</w:t>
              <w:br/>
              <w:br/>
              <w:t>日期：    年    月    日</w:t>
            </w:r>
          </w:p>
        </w:tc>
        <w:tc>
          <w:tcPr>
            <w:tcW w:type="dxa" w:w="3250"/>
          </w:tcPr>
          <w:p>
            <w:r>
              <w:rPr>
                <w:rFonts w:ascii="Microsoft YaHei" w:hAnsi="Microsoft YaHei" w:eastAsia="微软雅黑"/>
                <w:color w:val="000000"/>
                <w:sz w:val="11"/>
              </w:rPr>
              <w:t>人力资源部</w:t>
              <w:br/>
              <w:t>签字：</w:t>
              <w:br/>
              <w:br/>
              <w:t>日期：    年    月    日</w:t>
            </w:r>
          </w:p>
        </w:tc>
      </w:tr>
    </w:tbl>
    <w:p/>
    <w:p>
      <w:pPr>
        <w:jc w:val="center"/>
      </w:pPr>
      <w:r>
        <w:rPr>
          <w:rFonts w:ascii="Microsoft YaHei" w:hAnsi="Microsoft YaHei" w:eastAsia="微软雅黑"/>
          <w:color w:val="000000"/>
          <w:sz w:val="10"/>
        </w:rPr>
        <w:t>— 本报告一式三份，员工、直属上级、人力资源部各执一份 —</w:t>
      </w:r>
    </w:p>
    <w:p>
      <w:pPr>
        <w:jc w:val="center"/>
      </w:pPr>
      <w:r>
        <w:rPr>
          <w:rFonts w:ascii="Microsoft YaHei" w:hAnsi="Microsoft YaHei" w:eastAsia="微软雅黑"/>
          <w:color w:val="000000"/>
          <w:sz w:val="8"/>
        </w:rPr>
        <w:t>评估依据：《销售人员薪酬与绩效确认书》HC-SAL-2026-李华伟 + 《EVERTAC销售人员绩效评估制度 V1.0》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