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李华伟销售周报</w:t>
      </w:r>
    </w:p>
    <w:bookmarkStart w:id="25" w:name="李华伟-销售周报-2026-03-30-2026-04-05"/>
    <w:p>
      <w:pPr>
        <w:pStyle w:val="Heading2"/>
      </w:pPr>
      <w:r>
        <w:rPr>
          <w:b/>
          <w:bCs/>
        </w:rPr>
        <w:t xml:space="preserve">李华伟</w:t>
      </w:r>
      <w:r>
        <w:t xml:space="preserve"> </w:t>
      </w:r>
      <w:r>
        <w:t xml:space="preserve">销售周报 (2026-03-30 ~ 2026-04-05)</w:t>
      </w:r>
    </w:p>
    <w:bookmarkStart w:id="20" w:name="概览"/>
    <w:p>
      <w:pPr>
        <w:pStyle w:val="Heading3"/>
      </w:pPr>
      <w:r>
        <w:t xml:space="preserve">概览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行动记录数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报价总额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活跃项目数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¥1,865,990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bookmarkEnd w:id="20"/>
    <w:bookmarkStart w:id="21" w:name="行动记录明细-10条"/>
    <w:p>
      <w:pPr>
        <w:pStyle w:val="Heading3"/>
      </w:pPr>
      <w:r>
        <w:t xml:space="preserve">1. 行动记录明细 (10条)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杭州余杭交通投资集团有限公司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杭州西站北广场金钥匙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目前由于招商不利，资金缺口较大，进度暂缓。设计方案业主初步预览过，没有提出大的意见，还没正式确认。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德利思工程咨询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拜访德利思设计经理詹经理，沟通手上设计项目平阳金茂，目前图纸由迈驰设计，他们负责规格书和品牌工作，后续接触麦驰对接方案。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上海威豪医疗科技有限公司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上海质子重离子医院二期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对方也在参与质子医院二期，同方告知目前总包在找预算单位比价，我们系统后续可能增补消防系统。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上海智慧之光信息科技有限公司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对方主要做机场酒店医院，有设计资质。原来主要和烈龙合作，对方有个衢州保密化工项目在投标配合。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上海凯通实业有限公司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徐汇区华泾镇 XHPO-0001单元D5B-1地块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同代理商销售拜访项目经理，确认报审品牌和资料问题，目前和源已经提交资料，顾问和业主还没确认。后续安排代理商跟进确认。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上海福玛通信信息科技有限公司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上海长宁区天山路街道113街坊34丘E2-03地块办公铁狮门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代理商付总告知目前中建八局合同一直没有签约，之前单独供货了一点线缆，迟迟不付款将近1年之久，八局负责本项目的单位告知 暂时搁置。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浙江航博智能工程有限公司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杭州丁香园医疗大数据中心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李波反馈集成商中标之后，甲方预付款资金一直不到位，导致集成商不敢进行采购设备，暂时搁置，开工时间未定。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同方股份有限公司-上海光大会展分公司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张江集辰中心二期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代理商反馈我们报价最后调整到85万含施工和源产品暂估35折成本计算，整体毛利润10个点左右，正禄跳水到75万含施工，同方老板娘最终选用正禄。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上海淳泊信息科技有限公司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三林滨江南片区12单元（22-01、22-03、22-04地块）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邹飞反馈项目2月出的中标结果电科发中标，实际是别人挂靠，还在打听挂靠单位信息情况。我这边也同时向其他参与的客户人员了解信息进行互通，尽快找到实际单位。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中电科数字技术股份有限公司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金桥南区WH4A-1金谷通用厂房二期增补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目前同代理商和客户交流新规后，表示增补消防系统，预计近期业主可以审核完成下单改造。</w:t>
            </w:r>
          </w:p>
        </w:tc>
      </w:tr>
    </w:tbl>
    <w:bookmarkEnd w:id="21"/>
    <w:bookmarkStart w:id="22" w:name="每日活动分布"/>
    <w:p>
      <w:pPr>
        <w:pStyle w:val="Heading3"/>
      </w:pPr>
      <w:r>
        <w:t xml:space="preserve">2. 每日活动分布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行动数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</w:tr>
    </w:tbl>
    <w:bookmarkEnd w:id="22"/>
    <w:bookmarkStart w:id="23" w:name="项目管线重点项目"/>
    <w:p>
      <w:pPr>
        <w:pStyle w:val="Heading3"/>
      </w:pPr>
      <w:r>
        <w:t xml:space="preserve">3. 项目管线（重点项目）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本周行动数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本周进展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上海质子重离子医院二期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有跟进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徐汇区华泾镇XHPO-0001单元D4D-02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上海塘桥04-01地块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三林滨江南片区12单元（22-01、22-03、22-04地块）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有跟进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金桥南区WH4B-2地块厂房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河南济源HJY 石化基地项目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张家浜楔形绿地C2b-01地块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新疆乌鲁木齐自治区联社新数据中心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奉贤九棵树酒店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台州国博二期酒店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三林滨江南片区 11 单元22-09、22-10、22-11 地块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杭政储出2023-161号临安区青山湖国际科创中心城市客厅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阳澄湖半岛逸衡酒店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厦门天文馆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零行动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杭州西站北广场金钥匙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有跟进</w:t>
            </w:r>
          </w:p>
        </w:tc>
      </w:tr>
    </w:tbl>
    <w:bookmarkEnd w:id="23"/>
    <w:bookmarkStart w:id="24" w:name="本周报价-5份"/>
    <w:p>
      <w:pPr>
        <w:pStyle w:val="Heading3"/>
      </w:pPr>
      <w:r>
        <w:t xml:space="preserve">4. 本周报价 (5份)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报价单号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QU202603-042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金桥南区WH4A-1金谷通用厂房二期增补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¥582,845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已批准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QU202603-041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杭政储出[2024]33号地块世纪城智能产业园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¥301,570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QU202603-040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东阳体育中心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¥156,192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QU202603-039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上海尚贤坊四季酒店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¥142,991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QU202603-038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金桥南区WH4B-2地块厂房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¥682,392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审批中</w:t>
            </w:r>
          </w:p>
        </w:tc>
      </w:tr>
    </w:tbl>
    <w:bookmarkEnd w:id="24"/>
    <w:bookmarkEnd w:id="25"/>
    <w:sectPr>
      <w:footnotePr>
        <w:numRestart w:val="eachSect"/>
      </w:footnotePr>
      <w:pgSz w:h="16838" w:w="11906"/>
      <w:pgMar w:bottom="1077" w:left="1077" w:right="1077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/>
    </w:pPr>
    <w:rPr>
      <w:rFonts w:ascii="Microsoft YaHei" w:eastAsia="Microsoft YaHei" w:hAnsi="Microsoft YaHei"/>
      <w:b w:val="0"/>
      <w:color w:val="404040"/>
      <w:sz w:val="13"/>
    </w:rPr>
  </w:style>
  <w:style w:styleId="BodyText" w:type="paragraph">
    <w:name w:val="Body Text"/>
    <w:basedOn w:val="Normal"/>
    <w:link w:val="BodyTextChar"/>
    <w:qFormat/>
    <w:pPr>
      <w:spacing w:after="60" w:before="0"/>
    </w:pPr>
    <w:rPr>
      <w:rFonts w:ascii="Microsoft YaHei" w:eastAsia="Microsoft YaHei" w:hAnsi="Microsoft YaHei"/>
      <w:b w:val="0"/>
      <w:color w:val="404040"/>
      <w:sz w:val="13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/>
    </w:pPr>
    <w:rPr>
      <w:rFonts w:ascii="Microsoft YaHei" w:eastAsia="Microsoft YaHei" w:hAnsi="Microsoft YaHei"/>
      <w:b w:val="0"/>
      <w:color w:val="404040"/>
      <w:sz w:val="13"/>
    </w:rPr>
  </w:style>
  <w:style w:customStyle="1" w:styleId="Compact" w:type="paragraph">
    <w:name w:val="Compact"/>
    <w:basedOn w:val="BodyText"/>
    <w:qFormat/>
    <w:pPr>
      <w:spacing w:after="20" w:before="0"/>
    </w:pPr>
    <w:rPr>
      <w:rFonts w:ascii="Microsoft YaHei" w:eastAsia="Microsoft YaHei" w:hAnsi="Microsoft YaHei"/>
      <w:b w:val="0"/>
      <w:color w:val="404040"/>
      <w:sz w:val="13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" w:before="0" w:line="240" w:lineRule="auto"/>
      <w:contextualSpacing/>
      <w:jc w:val="center"/>
    </w:pPr>
    <w:rPr>
      <w:rFonts w:ascii="Microsoft YaHei" w:asciiTheme="majorHAnsi" w:cstheme="majorBidi" w:eastAsia="Microsoft YaHei" w:eastAsiaTheme="majorEastAsia" w:hAnsi="Microsoft YaHei" w:hAnsiTheme="majorHAnsi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/>
      <w:jc w:val="center"/>
    </w:pPr>
    <w:rPr>
      <w:rFonts w:ascii="Microsoft YaHei" w:cstheme="majorBidi" w:eastAsia="Microsoft YaHei" w:eastAsiaTheme="majorEastAsia" w:hAnsi="Microsoft YaHei"/>
      <w:b w:val="0"/>
      <w:color w:val="888888"/>
      <w:spacing w:val="15"/>
      <w:sz w:val="1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color w:val="000000"/>
      <w:sz w:val="2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color w:val="000000"/>
      <w:sz w:val="1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ascii="Microsoft YaHei" w:cstheme="majorBidi" w:eastAsia="Microsoft YaHei" w:eastAsiaTheme="majorEastAsia" w:hAnsi="Microsoft YaHei"/>
      <w:b/>
      <w:color w:val="333333"/>
      <w:sz w:val="1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/>
      <w:ind w:firstLine="0" w:left="480" w:right="480"/>
    </w:pPr>
    <w:rPr>
      <w:rFonts w:ascii="Microsoft YaHei" w:eastAsia="Microsoft YaHei" w:hAnsi="Microsoft YaHei"/>
      <w:b w:val="0"/>
      <w:color w:val="8B4000"/>
      <w:sz w:val="1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李华伟销售周报</dc:title>
  <dc:creator/>
  <cp:keywords/>
  <dcterms:created xsi:type="dcterms:W3CDTF">2026-04-10T05:22:52Z</dcterms:created>
  <dcterms:modified xsi:type="dcterms:W3CDTF">2026-04-10T05:22:52Z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