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Site Generator Failure</w:t>
      </w:r>
    </w:p>
    <w:p>
      <w:pPr>
        <w:jc w:val="center"/>
      </w:pPr>
      <w:r>
        <w:rPr>
          <w:i/>
        </w:rPr>
        <w:t>Engineering Reliability Record</w:t>
      </w:r>
    </w:p>
    <w:p>
      <w:r>
        <w:t>Asset: GEN-02 — Diesel Generator G-02 | Site: Remote Production Site Alpha | Owner: Electrical / Facilities | Equipment class: diesel generator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Electrical / Facilities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V, Hz, A, kW, % load, barg, °C, battery V, RPM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battery/fuel delivery, lubrication/cooling, governor/AVR response, overload, breaker/interlock, exhaust condition, or mounting.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Fails to start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Low oil pressure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High coolant temperature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Low coolant level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High exhaust temperature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Low battery voltage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Voltage instability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Frequency instability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Overload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Underload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Breaker failure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Fuel restriction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Excessive smoke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Abnormal vibration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Trip during motor starting</w:t>
            </w:r>
          </w:p>
        </w:tc>
        <w:tc>
          <w:tcPr>
            <w:tcW w:type="dxa" w:w="2045"/>
          </w:tcPr>
          <w:p>
            <w:r>
              <w:t>412 V; 49.6 Hz; 680 kW; 68 % load; 3.8 barg oil; 84 °C coolant; 24.8 V battery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414 V; 50.0 Hz; 675 kW; 67 % load; 4.1 barg oil; 82 °C coolant; 25.2 V battery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