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9CD" w:rsidRPr="006939CD" w:rsidRDefault="006939CD" w:rsidP="006939CD">
      <w:pPr>
        <w:pStyle w:val="NormalWeb"/>
        <w:shd w:val="clear" w:color="auto" w:fill="F9F9F9"/>
        <w:spacing w:before="0" w:beforeAutospacing="0" w:after="405" w:afterAutospacing="0"/>
        <w:rPr>
          <w:rFonts w:ascii="Helvetica" w:hAnsi="Helvetica" w:cs="Helvetica"/>
          <w:color w:val="4C4C49"/>
          <w:sz w:val="27"/>
          <w:szCs w:val="27"/>
        </w:rPr>
      </w:pPr>
      <w:bookmarkStart w:id="0" w:name="_GoBack"/>
      <w:r>
        <w:rPr>
          <w:noProof/>
        </w:rPr>
        <w:drawing>
          <wp:anchor distT="0" distB="0" distL="114300" distR="114300" simplePos="0" relativeHeight="251658240" behindDoc="0" locked="0" layoutInCell="1" allowOverlap="1">
            <wp:simplePos x="0" y="0"/>
            <wp:positionH relativeFrom="column">
              <wp:posOffset>1847850</wp:posOffset>
            </wp:positionH>
            <wp:positionV relativeFrom="paragraph">
              <wp:posOffset>0</wp:posOffset>
            </wp:positionV>
            <wp:extent cx="3901440" cy="2919730"/>
            <wp:effectExtent l="0" t="0" r="3810" b="0"/>
            <wp:wrapThrough wrapText="bothSides">
              <wp:wrapPolygon edited="0">
                <wp:start x="0" y="0"/>
                <wp:lineTo x="0" y="21421"/>
                <wp:lineTo x="21516" y="21421"/>
                <wp:lineTo x="2151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e-bell-ringing-ceremony-20150414-00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01440" cy="2919730"/>
                    </a:xfrm>
                    <a:prstGeom prst="rect">
                      <a:avLst/>
                    </a:prstGeom>
                  </pic:spPr>
                </pic:pic>
              </a:graphicData>
            </a:graphic>
            <wp14:sizeRelH relativeFrom="page">
              <wp14:pctWidth>0</wp14:pctWidth>
            </wp14:sizeRelH>
            <wp14:sizeRelV relativeFrom="page">
              <wp14:pctHeight>0</wp14:pctHeight>
            </wp14:sizeRelV>
          </wp:anchor>
        </w:drawing>
      </w:r>
      <w:bookmarkEnd w:id="0"/>
      <w:r w:rsidRPr="006939CD">
        <w:rPr>
          <w:rFonts w:ascii="Helvetica" w:hAnsi="Helvetica" w:cs="Helvetica"/>
          <w:color w:val="4C4C49"/>
          <w:sz w:val="27"/>
          <w:szCs w:val="27"/>
        </w:rPr>
        <w:t>MANILA, Philippines – The</w:t>
      </w:r>
      <w:r w:rsidRPr="006939CD">
        <w:rPr>
          <w:rStyle w:val="apple-converted-space"/>
          <w:rFonts w:ascii="Helvetica" w:hAnsi="Helvetica" w:cs="Helvetica"/>
          <w:color w:val="4C4C49"/>
          <w:sz w:val="27"/>
          <w:szCs w:val="27"/>
        </w:rPr>
        <w:t> </w:t>
      </w:r>
      <w:hyperlink r:id="rId5" w:tgtFrame="_blank" w:history="1">
        <w:r w:rsidRPr="006939CD">
          <w:rPr>
            <w:rStyle w:val="Hyperlink"/>
            <w:rFonts w:ascii="Helvetica" w:hAnsi="Helvetica" w:cs="Helvetica"/>
            <w:color w:val="E76229"/>
            <w:sz w:val="27"/>
            <w:szCs w:val="27"/>
            <w:u w:val="none"/>
          </w:rPr>
          <w:t>Securities and Exchange Commission</w:t>
        </w:r>
      </w:hyperlink>
      <w:r w:rsidRPr="006939CD">
        <w:rPr>
          <w:rStyle w:val="apple-converted-space"/>
          <w:rFonts w:ascii="Helvetica" w:hAnsi="Helvetica" w:cs="Helvetica"/>
          <w:color w:val="4C4C49"/>
          <w:sz w:val="27"/>
          <w:szCs w:val="27"/>
        </w:rPr>
        <w:t> </w:t>
      </w:r>
      <w:r w:rsidRPr="006939CD">
        <w:rPr>
          <w:rFonts w:ascii="Helvetica" w:hAnsi="Helvetica" w:cs="Helvetica"/>
          <w:color w:val="4C4C49"/>
          <w:sz w:val="27"/>
          <w:szCs w:val="27"/>
        </w:rPr>
        <w:t>(SEC) on Wednesday, January 4, announced a new governance code for listed firms that aims to increase shareholder protection by increasing the responsibility of boards, especially when it comes to corporate reporting.</w:t>
      </w:r>
    </w:p>
    <w:p w:rsidR="006939CD" w:rsidRPr="006939CD" w:rsidRDefault="006939CD" w:rsidP="006939CD">
      <w:pPr>
        <w:pStyle w:val="NormalWeb"/>
        <w:shd w:val="clear" w:color="auto" w:fill="F9F9F9"/>
        <w:spacing w:before="0" w:beforeAutospacing="0" w:after="405" w:afterAutospacing="0"/>
        <w:rPr>
          <w:rFonts w:ascii="Helvetica" w:hAnsi="Helvetica" w:cs="Helvetica"/>
          <w:color w:val="4C4C49"/>
          <w:sz w:val="27"/>
          <w:szCs w:val="27"/>
        </w:rPr>
      </w:pPr>
      <w:r w:rsidRPr="006939CD">
        <w:rPr>
          <w:rFonts w:ascii="Helvetica" w:hAnsi="Helvetica" w:cs="Helvetica"/>
          <w:color w:val="4C4C49"/>
          <w:sz w:val="27"/>
          <w:szCs w:val="27"/>
        </w:rPr>
        <w:t>The code took effect last January 1, and all publicly listed firms are required to submit a new Manual on Corporate Governance to the SEC on or before May 31.</w:t>
      </w:r>
    </w:p>
    <w:p w:rsidR="006939CD" w:rsidRPr="006939CD" w:rsidRDefault="006939CD" w:rsidP="006939CD">
      <w:pPr>
        <w:pStyle w:val="NormalWeb"/>
        <w:shd w:val="clear" w:color="auto" w:fill="F9F9F9"/>
        <w:spacing w:before="0" w:beforeAutospacing="0" w:after="405" w:afterAutospacing="0"/>
        <w:rPr>
          <w:rFonts w:ascii="Helvetica" w:hAnsi="Helvetica" w:cs="Helvetica"/>
          <w:color w:val="4C4C49"/>
          <w:sz w:val="27"/>
          <w:szCs w:val="27"/>
        </w:rPr>
      </w:pPr>
      <w:r w:rsidRPr="006939CD">
        <w:rPr>
          <w:rFonts w:ascii="Helvetica" w:hAnsi="Helvetica" w:cs="Helvetica"/>
          <w:color w:val="4C4C49"/>
          <w:sz w:val="27"/>
          <w:szCs w:val="27"/>
        </w:rPr>
        <w:t>The full text of the new code can be viewed</w:t>
      </w:r>
      <w:r w:rsidRPr="006939CD">
        <w:rPr>
          <w:rStyle w:val="apple-converted-space"/>
          <w:rFonts w:ascii="Helvetica" w:hAnsi="Helvetica" w:cs="Helvetica"/>
          <w:color w:val="4C4C49"/>
          <w:sz w:val="27"/>
          <w:szCs w:val="27"/>
        </w:rPr>
        <w:t> </w:t>
      </w:r>
      <w:hyperlink r:id="rId6" w:tgtFrame="_blank" w:history="1">
        <w:r w:rsidRPr="006939CD">
          <w:rPr>
            <w:rStyle w:val="Hyperlink"/>
            <w:rFonts w:ascii="Helvetica" w:hAnsi="Helvetica" w:cs="Helvetica"/>
            <w:color w:val="E76229"/>
            <w:sz w:val="27"/>
            <w:szCs w:val="27"/>
            <w:u w:val="none"/>
          </w:rPr>
          <w:t>here</w:t>
        </w:r>
      </w:hyperlink>
      <w:r w:rsidRPr="006939CD">
        <w:rPr>
          <w:rFonts w:ascii="Helvetica" w:hAnsi="Helvetica" w:cs="Helvetica"/>
          <w:color w:val="4C4C49"/>
          <w:sz w:val="27"/>
          <w:szCs w:val="27"/>
        </w:rPr>
        <w:t>.</w:t>
      </w:r>
    </w:p>
    <w:p w:rsidR="006939CD" w:rsidRPr="006939CD" w:rsidRDefault="006939CD" w:rsidP="006939CD">
      <w:pPr>
        <w:pStyle w:val="NormalWeb"/>
        <w:shd w:val="clear" w:color="auto" w:fill="F9F9F9"/>
        <w:spacing w:before="0" w:beforeAutospacing="0" w:after="405" w:afterAutospacing="0"/>
        <w:rPr>
          <w:rFonts w:ascii="Helvetica" w:hAnsi="Helvetica" w:cs="Helvetica"/>
          <w:color w:val="4C4C49"/>
          <w:sz w:val="27"/>
          <w:szCs w:val="27"/>
        </w:rPr>
      </w:pPr>
      <w:r w:rsidRPr="006939CD">
        <w:rPr>
          <w:rFonts w:ascii="Helvetica" w:hAnsi="Helvetica" w:cs="Helvetica"/>
          <w:color w:val="4C4C49"/>
          <w:sz w:val="27"/>
          <w:szCs w:val="27"/>
        </w:rPr>
        <w:t>One key feature is the adoption of a "comply or explain" approach that combines voluntary compliance with mandatory disclosure.</w:t>
      </w:r>
    </w:p>
    <w:p w:rsidR="006939CD" w:rsidRPr="006939CD" w:rsidRDefault="006939CD" w:rsidP="006939CD">
      <w:pPr>
        <w:pStyle w:val="NormalWeb"/>
        <w:shd w:val="clear" w:color="auto" w:fill="F9F9F9"/>
        <w:spacing w:before="0" w:beforeAutospacing="0" w:after="405" w:afterAutospacing="0"/>
        <w:rPr>
          <w:rFonts w:ascii="Helvetica" w:hAnsi="Helvetica" w:cs="Helvetica"/>
          <w:color w:val="4C4C49"/>
          <w:sz w:val="27"/>
          <w:szCs w:val="27"/>
        </w:rPr>
      </w:pPr>
      <w:r w:rsidRPr="006939CD">
        <w:rPr>
          <w:rFonts w:ascii="Helvetica" w:hAnsi="Helvetica" w:cs="Helvetica"/>
          <w:color w:val="4C4C49"/>
          <w:sz w:val="27"/>
          <w:szCs w:val="27"/>
        </w:rPr>
        <w:t>Companies do not have to fully comply with the code, but they must state in their annual corporate governance reports whether they comply with the code provisions, identify any area of non-compliance, and explain the reasons for non-compliance.</w:t>
      </w:r>
    </w:p>
    <w:p w:rsidR="006939CD" w:rsidRPr="006939CD" w:rsidRDefault="006939CD" w:rsidP="006939CD">
      <w:pPr>
        <w:pStyle w:val="NormalWeb"/>
        <w:shd w:val="clear" w:color="auto" w:fill="F9F9F9"/>
        <w:spacing w:before="0" w:beforeAutospacing="0" w:after="405" w:afterAutospacing="0"/>
        <w:rPr>
          <w:rFonts w:ascii="Helvetica" w:hAnsi="Helvetica" w:cs="Helvetica"/>
          <w:color w:val="4C4C49"/>
          <w:sz w:val="27"/>
          <w:szCs w:val="27"/>
        </w:rPr>
      </w:pPr>
      <w:r w:rsidRPr="006939CD">
        <w:rPr>
          <w:rFonts w:ascii="Helvetica" w:hAnsi="Helvetica" w:cs="Helvetica"/>
          <w:color w:val="4C4C49"/>
          <w:sz w:val="27"/>
          <w:szCs w:val="27"/>
        </w:rPr>
        <w:t xml:space="preserve">"The new code is intended to raise the corporate governance standards of Philippine publicly listed corporations to a level on par with its regional and global counterparts," said SEC Chairperson Teresita </w:t>
      </w:r>
      <w:proofErr w:type="spellStart"/>
      <w:r w:rsidRPr="006939CD">
        <w:rPr>
          <w:rFonts w:ascii="Helvetica" w:hAnsi="Helvetica" w:cs="Helvetica"/>
          <w:color w:val="4C4C49"/>
          <w:sz w:val="27"/>
          <w:szCs w:val="27"/>
        </w:rPr>
        <w:t>Herbosa</w:t>
      </w:r>
      <w:proofErr w:type="spellEnd"/>
      <w:r w:rsidRPr="006939CD">
        <w:rPr>
          <w:rFonts w:ascii="Helvetica" w:hAnsi="Helvetica" w:cs="Helvetica"/>
          <w:color w:val="4C4C49"/>
          <w:sz w:val="27"/>
          <w:szCs w:val="27"/>
        </w:rPr>
        <w:t xml:space="preserve"> in a statement.</w:t>
      </w:r>
    </w:p>
    <w:p w:rsidR="006939CD" w:rsidRPr="006939CD" w:rsidRDefault="006939CD" w:rsidP="006939CD">
      <w:pPr>
        <w:pStyle w:val="NormalWeb"/>
        <w:shd w:val="clear" w:color="auto" w:fill="F9F9F9"/>
        <w:spacing w:before="0" w:beforeAutospacing="0" w:after="405" w:afterAutospacing="0"/>
        <w:rPr>
          <w:rFonts w:ascii="Helvetica" w:hAnsi="Helvetica" w:cs="Helvetica"/>
          <w:color w:val="4C4C49"/>
          <w:sz w:val="27"/>
          <w:szCs w:val="27"/>
        </w:rPr>
      </w:pPr>
      <w:r w:rsidRPr="006939CD">
        <w:rPr>
          <w:rFonts w:ascii="Helvetica" w:hAnsi="Helvetica" w:cs="Helvetica"/>
          <w:color w:val="4C4C49"/>
          <w:sz w:val="27"/>
          <w:szCs w:val="27"/>
        </w:rPr>
        <w:t>"The adoption of the 'comply or explain' approach is also expected to address the perceived overregulation of the SEC," she added.</w:t>
      </w:r>
    </w:p>
    <w:p w:rsidR="006939CD" w:rsidRPr="006939CD" w:rsidRDefault="006939CD" w:rsidP="006939CD">
      <w:pPr>
        <w:pStyle w:val="NormalWeb"/>
        <w:shd w:val="clear" w:color="auto" w:fill="F9F9F9"/>
        <w:spacing w:before="0" w:beforeAutospacing="0" w:after="405" w:afterAutospacing="0"/>
        <w:rPr>
          <w:rFonts w:ascii="Helvetica" w:hAnsi="Helvetica" w:cs="Helvetica"/>
          <w:color w:val="4C4C49"/>
          <w:sz w:val="27"/>
          <w:szCs w:val="27"/>
        </w:rPr>
      </w:pPr>
      <w:r w:rsidRPr="006939CD">
        <w:rPr>
          <w:rFonts w:ascii="Helvetica" w:hAnsi="Helvetica" w:cs="Helvetica"/>
          <w:color w:val="4C4C49"/>
          <w:sz w:val="27"/>
          <w:szCs w:val="27"/>
        </w:rPr>
        <w:lastRenderedPageBreak/>
        <w:t>Jointly crafted with the International Finance Corporation (IFC), a member of the World Bank Group, the new code also steers local listed companies toward practices that would ultimately attract more</w:t>
      </w:r>
      <w:r w:rsidRPr="006939CD">
        <w:rPr>
          <w:rStyle w:val="apple-converted-space"/>
          <w:rFonts w:ascii="Helvetica" w:hAnsi="Helvetica" w:cs="Helvetica"/>
          <w:color w:val="4C4C49"/>
          <w:sz w:val="27"/>
          <w:szCs w:val="27"/>
        </w:rPr>
        <w:t> </w:t>
      </w:r>
      <w:hyperlink r:id="rId7" w:tgtFrame="_blank" w:history="1">
        <w:r w:rsidRPr="006939CD">
          <w:rPr>
            <w:rStyle w:val="Hyperlink"/>
            <w:rFonts w:ascii="Helvetica" w:hAnsi="Helvetica" w:cs="Helvetica"/>
            <w:color w:val="E76229"/>
            <w:sz w:val="27"/>
            <w:szCs w:val="27"/>
            <w:u w:val="none"/>
          </w:rPr>
          <w:t>foreign investment</w:t>
        </w:r>
      </w:hyperlink>
      <w:r w:rsidRPr="006939CD">
        <w:rPr>
          <w:rFonts w:ascii="Helvetica" w:hAnsi="Helvetica" w:cs="Helvetica"/>
          <w:color w:val="4C4C49"/>
          <w:sz w:val="27"/>
          <w:szCs w:val="27"/>
        </w:rPr>
        <w:t>.</w:t>
      </w:r>
    </w:p>
    <w:p w:rsidR="006939CD" w:rsidRDefault="006939CD" w:rsidP="006939CD">
      <w:pPr>
        <w:pStyle w:val="NormalWeb"/>
        <w:shd w:val="clear" w:color="auto" w:fill="F9F9F9"/>
        <w:spacing w:before="0" w:beforeAutospacing="0" w:after="405" w:afterAutospacing="0"/>
        <w:rPr>
          <w:rFonts w:ascii="Helvetica" w:hAnsi="Helvetica" w:cs="Helvetica"/>
          <w:color w:val="4C4C49"/>
          <w:sz w:val="27"/>
          <w:szCs w:val="27"/>
        </w:rPr>
      </w:pPr>
      <w:r w:rsidRPr="006939CD">
        <w:rPr>
          <w:rFonts w:ascii="Helvetica" w:hAnsi="Helvetica" w:cs="Helvetica"/>
          <w:color w:val="4C4C49"/>
          <w:sz w:val="27"/>
          <w:szCs w:val="27"/>
        </w:rPr>
        <w:t>"Improved corporate governance will make Philippine companies more competitive and enhance their ability to attract foreign capital, leading to the development of a vibrant and sustainable private sector," said IFC Philippines country manager Jane Yuan Xu.</w:t>
      </w:r>
      <w:r w:rsidRPr="006939CD">
        <w:rPr>
          <w:rStyle w:val="apple-converted-space"/>
          <w:rFonts w:ascii="Helvetica" w:hAnsi="Helvetica" w:cs="Helvetica"/>
          <w:color w:val="4C4C49"/>
          <w:sz w:val="27"/>
          <w:szCs w:val="27"/>
        </w:rPr>
        <w:t> </w:t>
      </w:r>
      <w:r w:rsidRPr="006939CD">
        <w:rPr>
          <w:rStyle w:val="Strong"/>
          <w:rFonts w:ascii="Helvetica" w:hAnsi="Helvetica" w:cs="Helvetica"/>
          <w:color w:val="4C4C49"/>
          <w:sz w:val="27"/>
          <w:szCs w:val="27"/>
        </w:rPr>
        <w:t>–</w:t>
      </w:r>
    </w:p>
    <w:p w:rsidR="0037226E" w:rsidRPr="006939CD" w:rsidRDefault="006939CD" w:rsidP="006939CD">
      <w:r w:rsidRPr="006939CD">
        <w:t>http://www.rappler.com/business/157338-sec-ifc-revised-corporate-governance-code-listed-firms</w:t>
      </w:r>
    </w:p>
    <w:sectPr w:rsidR="0037226E" w:rsidRPr="00693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CD"/>
    <w:rsid w:val="0037226E"/>
    <w:rsid w:val="0069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30152-8989-4D25-AF4E-CDE15F06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9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39CD"/>
  </w:style>
  <w:style w:type="character" w:styleId="Hyperlink">
    <w:name w:val="Hyperlink"/>
    <w:basedOn w:val="DefaultParagraphFont"/>
    <w:uiPriority w:val="99"/>
    <w:semiHidden/>
    <w:unhideWhenUsed/>
    <w:rsid w:val="006939CD"/>
    <w:rPr>
      <w:color w:val="0000FF"/>
      <w:u w:val="single"/>
    </w:rPr>
  </w:style>
  <w:style w:type="character" w:styleId="Strong">
    <w:name w:val="Strong"/>
    <w:basedOn w:val="DefaultParagraphFont"/>
    <w:uiPriority w:val="22"/>
    <w:qFormat/>
    <w:rsid w:val="006939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990">
      <w:bodyDiv w:val="1"/>
      <w:marLeft w:val="0"/>
      <w:marRight w:val="0"/>
      <w:marTop w:val="0"/>
      <w:marBottom w:val="0"/>
      <w:divBdr>
        <w:top w:val="none" w:sz="0" w:space="0" w:color="auto"/>
        <w:left w:val="none" w:sz="0" w:space="0" w:color="auto"/>
        <w:bottom w:val="none" w:sz="0" w:space="0" w:color="auto"/>
        <w:right w:val="none" w:sz="0" w:space="0" w:color="auto"/>
      </w:divBdr>
    </w:div>
    <w:div w:id="180034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appler.com/business/156224-sc-affirms-sec-foreign-ownership-guideli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ph/wp-content/uploads/2016/12/2016_memo_circular_no.19.pdf" TargetMode="External"/><Relationship Id="rId5" Type="http://schemas.openxmlformats.org/officeDocument/2006/relationships/hyperlink" Target="http://www.rappler.com/business/151976-sec-approves-ppp-listing-rule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Layfon Alseif</dc:creator>
  <cp:keywords/>
  <dc:description/>
  <cp:lastModifiedBy>Layfon Alseif</cp:lastModifiedBy>
  <cp:revision>1</cp:revision>
  <dcterms:created xsi:type="dcterms:W3CDTF">2017-02-05T01:59:00Z</dcterms:created>
  <dcterms:modified xsi:type="dcterms:W3CDTF">2017-02-05T02:06:00Z</dcterms:modified>
</cp:coreProperties>
</file>