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51350" w14:textId="77777777" w:rsidR="0082257F" w:rsidRDefault="00303304" w:rsidP="00B01F5E">
      <w:pPr>
        <w:pStyle w:val="Title"/>
      </w:pPr>
      <w:r>
        <w:t xml:space="preserve">Afterburner </w:t>
      </w:r>
      <w:r w:rsidR="00BF768F">
        <w:t xml:space="preserve">MQTT </w:t>
      </w:r>
    </w:p>
    <w:p w14:paraId="71F2B26F" w14:textId="77777777" w:rsidR="00B01F5E" w:rsidRDefault="00B01F5E" w:rsidP="00B01F5E">
      <w:r>
        <w:t>The Afterburner can connect to an MQTT broker allowing the ability to integrate information from the Afterburner into a larger home automation scheme, or the exciting possibility of controlling</w:t>
      </w:r>
      <w:r w:rsidR="008853D6">
        <w:t xml:space="preserve"> and monitoring</w:t>
      </w:r>
      <w:r>
        <w:t xml:space="preserve"> you</w:t>
      </w:r>
      <w:r w:rsidR="008853D6">
        <w:t>r</w:t>
      </w:r>
      <w:r>
        <w:t xml:space="preserve"> heater via a remote connection over the Internet.</w:t>
      </w:r>
    </w:p>
    <w:p w14:paraId="06B44C61" w14:textId="77777777" w:rsidR="00B01F5E" w:rsidRDefault="00B01F5E" w:rsidP="00B01F5E">
      <w:r>
        <w:t>The MQTT broker can be hosted on your own home network, or elsewhere on the Internet.</w:t>
      </w:r>
      <w:r>
        <w:br/>
        <w:t>Internet</w:t>
      </w:r>
      <w:r w:rsidR="008853D6">
        <w:t xml:space="preserve"> based brokers obviously </w:t>
      </w:r>
      <w:r>
        <w:t xml:space="preserve">allow remote access </w:t>
      </w:r>
      <w:r w:rsidR="008853D6">
        <w:t xml:space="preserve">easily </w:t>
      </w:r>
      <w:r>
        <w:t>as they are already beyond any local firewall, but nothing prevents you making your own private broker visible from the Internet by adding it to your exposed connections.</w:t>
      </w:r>
      <w:r>
        <w:br/>
        <w:t>The details of exposing a private broker are beyond the scope of this document as it is very dependent upon what site equipment is in use.</w:t>
      </w:r>
    </w:p>
    <w:p w14:paraId="4DE2E90C" w14:textId="77777777" w:rsidR="000F539F" w:rsidRDefault="000F539F" w:rsidP="000F539F">
      <w:pPr>
        <w:pStyle w:val="Heading2"/>
      </w:pPr>
      <w:r>
        <w:t>Topics</w:t>
      </w:r>
    </w:p>
    <w:p w14:paraId="6678579B" w14:textId="77777777" w:rsidR="00D45977" w:rsidRDefault="000F539F" w:rsidP="00B01F5E">
      <w:r>
        <w:t>MQTT operates by using topics to provide or collect information to/from elsewhere.</w:t>
      </w:r>
      <w:r>
        <w:br/>
        <w:t>In MQTT speak, this is Publishing and Subscribing.</w:t>
      </w:r>
    </w:p>
    <w:p w14:paraId="151359F6" w14:textId="29BDB22F" w:rsidR="000F539F" w:rsidRDefault="008853D6" w:rsidP="00B01F5E">
      <w:r>
        <w:t xml:space="preserve">Publishing </w:t>
      </w:r>
      <w:r w:rsidR="00D45977">
        <w:t xml:space="preserve">is </w:t>
      </w:r>
      <w:r>
        <w:t>push</w:t>
      </w:r>
      <w:r w:rsidR="00D45977">
        <w:t>ing</w:t>
      </w:r>
      <w:r>
        <w:t xml:space="preserve"> topics to the broker</w:t>
      </w:r>
      <w:r w:rsidR="00E134F3">
        <w:t>.</w:t>
      </w:r>
      <w:r>
        <w:t xml:space="preserve"> </w:t>
      </w:r>
      <w:r w:rsidR="00D45977">
        <w:br/>
      </w:r>
      <w:r w:rsidR="00E134F3">
        <w:t xml:space="preserve">The broker maintains a list of clients that have expressed interest in a specific topic by subscribing </w:t>
      </w:r>
      <w:r>
        <w:t>to that topic.</w:t>
      </w:r>
      <w:r w:rsidR="00E134F3">
        <w:br/>
        <w:t xml:space="preserve">When new topics are published, they are then relayed by the broker to the </w:t>
      </w:r>
      <w:r w:rsidR="00D45977">
        <w:t>clients subscribed to it</w:t>
      </w:r>
      <w:r>
        <w:t>.</w:t>
      </w:r>
    </w:p>
    <w:p w14:paraId="7494C8E6" w14:textId="77959830" w:rsidR="00D45977" w:rsidRDefault="00D45977" w:rsidP="00B01F5E">
      <w:r>
        <w:t>It is quite feasible a topic may simply be lost at the broker if no one has subscribed to it.</w:t>
      </w:r>
    </w:p>
    <w:p w14:paraId="226EFBB9" w14:textId="39EEF0C4" w:rsidR="000F539F" w:rsidRDefault="000F539F" w:rsidP="00B01F5E">
      <w:r>
        <w:t>In the afterburner, there are two conve</w:t>
      </w:r>
      <w:r w:rsidR="008853D6">
        <w:t>ntions used for the topic names:</w:t>
      </w:r>
      <w:r>
        <w:br/>
        <w:t>“</w:t>
      </w:r>
      <w:r w:rsidR="008853D6">
        <w:t>G</w:t>
      </w:r>
      <w:r>
        <w:t>lobal” topic that provides detailed information within a JSON encapsulated payload.</w:t>
      </w:r>
      <w:r>
        <w:br/>
        <w:t xml:space="preserve">“Specific” topics that only provide information about </w:t>
      </w:r>
      <w:r w:rsidR="00D45977">
        <w:t xml:space="preserve">a </w:t>
      </w:r>
      <w:r>
        <w:t xml:space="preserve">specific </w:t>
      </w:r>
      <w:r w:rsidR="00D45977">
        <w:t>entity</w:t>
      </w:r>
      <w:r>
        <w:t>.</w:t>
      </w:r>
    </w:p>
    <w:p w14:paraId="16BBBB61" w14:textId="2309E2C0" w:rsidR="000F539F" w:rsidRPr="00B01F5E" w:rsidRDefault="000F539F" w:rsidP="00B01F5E">
      <w:r>
        <w:t>The specific topics are only a subset of the full information available</w:t>
      </w:r>
      <w:r w:rsidR="008853D6">
        <w:t xml:space="preserve"> via the JSON </w:t>
      </w:r>
      <w:proofErr w:type="gramStart"/>
      <w:r w:rsidR="008853D6">
        <w:t>topic</w:t>
      </w:r>
      <w:r>
        <w:t>, but</w:t>
      </w:r>
      <w:proofErr w:type="gramEnd"/>
      <w:r>
        <w:t xml:space="preserve"> are sufficient to provide remote control and monitoring of the Afterburner</w:t>
      </w:r>
      <w:r w:rsidR="00D45977">
        <w:t xml:space="preserve"> by simple MQTT clients.</w:t>
      </w:r>
    </w:p>
    <w:p w14:paraId="3B10438B" w14:textId="77777777" w:rsidR="00CF2453" w:rsidRDefault="00303304" w:rsidP="00303304">
      <w:pPr>
        <w:pStyle w:val="Heading2"/>
      </w:pPr>
      <w:r>
        <w:t>Topic prefix</w:t>
      </w:r>
    </w:p>
    <w:p w14:paraId="79FBF406" w14:textId="4D4CB47E" w:rsidR="00303304" w:rsidRPr="00D45977" w:rsidRDefault="00303304">
      <w:pPr>
        <w:rPr>
          <w:b/>
          <w:bCs/>
        </w:rPr>
      </w:pPr>
      <w:r>
        <w:t>It is important that the information to/from the Afterburner is uniquely identified.</w:t>
      </w:r>
      <w:r>
        <w:br/>
        <w:t xml:space="preserve">This is especially important </w:t>
      </w:r>
      <w:r w:rsidR="008853D6">
        <w:t>should</w:t>
      </w:r>
      <w:r>
        <w:t xml:space="preserve"> you have multiple Afterburner’s attached to the same broker, or indeed the final MQTT client.</w:t>
      </w:r>
      <w:r w:rsidR="008853D6">
        <w:t xml:space="preserve"> </w:t>
      </w:r>
      <w:r w:rsidR="00D45977">
        <w:br/>
      </w:r>
      <w:r w:rsidR="008853D6" w:rsidRPr="00D45977">
        <w:rPr>
          <w:b/>
          <w:bCs/>
        </w:rPr>
        <w:t>It is vital for the prefix to be unique if you use a public broker.</w:t>
      </w:r>
    </w:p>
    <w:p w14:paraId="51CD83CA" w14:textId="77777777" w:rsidR="00303304" w:rsidRDefault="00303304">
      <w:r>
        <w:t xml:space="preserve">By default, as shipped, all MQTT topics are preceded with the prefix </w:t>
      </w:r>
      <w:r w:rsidRPr="00303304">
        <w:rPr>
          <w:b/>
          <w:i/>
        </w:rPr>
        <w:t>Afterburner</w:t>
      </w:r>
      <w:r w:rsidRPr="00303304">
        <w:t>.</w:t>
      </w:r>
    </w:p>
    <w:p w14:paraId="5445AEBA" w14:textId="77777777" w:rsidR="00303304" w:rsidRDefault="00303304">
      <w:r>
        <w:t>This should be adapted to ensure your unit is uniquely distinguishable.</w:t>
      </w:r>
      <w:r>
        <w:br/>
        <w:t>The topic prefix can be anything that makes sense to you.</w:t>
      </w:r>
      <w:r>
        <w:br/>
        <w:t>A guaranteed unique name could be adding the last 3 hex digits of the MAC address to the topic.</w:t>
      </w:r>
      <w:r>
        <w:br/>
        <w:t xml:space="preserve">(The first 3 MAC digits </w:t>
      </w:r>
      <w:r w:rsidR="008853D6">
        <w:t xml:space="preserve">are constant and </w:t>
      </w:r>
      <w:r>
        <w:t xml:space="preserve">identify the vendor/device, </w:t>
      </w:r>
      <w:proofErr w:type="spellStart"/>
      <w:r>
        <w:t>ie</w:t>
      </w:r>
      <w:proofErr w:type="spellEnd"/>
      <w:r>
        <w:t xml:space="preserve"> </w:t>
      </w:r>
      <w:proofErr w:type="spellStart"/>
      <w:r>
        <w:t>Espressif</w:t>
      </w:r>
      <w:proofErr w:type="spellEnd"/>
      <w:r>
        <w:t xml:space="preserve"> ESP32)</w:t>
      </w:r>
    </w:p>
    <w:p w14:paraId="104D0751" w14:textId="7E4205C5" w:rsidR="00303304" w:rsidRDefault="00303304">
      <w:proofErr w:type="spellStart"/>
      <w:r>
        <w:t>Eg</w:t>
      </w:r>
      <w:proofErr w:type="spellEnd"/>
      <w:r>
        <w:t xml:space="preserve">: </w:t>
      </w:r>
      <w:r w:rsidR="008853D6">
        <w:t xml:space="preserve">if </w:t>
      </w:r>
      <w:r>
        <w:t xml:space="preserve">your MAC is </w:t>
      </w:r>
      <w:r w:rsidR="00D45977" w:rsidRPr="00D45977">
        <w:rPr>
          <w:rFonts w:cstheme="minorHAnsi"/>
        </w:rPr>
        <w:t>2</w:t>
      </w:r>
      <w:r w:rsidRPr="00D45977">
        <w:rPr>
          <w:rFonts w:cstheme="minorHAnsi"/>
        </w:rPr>
        <w:t>4</w:t>
      </w:r>
      <w:r w:rsidR="00D45977" w:rsidRPr="00D45977">
        <w:rPr>
          <w:rFonts w:eastAsia="Segoe UI Emoji" w:cstheme="minorHAnsi"/>
        </w:rPr>
        <w:t>:0</w:t>
      </w:r>
      <w:proofErr w:type="gramStart"/>
      <w:r w:rsidR="00D45977" w:rsidRPr="00D45977">
        <w:rPr>
          <w:rFonts w:eastAsia="Segoe UI Emoji" w:cstheme="minorHAnsi"/>
        </w:rPr>
        <w:t>A</w:t>
      </w:r>
      <w:r w:rsidRPr="00D45977">
        <w:rPr>
          <w:rFonts w:cstheme="minorHAnsi"/>
        </w:rPr>
        <w:t>:</w:t>
      </w:r>
      <w:r w:rsidR="00D45977" w:rsidRPr="00D45977">
        <w:rPr>
          <w:rFonts w:cstheme="minorHAnsi"/>
        </w:rPr>
        <w:t>C4</w:t>
      </w:r>
      <w:r w:rsidRPr="00D45977">
        <w:rPr>
          <w:rFonts w:cstheme="minorHAnsi"/>
        </w:rPr>
        <w:t>:</w:t>
      </w:r>
      <w:r w:rsidRPr="00D45977">
        <w:rPr>
          <w:rFonts w:cstheme="minorHAnsi"/>
          <w:u w:val="single"/>
        </w:rPr>
        <w:t>C0</w:t>
      </w:r>
      <w:proofErr w:type="gramEnd"/>
      <w:r w:rsidRPr="00D45977">
        <w:rPr>
          <w:rFonts w:cstheme="minorHAnsi"/>
          <w:u w:val="single"/>
        </w:rPr>
        <w:t>:AB:95</w:t>
      </w:r>
      <w:r>
        <w:t xml:space="preserve">, set the topic prefix to be </w:t>
      </w:r>
      <w:r w:rsidRPr="00303304">
        <w:rPr>
          <w:b/>
          <w:i/>
        </w:rPr>
        <w:t>AfterburnerC0AB95</w:t>
      </w:r>
      <w:r>
        <w:t>.</w:t>
      </w:r>
      <w:r w:rsidR="008853D6">
        <w:br/>
        <w:t>Do not include the colons, they may lead to unpredictable behaviour.</w:t>
      </w:r>
    </w:p>
    <w:p w14:paraId="761E578F" w14:textId="77777777" w:rsidR="00B00513" w:rsidRPr="00303304" w:rsidRDefault="00B00513">
      <w:r>
        <w:lastRenderedPageBreak/>
        <w:t xml:space="preserve">The following description uses </w:t>
      </w:r>
      <w:proofErr w:type="spellStart"/>
      <w:r w:rsidRPr="00B00513">
        <w:rPr>
          <w:b/>
          <w:i/>
        </w:rPr>
        <w:t>topicPrefix</w:t>
      </w:r>
      <w:proofErr w:type="spellEnd"/>
      <w:r w:rsidRPr="00B00513">
        <w:t xml:space="preserve"> to</w:t>
      </w:r>
      <w:r>
        <w:t xml:space="preserve"> indicate this unique name.</w:t>
      </w:r>
    </w:p>
    <w:p w14:paraId="0511FE71" w14:textId="77777777" w:rsidR="00F55219" w:rsidRDefault="00F55219" w:rsidP="00F55219">
      <w:pPr>
        <w:pStyle w:val="Heading2"/>
      </w:pPr>
      <w:r>
        <w:t>Connection State</w:t>
      </w:r>
    </w:p>
    <w:p w14:paraId="1E5AE156" w14:textId="77777777" w:rsidR="008853D6" w:rsidRDefault="008853D6" w:rsidP="008853D6">
      <w:r>
        <w:t>Upon connection to a broker, it is generally recommended to publish a retained topic that indicates the connection is available to the Afterburner.</w:t>
      </w:r>
    </w:p>
    <w:p w14:paraId="1F836122" w14:textId="33937E60" w:rsidR="008853D6" w:rsidRDefault="008853D6" w:rsidP="008853D6">
      <w:proofErr w:type="gramStart"/>
      <w:r>
        <w:t>Likewise</w:t>
      </w:r>
      <w:proofErr w:type="gramEnd"/>
      <w:r>
        <w:t xml:space="preserve"> should the connection be lost, indication should also be provided the unit is not available.</w:t>
      </w:r>
      <w:r>
        <w:br/>
        <w:t>The broker offers a “last will and testament”</w:t>
      </w:r>
      <w:r w:rsidR="00B00513">
        <w:t xml:space="preserve"> </w:t>
      </w:r>
      <w:r w:rsidR="00D45977">
        <w:t>feature</w:t>
      </w:r>
      <w:r w:rsidR="00B00513">
        <w:t xml:space="preserve"> that allows </w:t>
      </w:r>
      <w:r>
        <w:t xml:space="preserve">clients </w:t>
      </w:r>
      <w:r w:rsidR="00B00513">
        <w:t>to be informed upon loss of the Afterburner’s connection.</w:t>
      </w:r>
    </w:p>
    <w:p w14:paraId="0E32145F" w14:textId="77777777" w:rsidR="00B00513" w:rsidRPr="008853D6" w:rsidRDefault="00B00513" w:rsidP="008853D6">
      <w:r>
        <w:t>The same topic name is used for both instances.</w:t>
      </w:r>
    </w:p>
    <w:p w14:paraId="32442AC6" w14:textId="77777777" w:rsidR="00F55219" w:rsidRDefault="00F55219" w:rsidP="00F55219">
      <w:pPr>
        <w:pStyle w:val="Heading3"/>
      </w:pPr>
      <w:r>
        <w:t>Publish</w:t>
      </w:r>
    </w:p>
    <w:p w14:paraId="7C29B27C" w14:textId="77777777" w:rsidR="00F55219" w:rsidRPr="00F55219" w:rsidRDefault="00B00513" w:rsidP="00F55219">
      <w:r>
        <w:t>When the Afterburner establishes the broker connection</w:t>
      </w:r>
      <w:r w:rsidR="00F55219">
        <w:t>, the following topic is published and retained by the broker: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6077"/>
      </w:tblGrid>
      <w:tr w:rsidR="00632732" w14:paraId="21CBD09B" w14:textId="77777777" w:rsidTr="00A82457">
        <w:tc>
          <w:tcPr>
            <w:tcW w:w="2988" w:type="dxa"/>
            <w:tcBorders>
              <w:bottom w:val="single" w:sz="4" w:space="0" w:color="auto"/>
            </w:tcBorders>
          </w:tcPr>
          <w:p w14:paraId="66B146F7" w14:textId="77777777" w:rsidR="00632732" w:rsidRPr="00632732" w:rsidRDefault="00632732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39FC5EC0" w14:textId="77777777" w:rsidR="00632732" w:rsidRPr="00632732" w:rsidRDefault="00632732">
            <w:pPr>
              <w:rPr>
                <w:b/>
              </w:rPr>
            </w:pPr>
            <w:r w:rsidRPr="00632732">
              <w:rPr>
                <w:b/>
              </w:rPr>
              <w:t>Payload</w:t>
            </w:r>
          </w:p>
        </w:tc>
      </w:tr>
      <w:tr w:rsidR="00F55219" w14:paraId="05CD1D5C" w14:textId="77777777" w:rsidTr="00A82457">
        <w:tc>
          <w:tcPr>
            <w:tcW w:w="2988" w:type="dxa"/>
            <w:tcBorders>
              <w:top w:val="single" w:sz="4" w:space="0" w:color="auto"/>
            </w:tcBorders>
          </w:tcPr>
          <w:p w14:paraId="230E9085" w14:textId="77777777" w:rsidR="00F55219" w:rsidRDefault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/status</w:t>
            </w:r>
          </w:p>
        </w:tc>
        <w:tc>
          <w:tcPr>
            <w:tcW w:w="6254" w:type="dxa"/>
            <w:tcBorders>
              <w:top w:val="single" w:sz="4" w:space="0" w:color="auto"/>
            </w:tcBorders>
          </w:tcPr>
          <w:p w14:paraId="00CAF95D" w14:textId="77777777" w:rsidR="00F55219" w:rsidRDefault="00F55219">
            <w:r>
              <w:t>“online”</w:t>
            </w:r>
          </w:p>
        </w:tc>
      </w:tr>
    </w:tbl>
    <w:p w14:paraId="28EC0B38" w14:textId="77777777" w:rsidR="00F55219" w:rsidRDefault="00F55219"/>
    <w:p w14:paraId="02773C8C" w14:textId="77777777" w:rsidR="00F55219" w:rsidRDefault="00F55219" w:rsidP="00F55219">
      <w:pPr>
        <w:pStyle w:val="Heading3"/>
      </w:pPr>
      <w:r>
        <w:t>Last Will and Testament</w:t>
      </w:r>
    </w:p>
    <w:p w14:paraId="335A68D7" w14:textId="77777777" w:rsidR="00F55219" w:rsidRPr="00F55219" w:rsidRDefault="00B00513" w:rsidP="00F55219">
      <w:r>
        <w:t xml:space="preserve">When the Afterburner establishes the broker connection, the last will &amp; testament will be defined. </w:t>
      </w:r>
      <w:r w:rsidR="00F55219">
        <w:t xml:space="preserve">Should the broker connection unexpectedly disappear, the broker will </w:t>
      </w:r>
      <w:r>
        <w:t xml:space="preserve">then </w:t>
      </w:r>
      <w:r w:rsidR="00F55219">
        <w:t>publish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6077"/>
      </w:tblGrid>
      <w:tr w:rsidR="00632732" w14:paraId="24BE203C" w14:textId="77777777" w:rsidTr="00632732">
        <w:tc>
          <w:tcPr>
            <w:tcW w:w="2988" w:type="dxa"/>
            <w:tcBorders>
              <w:bottom w:val="single" w:sz="4" w:space="0" w:color="auto"/>
            </w:tcBorders>
          </w:tcPr>
          <w:p w14:paraId="2E74D51E" w14:textId="77777777" w:rsidR="00632732" w:rsidRPr="00632732" w:rsidRDefault="00632732" w:rsidP="00820F0C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532099EE" w14:textId="77777777" w:rsidR="00632732" w:rsidRPr="00632732" w:rsidRDefault="00632732" w:rsidP="00820F0C">
            <w:pPr>
              <w:rPr>
                <w:b/>
              </w:rPr>
            </w:pPr>
            <w:r w:rsidRPr="00632732">
              <w:rPr>
                <w:b/>
              </w:rPr>
              <w:t>Payload</w:t>
            </w:r>
          </w:p>
        </w:tc>
      </w:tr>
      <w:tr w:rsidR="00F55219" w14:paraId="420EA7EA" w14:textId="77777777" w:rsidTr="00632732">
        <w:tc>
          <w:tcPr>
            <w:tcW w:w="2988" w:type="dxa"/>
            <w:tcBorders>
              <w:top w:val="single" w:sz="4" w:space="0" w:color="auto"/>
            </w:tcBorders>
          </w:tcPr>
          <w:p w14:paraId="2CE754A5" w14:textId="77777777" w:rsidR="00F55219" w:rsidRDefault="00F55219" w:rsidP="00820F0C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/status</w:t>
            </w:r>
          </w:p>
        </w:tc>
        <w:tc>
          <w:tcPr>
            <w:tcW w:w="6254" w:type="dxa"/>
            <w:tcBorders>
              <w:top w:val="single" w:sz="4" w:space="0" w:color="auto"/>
            </w:tcBorders>
          </w:tcPr>
          <w:p w14:paraId="41A71648" w14:textId="77777777" w:rsidR="00F55219" w:rsidRDefault="00F55219" w:rsidP="00820F0C">
            <w:r>
              <w:t>“offline”</w:t>
            </w:r>
          </w:p>
        </w:tc>
      </w:tr>
    </w:tbl>
    <w:p w14:paraId="474C9B17" w14:textId="77777777" w:rsidR="00F55219" w:rsidRDefault="00F55219" w:rsidP="00F55219"/>
    <w:p w14:paraId="60E6AE73" w14:textId="69953279" w:rsidR="00F55219" w:rsidRDefault="00F55219" w:rsidP="00F55219">
      <w:pPr>
        <w:pStyle w:val="Heading2"/>
      </w:pPr>
      <w:r>
        <w:t>Control and Status</w:t>
      </w:r>
    </w:p>
    <w:p w14:paraId="1BBE4485" w14:textId="07EC420C" w:rsidR="00D45977" w:rsidRPr="00D45977" w:rsidRDefault="00D45977" w:rsidP="00D45977">
      <w:r>
        <w:t xml:space="preserve">The Global Topic is </w:t>
      </w:r>
      <w:r w:rsidR="00B005D4">
        <w:t>/</w:t>
      </w:r>
      <w:proofErr w:type="spellStart"/>
      <w:r>
        <w:t>JSONout</w:t>
      </w:r>
      <w:proofErr w:type="spellEnd"/>
      <w:r>
        <w:br/>
        <w:t>The Spe</w:t>
      </w:r>
      <w:r w:rsidR="00B005D4">
        <w:t>ci</w:t>
      </w:r>
      <w:r>
        <w:t>fic</w:t>
      </w:r>
      <w:r w:rsidR="00B005D4">
        <w:t xml:space="preserve"> Topics start with /</w:t>
      </w:r>
      <w:proofErr w:type="spellStart"/>
      <w:r w:rsidR="00B005D4">
        <w:t>sts</w:t>
      </w:r>
      <w:proofErr w:type="spellEnd"/>
      <w:r w:rsidR="00B005D4">
        <w:t xml:space="preserve"> </w:t>
      </w:r>
      <w:r w:rsidR="00B005D4" w:rsidRPr="00B005D4">
        <w:rPr>
          <w:i/>
          <w:iCs/>
        </w:rPr>
        <w:t xml:space="preserve">(after the </w:t>
      </w:r>
      <w:proofErr w:type="spellStart"/>
      <w:r w:rsidR="00B005D4" w:rsidRPr="00B005D4">
        <w:rPr>
          <w:i/>
          <w:iCs/>
        </w:rPr>
        <w:t>topicPrefix</w:t>
      </w:r>
      <w:proofErr w:type="spellEnd"/>
      <w:r w:rsidR="00B005D4" w:rsidRPr="00B005D4">
        <w:rPr>
          <w:i/>
          <w:iCs/>
        </w:rPr>
        <w:t>)</w:t>
      </w:r>
    </w:p>
    <w:p w14:paraId="0CBF5D9A" w14:textId="77777777" w:rsidR="00BF768F" w:rsidRDefault="00BF768F" w:rsidP="00F55219">
      <w:pPr>
        <w:pStyle w:val="Heading3"/>
      </w:pPr>
      <w:r>
        <w:t>Publish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6041"/>
      </w:tblGrid>
      <w:tr w:rsidR="00B00513" w14:paraId="5BC25659" w14:textId="77777777" w:rsidTr="00632732">
        <w:tc>
          <w:tcPr>
            <w:tcW w:w="2988" w:type="dxa"/>
            <w:tcBorders>
              <w:bottom w:val="single" w:sz="4" w:space="0" w:color="auto"/>
            </w:tcBorders>
          </w:tcPr>
          <w:p w14:paraId="24769F09" w14:textId="77777777" w:rsidR="00B00513" w:rsidRPr="00B00513" w:rsidRDefault="00B00513" w:rsidP="00632732">
            <w:pPr>
              <w:rPr>
                <w:b/>
              </w:rPr>
            </w:pPr>
            <w:r w:rsidRPr="00B00513">
              <w:rPr>
                <w:b/>
              </w:rPr>
              <w:t>Topic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75BFD7AF" w14:textId="77777777" w:rsidR="00B00513" w:rsidRPr="00B00513" w:rsidRDefault="00B00513" w:rsidP="00632732">
            <w:pPr>
              <w:rPr>
                <w:b/>
              </w:rPr>
            </w:pPr>
            <w:r w:rsidRPr="00B00513">
              <w:rPr>
                <w:b/>
              </w:rPr>
              <w:t>Payload</w:t>
            </w:r>
          </w:p>
        </w:tc>
      </w:tr>
      <w:tr w:rsidR="00F55219" w14:paraId="6C7BEFBE" w14:textId="77777777" w:rsidTr="00D45977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14:paraId="49778540" w14:textId="77777777" w:rsidR="00F55219" w:rsidRDefault="00F55219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JSONout</w:t>
            </w:r>
            <w:proofErr w:type="spellEnd"/>
          </w:p>
        </w:tc>
        <w:tc>
          <w:tcPr>
            <w:tcW w:w="6254" w:type="dxa"/>
            <w:tcBorders>
              <w:top w:val="single" w:sz="4" w:space="0" w:color="auto"/>
              <w:bottom w:val="single" w:sz="4" w:space="0" w:color="auto"/>
            </w:tcBorders>
          </w:tcPr>
          <w:p w14:paraId="093FB7D4" w14:textId="77777777" w:rsidR="00F55219" w:rsidRDefault="00B00513" w:rsidP="00F55219">
            <w:r>
              <w:t>JSON encapsulated string providing full detailed status of the heater state</w:t>
            </w:r>
          </w:p>
        </w:tc>
      </w:tr>
      <w:tr w:rsidR="00F55219" w14:paraId="3EC5C2EC" w14:textId="77777777" w:rsidTr="00D45977">
        <w:tc>
          <w:tcPr>
            <w:tcW w:w="2988" w:type="dxa"/>
            <w:tcBorders>
              <w:top w:val="single" w:sz="4" w:space="0" w:color="auto"/>
            </w:tcBorders>
          </w:tcPr>
          <w:p w14:paraId="69A940E9" w14:textId="77777777" w:rsidR="00F55219" w:rsidRDefault="00F55219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/Run</w:t>
            </w:r>
          </w:p>
        </w:tc>
        <w:tc>
          <w:tcPr>
            <w:tcW w:w="6254" w:type="dxa"/>
            <w:tcBorders>
              <w:top w:val="single" w:sz="4" w:space="0" w:color="auto"/>
            </w:tcBorders>
          </w:tcPr>
          <w:p w14:paraId="1D2C1246" w14:textId="77777777" w:rsidR="00F55219" w:rsidRDefault="00B00513" w:rsidP="00F55219">
            <w:r>
              <w:t>0=heater OFF, 1=heater ON</w:t>
            </w:r>
          </w:p>
        </w:tc>
      </w:tr>
      <w:tr w:rsidR="00F55219" w14:paraId="582CA7D4" w14:textId="77777777" w:rsidTr="00632732">
        <w:tc>
          <w:tcPr>
            <w:tcW w:w="2988" w:type="dxa"/>
          </w:tcPr>
          <w:p w14:paraId="43D3BA1E" w14:textId="77777777" w:rsidR="00F55219" w:rsidRDefault="00F55219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RunState</w:t>
            </w:r>
            <w:proofErr w:type="spellEnd"/>
          </w:p>
        </w:tc>
        <w:tc>
          <w:tcPr>
            <w:tcW w:w="6254" w:type="dxa"/>
          </w:tcPr>
          <w:p w14:paraId="2C97D755" w14:textId="77777777" w:rsidR="00F55219" w:rsidRDefault="00B00513" w:rsidP="00B00513">
            <w:r>
              <w:t>An integer enumeration indicating the current running state of the heater</w:t>
            </w:r>
          </w:p>
        </w:tc>
      </w:tr>
      <w:tr w:rsidR="00F55219" w14:paraId="6133196D" w14:textId="77777777" w:rsidTr="00632732">
        <w:tc>
          <w:tcPr>
            <w:tcW w:w="2988" w:type="dxa"/>
          </w:tcPr>
          <w:p w14:paraId="442F4296" w14:textId="77777777" w:rsidR="00F55219" w:rsidRDefault="00F55219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RunString</w:t>
            </w:r>
            <w:proofErr w:type="spellEnd"/>
          </w:p>
        </w:tc>
        <w:tc>
          <w:tcPr>
            <w:tcW w:w="6254" w:type="dxa"/>
          </w:tcPr>
          <w:p w14:paraId="641A54C6" w14:textId="77777777" w:rsidR="00F55219" w:rsidRDefault="00B00513" w:rsidP="00B00513">
            <w:r>
              <w:t>String that describes the running state of the heater</w:t>
            </w:r>
          </w:p>
        </w:tc>
      </w:tr>
      <w:tr w:rsidR="00F55219" w14:paraId="167ACED5" w14:textId="77777777" w:rsidTr="00632732">
        <w:tc>
          <w:tcPr>
            <w:tcW w:w="2988" w:type="dxa"/>
          </w:tcPr>
          <w:p w14:paraId="00636137" w14:textId="77777777" w:rsidR="00F55219" w:rsidRDefault="00F55219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TempDesired</w:t>
            </w:r>
            <w:proofErr w:type="spellEnd"/>
          </w:p>
        </w:tc>
        <w:tc>
          <w:tcPr>
            <w:tcW w:w="6254" w:type="dxa"/>
          </w:tcPr>
          <w:p w14:paraId="7F951CB2" w14:textId="77777777" w:rsidR="00F55219" w:rsidRDefault="00B00513" w:rsidP="00F55219">
            <w:r>
              <w:t xml:space="preserve">Desired temperature in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F55219" w14:paraId="501EC1AA" w14:textId="77777777" w:rsidTr="00632732">
        <w:tc>
          <w:tcPr>
            <w:tcW w:w="2988" w:type="dxa"/>
          </w:tcPr>
          <w:p w14:paraId="005D6E1E" w14:textId="77777777" w:rsidR="00F55219" w:rsidRDefault="00F55219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TempCurrent</w:t>
            </w:r>
            <w:proofErr w:type="spellEnd"/>
          </w:p>
        </w:tc>
        <w:tc>
          <w:tcPr>
            <w:tcW w:w="6254" w:type="dxa"/>
          </w:tcPr>
          <w:p w14:paraId="1B5612DF" w14:textId="77777777" w:rsidR="00F55219" w:rsidRDefault="00B00513" w:rsidP="00F55219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>C – from sensor used for thermostat</w:t>
            </w:r>
          </w:p>
        </w:tc>
      </w:tr>
      <w:tr w:rsidR="00257B54" w14:paraId="1E67DD2E" w14:textId="77777777" w:rsidTr="00632732">
        <w:tc>
          <w:tcPr>
            <w:tcW w:w="2988" w:type="dxa"/>
          </w:tcPr>
          <w:p w14:paraId="46F87804" w14:textId="77777777" w:rsidR="00257B54" w:rsidRDefault="00257B54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/Temp2Current</w:t>
            </w:r>
          </w:p>
        </w:tc>
        <w:tc>
          <w:tcPr>
            <w:tcW w:w="6254" w:type="dxa"/>
          </w:tcPr>
          <w:p w14:paraId="45210273" w14:textId="77777777" w:rsidR="00257B54" w:rsidRDefault="00257B54" w:rsidP="00257B54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>C – from optional second sensor</w:t>
            </w:r>
          </w:p>
        </w:tc>
      </w:tr>
      <w:tr w:rsidR="00257B54" w14:paraId="64966E63" w14:textId="77777777" w:rsidTr="00632732">
        <w:tc>
          <w:tcPr>
            <w:tcW w:w="2988" w:type="dxa"/>
          </w:tcPr>
          <w:p w14:paraId="119CFAAA" w14:textId="77777777" w:rsidR="00257B54" w:rsidRPr="00F55219" w:rsidRDefault="00257B54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/Temp3Current</w:t>
            </w:r>
          </w:p>
        </w:tc>
        <w:tc>
          <w:tcPr>
            <w:tcW w:w="6254" w:type="dxa"/>
          </w:tcPr>
          <w:p w14:paraId="4E491423" w14:textId="77777777" w:rsidR="00257B54" w:rsidRDefault="00257B54" w:rsidP="00257B54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>C – from optional third sensor</w:t>
            </w:r>
          </w:p>
        </w:tc>
      </w:tr>
      <w:tr w:rsidR="001D6DD2" w14:paraId="47688AB5" w14:textId="77777777" w:rsidTr="00632732">
        <w:tc>
          <w:tcPr>
            <w:tcW w:w="2988" w:type="dxa"/>
          </w:tcPr>
          <w:p w14:paraId="7A15A67A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TempBody</w:t>
            </w:r>
            <w:proofErr w:type="spellEnd"/>
          </w:p>
        </w:tc>
        <w:tc>
          <w:tcPr>
            <w:tcW w:w="6254" w:type="dxa"/>
          </w:tcPr>
          <w:p w14:paraId="2BA08058" w14:textId="77777777" w:rsidR="001D6DD2" w:rsidRDefault="001D6DD2" w:rsidP="001D6DD2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>C of the heater’s casing</w:t>
            </w:r>
          </w:p>
        </w:tc>
      </w:tr>
      <w:tr w:rsidR="001D6DD2" w14:paraId="58126713" w14:textId="77777777" w:rsidTr="00632732">
        <w:tc>
          <w:tcPr>
            <w:tcW w:w="2988" w:type="dxa"/>
          </w:tcPr>
          <w:p w14:paraId="109E1A53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ErrorState</w:t>
            </w:r>
            <w:proofErr w:type="spellEnd"/>
          </w:p>
        </w:tc>
        <w:tc>
          <w:tcPr>
            <w:tcW w:w="6254" w:type="dxa"/>
          </w:tcPr>
          <w:p w14:paraId="1C648A17" w14:textId="77777777" w:rsidR="001D6DD2" w:rsidRDefault="001D6DD2" w:rsidP="001D6DD2">
            <w:r>
              <w:t>An integer enumeration indicating the current error state of the heater</w:t>
            </w:r>
          </w:p>
        </w:tc>
      </w:tr>
      <w:tr w:rsidR="001D6DD2" w14:paraId="6684AF50" w14:textId="77777777" w:rsidTr="00632732">
        <w:tc>
          <w:tcPr>
            <w:tcW w:w="2988" w:type="dxa"/>
          </w:tcPr>
          <w:p w14:paraId="5509321F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ErrorString</w:t>
            </w:r>
            <w:proofErr w:type="spellEnd"/>
          </w:p>
        </w:tc>
        <w:tc>
          <w:tcPr>
            <w:tcW w:w="6254" w:type="dxa"/>
          </w:tcPr>
          <w:p w14:paraId="5CD4B084" w14:textId="77777777" w:rsidR="001D6DD2" w:rsidRDefault="001D6DD2" w:rsidP="001D6DD2">
            <w:r>
              <w:t>String that describes the error state of the heater</w:t>
            </w:r>
          </w:p>
        </w:tc>
      </w:tr>
      <w:tr w:rsidR="001D6DD2" w14:paraId="2A6F1C75" w14:textId="77777777" w:rsidTr="00632732">
        <w:tc>
          <w:tcPr>
            <w:tcW w:w="2988" w:type="dxa"/>
          </w:tcPr>
          <w:p w14:paraId="0B467778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/Thermostat</w:t>
            </w:r>
          </w:p>
        </w:tc>
        <w:tc>
          <w:tcPr>
            <w:tcW w:w="6254" w:type="dxa"/>
          </w:tcPr>
          <w:p w14:paraId="2961DD2F" w14:textId="77777777" w:rsidR="001D6DD2" w:rsidRDefault="001D6DD2" w:rsidP="001D6DD2">
            <w:r>
              <w:t>0=fixed pump demand, 1=thermostat mode active</w:t>
            </w:r>
          </w:p>
        </w:tc>
      </w:tr>
      <w:tr w:rsidR="001D6DD2" w14:paraId="55A0F1ED" w14:textId="77777777" w:rsidTr="00632732">
        <w:tc>
          <w:tcPr>
            <w:tcW w:w="2988" w:type="dxa"/>
          </w:tcPr>
          <w:p w14:paraId="03A379D1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PumpFixed</w:t>
            </w:r>
            <w:proofErr w:type="spellEnd"/>
          </w:p>
        </w:tc>
        <w:tc>
          <w:tcPr>
            <w:tcW w:w="6254" w:type="dxa"/>
          </w:tcPr>
          <w:p w14:paraId="3184FB14" w14:textId="77777777" w:rsidR="001D6DD2" w:rsidRDefault="001D6DD2" w:rsidP="001D6DD2">
            <w:r>
              <w:t>Desired pump delivery rate, in Hz</w:t>
            </w:r>
          </w:p>
        </w:tc>
      </w:tr>
      <w:tr w:rsidR="001D6DD2" w14:paraId="72ABC01B" w14:textId="77777777" w:rsidTr="00632732">
        <w:tc>
          <w:tcPr>
            <w:tcW w:w="2988" w:type="dxa"/>
          </w:tcPr>
          <w:p w14:paraId="1A6DEBC3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lastRenderedPageBreak/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PumpActual</w:t>
            </w:r>
            <w:proofErr w:type="spellEnd"/>
          </w:p>
        </w:tc>
        <w:tc>
          <w:tcPr>
            <w:tcW w:w="6254" w:type="dxa"/>
          </w:tcPr>
          <w:p w14:paraId="05FA6971" w14:textId="77777777" w:rsidR="001D6DD2" w:rsidRDefault="001D6DD2" w:rsidP="0012342B">
            <w:r>
              <w:t>Current pump delivery rate, in Hz</w:t>
            </w:r>
          </w:p>
        </w:tc>
      </w:tr>
      <w:tr w:rsidR="001D6DD2" w14:paraId="492E7509" w14:textId="77777777" w:rsidTr="00632732">
        <w:tc>
          <w:tcPr>
            <w:tcW w:w="2988" w:type="dxa"/>
          </w:tcPr>
          <w:p w14:paraId="41F5C485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FanRPM</w:t>
            </w:r>
            <w:proofErr w:type="spellEnd"/>
          </w:p>
        </w:tc>
        <w:tc>
          <w:tcPr>
            <w:tcW w:w="6254" w:type="dxa"/>
          </w:tcPr>
          <w:p w14:paraId="0C80EDC6" w14:textId="77777777" w:rsidR="001D6DD2" w:rsidRDefault="001D6DD2" w:rsidP="00F55219">
            <w:r>
              <w:t>Current fan RPM</w:t>
            </w:r>
          </w:p>
        </w:tc>
      </w:tr>
      <w:tr w:rsidR="001D6DD2" w14:paraId="1B74BC82" w14:textId="77777777" w:rsidTr="00632732">
        <w:tc>
          <w:tcPr>
            <w:tcW w:w="2988" w:type="dxa"/>
          </w:tcPr>
          <w:p w14:paraId="164CA547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InputVoltage</w:t>
            </w:r>
            <w:proofErr w:type="spellEnd"/>
          </w:p>
        </w:tc>
        <w:tc>
          <w:tcPr>
            <w:tcW w:w="6254" w:type="dxa"/>
          </w:tcPr>
          <w:p w14:paraId="156D4174" w14:textId="77777777" w:rsidR="001D6DD2" w:rsidRDefault="001D6DD2" w:rsidP="00F55219">
            <w:r>
              <w:t>Current input voltage to heater unit</w:t>
            </w:r>
          </w:p>
        </w:tc>
      </w:tr>
      <w:tr w:rsidR="001D6DD2" w14:paraId="5E938373" w14:textId="77777777" w:rsidTr="00632732">
        <w:tc>
          <w:tcPr>
            <w:tcW w:w="2988" w:type="dxa"/>
          </w:tcPr>
          <w:p w14:paraId="687097FF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GlowVoltage</w:t>
            </w:r>
            <w:proofErr w:type="spellEnd"/>
          </w:p>
        </w:tc>
        <w:tc>
          <w:tcPr>
            <w:tcW w:w="6254" w:type="dxa"/>
          </w:tcPr>
          <w:p w14:paraId="42840A7F" w14:textId="77777777" w:rsidR="001D6DD2" w:rsidRDefault="001D6DD2" w:rsidP="00F55219">
            <w:r>
              <w:t>Current voltage applied to glow plug</w:t>
            </w:r>
          </w:p>
        </w:tc>
      </w:tr>
      <w:tr w:rsidR="001D6DD2" w14:paraId="5621EE10" w14:textId="77777777" w:rsidTr="00632732">
        <w:tc>
          <w:tcPr>
            <w:tcW w:w="2988" w:type="dxa"/>
          </w:tcPr>
          <w:p w14:paraId="5C26C065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GlowCurrent</w:t>
            </w:r>
            <w:proofErr w:type="spellEnd"/>
          </w:p>
        </w:tc>
        <w:tc>
          <w:tcPr>
            <w:tcW w:w="6254" w:type="dxa"/>
          </w:tcPr>
          <w:p w14:paraId="55AFD8ED" w14:textId="77777777" w:rsidR="001D6DD2" w:rsidRDefault="001D6DD2" w:rsidP="00F55219">
            <w:r>
              <w:t>Current amperage applied to glow plug</w:t>
            </w:r>
          </w:p>
        </w:tc>
      </w:tr>
      <w:tr w:rsidR="001D6DD2" w14:paraId="2EC6CAA8" w14:textId="77777777" w:rsidTr="00632732">
        <w:tc>
          <w:tcPr>
            <w:tcW w:w="2988" w:type="dxa"/>
          </w:tcPr>
          <w:p w14:paraId="6EB6C037" w14:textId="77777777" w:rsidR="001D6DD2" w:rsidRPr="00F55219" w:rsidRDefault="001D6DD2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sts</w:t>
            </w:r>
            <w:proofErr w:type="spellEnd"/>
            <w:r>
              <w:t>/</w:t>
            </w:r>
            <w:proofErr w:type="spellStart"/>
            <w:r>
              <w:t>GPalg</w:t>
            </w:r>
            <w:proofErr w:type="spellEnd"/>
          </w:p>
        </w:tc>
        <w:tc>
          <w:tcPr>
            <w:tcW w:w="6254" w:type="dxa"/>
          </w:tcPr>
          <w:p w14:paraId="73F8E71A" w14:textId="77777777" w:rsidR="001D6DD2" w:rsidRDefault="001D6DD2" w:rsidP="00F55219">
            <w:r>
              <w:t>Analogue input value applied to analogue input as a percentage</w:t>
            </w:r>
          </w:p>
        </w:tc>
      </w:tr>
    </w:tbl>
    <w:p w14:paraId="1B594C66" w14:textId="77777777" w:rsidR="00F55219" w:rsidRPr="00F55219" w:rsidRDefault="00F55219" w:rsidP="00F55219"/>
    <w:p w14:paraId="4BD4B5D4" w14:textId="77777777" w:rsidR="00F55219" w:rsidRDefault="00F55219" w:rsidP="00F55219"/>
    <w:p w14:paraId="3A505883" w14:textId="77777777" w:rsidR="00F55219" w:rsidRDefault="00F55219" w:rsidP="001D6DD2">
      <w:pPr>
        <w:pStyle w:val="Heading3"/>
      </w:pPr>
      <w:r>
        <w:t>Subscribe</w:t>
      </w:r>
    </w:p>
    <w:p w14:paraId="376072E8" w14:textId="77777777" w:rsidR="00E54B1A" w:rsidRPr="00E54B1A" w:rsidRDefault="00E54B1A" w:rsidP="00E54B1A">
      <w:r>
        <w:t>The Afterburner subscribes to the following two topics: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6077"/>
      </w:tblGrid>
      <w:tr w:rsidR="0026443B" w14:paraId="79D13B53" w14:textId="77777777" w:rsidTr="0026443B">
        <w:tc>
          <w:tcPr>
            <w:tcW w:w="2988" w:type="dxa"/>
            <w:tcBorders>
              <w:bottom w:val="single" w:sz="4" w:space="0" w:color="auto"/>
            </w:tcBorders>
          </w:tcPr>
          <w:p w14:paraId="0A24F58B" w14:textId="77777777" w:rsidR="0026443B" w:rsidRPr="0026443B" w:rsidRDefault="0026443B" w:rsidP="0026443B">
            <w:pPr>
              <w:tabs>
                <w:tab w:val="left" w:pos="2310"/>
                <w:tab w:val="right" w:pos="2772"/>
              </w:tabs>
              <w:rPr>
                <w:b/>
              </w:rPr>
            </w:pPr>
            <w:r w:rsidRPr="0026443B">
              <w:rPr>
                <w:b/>
              </w:rPr>
              <w:t>Topic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46EC7F02" w14:textId="77777777" w:rsidR="0026443B" w:rsidRDefault="0026443B" w:rsidP="0026443B">
            <w:pPr>
              <w:jc w:val="both"/>
            </w:pPr>
            <w:r w:rsidRPr="0026443B">
              <w:rPr>
                <w:b/>
              </w:rPr>
              <w:t>Payload</w:t>
            </w:r>
          </w:p>
        </w:tc>
      </w:tr>
      <w:tr w:rsidR="001D6DD2" w14:paraId="349C6CFC" w14:textId="77777777" w:rsidTr="0026443B">
        <w:tc>
          <w:tcPr>
            <w:tcW w:w="2988" w:type="dxa"/>
            <w:tcBorders>
              <w:top w:val="single" w:sz="4" w:space="0" w:color="auto"/>
            </w:tcBorders>
          </w:tcPr>
          <w:p w14:paraId="6ADDE9EB" w14:textId="77777777" w:rsidR="001D6DD2" w:rsidRDefault="001D6DD2" w:rsidP="0026443B">
            <w:pPr>
              <w:tabs>
                <w:tab w:val="left" w:pos="2310"/>
                <w:tab w:val="right" w:pos="2772"/>
              </w:tabs>
            </w:pPr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JSONin</w:t>
            </w:r>
            <w:proofErr w:type="spellEnd"/>
            <w:r w:rsidR="0026443B">
              <w:tab/>
            </w:r>
            <w:r w:rsidR="0026443B">
              <w:tab/>
            </w:r>
          </w:p>
        </w:tc>
        <w:tc>
          <w:tcPr>
            <w:tcW w:w="6254" w:type="dxa"/>
            <w:tcBorders>
              <w:top w:val="single" w:sz="4" w:space="0" w:color="auto"/>
            </w:tcBorders>
          </w:tcPr>
          <w:p w14:paraId="5E63C57E" w14:textId="77777777" w:rsidR="001D6DD2" w:rsidRDefault="001D6DD2" w:rsidP="001D6DD2">
            <w:r>
              <w:t>JSON encapsulated command, using defined dictionary names</w:t>
            </w:r>
          </w:p>
        </w:tc>
      </w:tr>
      <w:tr w:rsidR="001D6DD2" w14:paraId="0B43BA57" w14:textId="77777777" w:rsidTr="0026443B">
        <w:tc>
          <w:tcPr>
            <w:tcW w:w="2988" w:type="dxa"/>
          </w:tcPr>
          <w:p w14:paraId="700DBCD6" w14:textId="77777777" w:rsidR="001D6DD2" w:rsidRDefault="001D6DD2" w:rsidP="001D6DD2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cmd</w:t>
            </w:r>
            <w:proofErr w:type="spellEnd"/>
            <w:r>
              <w:t>/#</w:t>
            </w:r>
          </w:p>
        </w:tc>
        <w:tc>
          <w:tcPr>
            <w:tcW w:w="6254" w:type="dxa"/>
          </w:tcPr>
          <w:p w14:paraId="5A124DE9" w14:textId="77777777" w:rsidR="001D6DD2" w:rsidRDefault="001D6DD2" w:rsidP="001D6DD2">
            <w:r>
              <w:t># = wildcard</w:t>
            </w:r>
            <w:r>
              <w:br/>
            </w:r>
            <w:proofErr w:type="spellStart"/>
            <w:r>
              <w:t>wildcard</w:t>
            </w:r>
            <w:proofErr w:type="spellEnd"/>
            <w:r>
              <w:t xml:space="preserve"> can be any valid JSON dictionary name and will be treated</w:t>
            </w:r>
            <w:r>
              <w:br/>
              <w:t xml:space="preserve">as if it were part of a </w:t>
            </w:r>
            <w:proofErr w:type="spellStart"/>
            <w:r>
              <w:t>JSONin</w:t>
            </w:r>
            <w:proofErr w:type="spellEnd"/>
            <w:r>
              <w:t xml:space="preserve"> command string</w:t>
            </w:r>
          </w:p>
        </w:tc>
      </w:tr>
    </w:tbl>
    <w:p w14:paraId="40505527" w14:textId="77777777" w:rsidR="00F55219" w:rsidRDefault="00F55219" w:rsidP="00F55219"/>
    <w:p w14:paraId="64DF7FD3" w14:textId="77777777" w:rsidR="001D6DD2" w:rsidRDefault="001D6DD2" w:rsidP="00F55219">
      <w:r>
        <w:t>A client can choose whether to publish commands using either /</w:t>
      </w:r>
      <w:proofErr w:type="spellStart"/>
      <w:r>
        <w:t>JSONin</w:t>
      </w:r>
      <w:proofErr w:type="spellEnd"/>
      <w:r>
        <w:t xml:space="preserve"> or /</w:t>
      </w:r>
      <w:proofErr w:type="spellStart"/>
      <w:r>
        <w:t>cmd</w:t>
      </w:r>
      <w:proofErr w:type="spellEnd"/>
      <w:r>
        <w:t>/</w:t>
      </w:r>
      <w:proofErr w:type="spellStart"/>
      <w:r w:rsidRPr="001D6DD2">
        <w:rPr>
          <w:i/>
        </w:rPr>
        <w:t>JSONname</w:t>
      </w:r>
      <w:proofErr w:type="spellEnd"/>
      <w:r w:rsidR="0026443B">
        <w:t>.</w:t>
      </w:r>
      <w:r w:rsidR="0026443B">
        <w:br/>
      </w:r>
      <w:proofErr w:type="spellStart"/>
      <w:r w:rsidR="0026443B">
        <w:t>eg.</w:t>
      </w:r>
      <w:proofErr w:type="spellEnd"/>
      <w:r w:rsidR="0026443B">
        <w:t xml:space="preserve"> The both the following are valid usages: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790"/>
      </w:tblGrid>
      <w:tr w:rsidR="0026443B" w14:paraId="6FBA76CE" w14:textId="77777777" w:rsidTr="0026443B">
        <w:tc>
          <w:tcPr>
            <w:tcW w:w="3078" w:type="dxa"/>
            <w:tcBorders>
              <w:bottom w:val="single" w:sz="4" w:space="0" w:color="auto"/>
            </w:tcBorders>
            <w:vAlign w:val="center"/>
          </w:tcPr>
          <w:p w14:paraId="6D37A681" w14:textId="77777777" w:rsidR="0026443B" w:rsidRPr="0026443B" w:rsidRDefault="00632732" w:rsidP="00632732">
            <w:pPr>
              <w:tabs>
                <w:tab w:val="center" w:pos="1431"/>
                <w:tab w:val="right" w:pos="2862"/>
              </w:tabs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AFB8F70" w14:textId="77777777" w:rsidR="0026443B" w:rsidRPr="0026443B" w:rsidRDefault="0026443B" w:rsidP="0026443B">
            <w:pPr>
              <w:rPr>
                <w:b/>
              </w:rPr>
            </w:pPr>
            <w:r w:rsidRPr="0026443B">
              <w:rPr>
                <w:b/>
              </w:rPr>
              <w:t>Payload</w:t>
            </w:r>
          </w:p>
        </w:tc>
      </w:tr>
      <w:tr w:rsidR="0026443B" w14:paraId="13B02C1B" w14:textId="77777777" w:rsidTr="0026443B">
        <w:tc>
          <w:tcPr>
            <w:tcW w:w="3078" w:type="dxa"/>
            <w:tcBorders>
              <w:top w:val="single" w:sz="4" w:space="0" w:color="auto"/>
            </w:tcBorders>
          </w:tcPr>
          <w:p w14:paraId="5F6CA2BD" w14:textId="77777777" w:rsidR="0026443B" w:rsidRDefault="0026443B" w:rsidP="00F55219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JSONin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5AC07B2" w14:textId="77777777" w:rsidR="0026443B" w:rsidRDefault="0026443B" w:rsidP="00F55219">
            <w:r>
              <w:t>{“TempDesired”:22}</w:t>
            </w:r>
          </w:p>
        </w:tc>
      </w:tr>
      <w:tr w:rsidR="0026443B" w14:paraId="5270931A" w14:textId="77777777" w:rsidTr="0026443B">
        <w:tc>
          <w:tcPr>
            <w:tcW w:w="3078" w:type="dxa"/>
          </w:tcPr>
          <w:p w14:paraId="6898C59F" w14:textId="77777777" w:rsidR="0026443B" w:rsidRDefault="0026443B" w:rsidP="0026443B">
            <w:pPr>
              <w:spacing w:after="200" w:line="276" w:lineRule="auto"/>
            </w:pPr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cmd</w:t>
            </w:r>
            <w:proofErr w:type="spellEnd"/>
            <w:r>
              <w:t>/</w:t>
            </w:r>
            <w:proofErr w:type="spellStart"/>
            <w:r>
              <w:t>TempDesired</w:t>
            </w:r>
            <w:proofErr w:type="spellEnd"/>
          </w:p>
        </w:tc>
        <w:tc>
          <w:tcPr>
            <w:tcW w:w="2790" w:type="dxa"/>
          </w:tcPr>
          <w:p w14:paraId="47E25F58" w14:textId="77777777" w:rsidR="0026443B" w:rsidRDefault="0026443B" w:rsidP="00F55219">
            <w:r>
              <w:t>22</w:t>
            </w:r>
          </w:p>
        </w:tc>
      </w:tr>
    </w:tbl>
    <w:p w14:paraId="43C82802" w14:textId="77777777" w:rsidR="0026443B" w:rsidRDefault="00A82457" w:rsidP="0026443B">
      <w:r>
        <w:t>The /</w:t>
      </w:r>
      <w:proofErr w:type="spellStart"/>
      <w:r>
        <w:t>JSONin</w:t>
      </w:r>
      <w:proofErr w:type="spellEnd"/>
      <w:r>
        <w:t xml:space="preserve"> topic can support multiple names, whereas the /</w:t>
      </w:r>
      <w:proofErr w:type="spellStart"/>
      <w:r>
        <w:t>cmd</w:t>
      </w:r>
      <w:proofErr w:type="spellEnd"/>
      <w:r>
        <w:t>/xxx is singular</w:t>
      </w:r>
    </w:p>
    <w:p w14:paraId="70B3AD37" w14:textId="77777777" w:rsidR="00A82457" w:rsidRDefault="00A82457" w:rsidP="00A82457">
      <w:proofErr w:type="spellStart"/>
      <w:r>
        <w:t>eg.</w:t>
      </w:r>
      <w:proofErr w:type="spellEnd"/>
      <w:r>
        <w:t xml:space="preserve"> This is valid for /</w:t>
      </w:r>
      <w:proofErr w:type="spellStart"/>
      <w:r>
        <w:t>JSONin</w:t>
      </w:r>
      <w:proofErr w:type="spellEnd"/>
      <w:r>
        <w:t>, but must be sent as individual /</w:t>
      </w:r>
      <w:proofErr w:type="spellStart"/>
      <w:r>
        <w:t>cmd’s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221"/>
      </w:tblGrid>
      <w:tr w:rsidR="00A82457" w14:paraId="5C3648C8" w14:textId="77777777" w:rsidTr="0012342B">
        <w:tc>
          <w:tcPr>
            <w:tcW w:w="3078" w:type="dxa"/>
            <w:tcBorders>
              <w:bottom w:val="single" w:sz="4" w:space="0" w:color="auto"/>
            </w:tcBorders>
            <w:vAlign w:val="center"/>
          </w:tcPr>
          <w:p w14:paraId="380904AD" w14:textId="77777777" w:rsidR="00A82457" w:rsidRPr="0026443B" w:rsidRDefault="00A82457" w:rsidP="0012342B">
            <w:pPr>
              <w:tabs>
                <w:tab w:val="center" w:pos="1431"/>
                <w:tab w:val="right" w:pos="2862"/>
              </w:tabs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D0537B0" w14:textId="77777777" w:rsidR="00A82457" w:rsidRPr="0026443B" w:rsidRDefault="00A82457" w:rsidP="0012342B">
            <w:pPr>
              <w:rPr>
                <w:b/>
              </w:rPr>
            </w:pPr>
            <w:r w:rsidRPr="0026443B">
              <w:rPr>
                <w:b/>
              </w:rPr>
              <w:t>Payload</w:t>
            </w:r>
          </w:p>
        </w:tc>
      </w:tr>
      <w:tr w:rsidR="00A82457" w14:paraId="411461A0" w14:textId="77777777" w:rsidTr="0012342B">
        <w:tc>
          <w:tcPr>
            <w:tcW w:w="3078" w:type="dxa"/>
            <w:tcBorders>
              <w:top w:val="single" w:sz="4" w:space="0" w:color="auto"/>
            </w:tcBorders>
          </w:tcPr>
          <w:p w14:paraId="29930570" w14:textId="77777777" w:rsidR="00A82457" w:rsidRDefault="00A82457" w:rsidP="0012342B">
            <w:proofErr w:type="spellStart"/>
            <w:r w:rsidRPr="00F55219">
              <w:rPr>
                <w:b/>
                <w:i/>
              </w:rPr>
              <w:t>topicPrefix</w:t>
            </w:r>
            <w:proofErr w:type="spellEnd"/>
            <w:r>
              <w:t>/</w:t>
            </w:r>
            <w:proofErr w:type="spellStart"/>
            <w:r>
              <w:t>JSONin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84458EE" w14:textId="77777777" w:rsidR="00A82457" w:rsidRDefault="00A82457" w:rsidP="0012342B">
            <w:r>
              <w:t>{“TempDesired”:22,”Run”:1,”Thermostat”:1}</w:t>
            </w:r>
          </w:p>
        </w:tc>
      </w:tr>
    </w:tbl>
    <w:p w14:paraId="45F215AF" w14:textId="77777777" w:rsidR="0026443B" w:rsidRDefault="00DB1A11" w:rsidP="00DB1A11">
      <w:pPr>
        <w:tabs>
          <w:tab w:val="left" w:pos="5728"/>
        </w:tabs>
      </w:pPr>
      <w:r>
        <w:tab/>
      </w:r>
    </w:p>
    <w:p w14:paraId="7336BD41" w14:textId="77777777" w:rsidR="00DB1A11" w:rsidRDefault="00DB1A11" w:rsidP="00DB1A11">
      <w:pPr>
        <w:pStyle w:val="Heading2"/>
      </w:pPr>
      <w:r>
        <w:t>JSON dictionary</w:t>
      </w:r>
    </w:p>
    <w:p w14:paraId="160748EC" w14:textId="77777777" w:rsidR="00DB1A11" w:rsidRDefault="00DB1A11" w:rsidP="00DB1A11">
      <w:r>
        <w:t>The JSON names are defined in the JSON dictionary document.</w:t>
      </w:r>
    </w:p>
    <w:p w14:paraId="30854533" w14:textId="77777777" w:rsidR="006111C4" w:rsidRDefault="006111C4" w:rsidP="00DB1A11">
      <w:r>
        <w:t>Configuring MQTT</w:t>
      </w:r>
    </w:p>
    <w:p w14:paraId="03BC899A" w14:textId="77777777" w:rsidR="006111C4" w:rsidRDefault="006111C4" w:rsidP="00DB1A11">
      <w:r>
        <w:t xml:space="preserve">First and foremost, the Afterburner must be able to connect to a broker, which means it must be configured to use STA </w:t>
      </w:r>
      <w:proofErr w:type="spellStart"/>
      <w:r>
        <w:t>wifi</w:t>
      </w:r>
      <w:proofErr w:type="spellEnd"/>
      <w:r>
        <w:t xml:space="preserve"> mode.</w:t>
      </w:r>
      <w:r>
        <w:br/>
        <w:t xml:space="preserve">STA mode being when the Afterburner is connected to a local </w:t>
      </w:r>
      <w:proofErr w:type="spellStart"/>
      <w:r>
        <w:t>WiFi</w:t>
      </w:r>
      <w:proofErr w:type="spellEnd"/>
      <w:r>
        <w:t xml:space="preserve"> network.</w:t>
      </w:r>
    </w:p>
    <w:p w14:paraId="72F784C7" w14:textId="77777777" w:rsidR="00D819D2" w:rsidRDefault="006111C4" w:rsidP="00DB1A11">
      <w:r>
        <w:t>Once</w:t>
      </w:r>
      <w:r w:rsidR="00D819D2">
        <w:t xml:space="preserve"> connected, discover the Afterburner’s STA IP address using the OLED menus.</w:t>
      </w:r>
    </w:p>
    <w:p w14:paraId="1CADAA1A" w14:textId="77777777" w:rsidR="006111C4" w:rsidRPr="00DB1A11" w:rsidRDefault="00D819D2" w:rsidP="00DB1A11">
      <w:r>
        <w:t>Using a telnet client, connect to the Afterburner (telnet port 23).</w:t>
      </w:r>
      <w:r>
        <w:br/>
        <w:t>This accesses the general debug information output, from there you can now access a MQTT configuration</w:t>
      </w:r>
      <w:r w:rsidR="006111C4">
        <w:t xml:space="preserve"> </w:t>
      </w:r>
      <w:r>
        <w:t>menu.</w:t>
      </w:r>
    </w:p>
    <w:p w14:paraId="4D6358D3" w14:textId="77777777" w:rsidR="0026443B" w:rsidRDefault="007F7600" w:rsidP="00F55219">
      <w:r>
        <w:lastRenderedPageBreak/>
        <w:t>As debug information freely flows, it is of benefit to suppress the notifications that appear when JSON data is packaged for delivery.</w:t>
      </w:r>
      <w:r>
        <w:br/>
        <w:t>Hit ‘J’ to toggle off JSON reporting. This avoids unwanted distraction whilst using the MQTT menu.</w:t>
      </w:r>
    </w:p>
    <w:p w14:paraId="77536506" w14:textId="77777777" w:rsidR="007F7600" w:rsidRDefault="007F7600" w:rsidP="00F55219">
      <w:r>
        <w:t>Hit ‘M’ to present the MQTT setup menu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1273"/>
        <w:gridCol w:w="4765"/>
        <w:gridCol w:w="2988"/>
      </w:tblGrid>
      <w:tr w:rsidR="00F56CB2" w14:paraId="349B8A00" w14:textId="77777777" w:rsidTr="007A15A5">
        <w:trPr>
          <w:cantSplit/>
          <w:tblHeader/>
        </w:trPr>
        <w:tc>
          <w:tcPr>
            <w:tcW w:w="1278" w:type="dxa"/>
            <w:tcBorders>
              <w:bottom w:val="single" w:sz="4" w:space="0" w:color="auto"/>
            </w:tcBorders>
          </w:tcPr>
          <w:p w14:paraId="5557973B" w14:textId="77777777" w:rsidR="00F56CB2" w:rsidRPr="00F56CB2" w:rsidRDefault="00F56CB2" w:rsidP="00F55219">
            <w:pPr>
              <w:rPr>
                <w:b/>
              </w:rPr>
            </w:pPr>
            <w:r w:rsidRPr="00F56CB2">
              <w:rPr>
                <w:b/>
              </w:rPr>
              <w:t>Keystroke</w:t>
            </w:r>
          </w:p>
        </w:tc>
        <w:tc>
          <w:tcPr>
            <w:tcW w:w="4883" w:type="dxa"/>
            <w:tcBorders>
              <w:bottom w:val="single" w:sz="4" w:space="0" w:color="auto"/>
            </w:tcBorders>
          </w:tcPr>
          <w:p w14:paraId="1C519C9C" w14:textId="77777777" w:rsidR="00F56CB2" w:rsidRPr="00F56CB2" w:rsidRDefault="00F56CB2" w:rsidP="00F55219">
            <w:pPr>
              <w:rPr>
                <w:b/>
              </w:rPr>
            </w:pPr>
            <w:r w:rsidRPr="00F56CB2">
              <w:rPr>
                <w:b/>
              </w:rPr>
              <w:t>Function</w:t>
            </w:r>
          </w:p>
        </w:tc>
        <w:tc>
          <w:tcPr>
            <w:tcW w:w="3081" w:type="dxa"/>
          </w:tcPr>
          <w:p w14:paraId="01F1CEEA" w14:textId="77777777" w:rsidR="00F56CB2" w:rsidRDefault="00F56CB2" w:rsidP="00F55219"/>
        </w:tc>
      </w:tr>
      <w:tr w:rsidR="007F7600" w14:paraId="683D3942" w14:textId="77777777" w:rsidTr="007A15A5">
        <w:trPr>
          <w:tblHeader/>
        </w:trPr>
        <w:tc>
          <w:tcPr>
            <w:tcW w:w="1278" w:type="dxa"/>
            <w:tcBorders>
              <w:top w:val="single" w:sz="4" w:space="0" w:color="auto"/>
            </w:tcBorders>
          </w:tcPr>
          <w:p w14:paraId="4E09F52C" w14:textId="77777777" w:rsidR="007F7600" w:rsidRDefault="007F7600" w:rsidP="00F56CB2">
            <w:pPr>
              <w:jc w:val="center"/>
            </w:pPr>
            <w:r>
              <w:t>1</w:t>
            </w:r>
          </w:p>
        </w:tc>
        <w:tc>
          <w:tcPr>
            <w:tcW w:w="4883" w:type="dxa"/>
            <w:tcBorders>
              <w:top w:val="single" w:sz="4" w:space="0" w:color="auto"/>
            </w:tcBorders>
          </w:tcPr>
          <w:p w14:paraId="6F0F7B4A" w14:textId="77777777" w:rsidR="007F7600" w:rsidRDefault="007F7600" w:rsidP="00F55219">
            <w:r>
              <w:t xml:space="preserve">Enter </w:t>
            </w:r>
            <w:r w:rsidR="00B86424">
              <w:t xml:space="preserve">broker’s </w:t>
            </w:r>
            <w:r>
              <w:t>IP address</w:t>
            </w:r>
            <w:r w:rsidR="000F5727">
              <w:br/>
              <w:t>The IP address must be entered using dotted notation</w:t>
            </w:r>
          </w:p>
        </w:tc>
        <w:tc>
          <w:tcPr>
            <w:tcW w:w="3081" w:type="dxa"/>
          </w:tcPr>
          <w:p w14:paraId="3FF9ABB6" w14:textId="77777777" w:rsidR="007F7600" w:rsidRDefault="007F7600" w:rsidP="00F55219"/>
        </w:tc>
      </w:tr>
      <w:tr w:rsidR="007F7600" w14:paraId="380957AD" w14:textId="77777777" w:rsidTr="007A15A5">
        <w:trPr>
          <w:tblHeader/>
        </w:trPr>
        <w:tc>
          <w:tcPr>
            <w:tcW w:w="1278" w:type="dxa"/>
          </w:tcPr>
          <w:p w14:paraId="0FCA9882" w14:textId="77777777" w:rsidR="007F7600" w:rsidRDefault="007F7600" w:rsidP="00F56CB2">
            <w:pPr>
              <w:jc w:val="center"/>
            </w:pPr>
            <w:r>
              <w:t>2</w:t>
            </w:r>
          </w:p>
        </w:tc>
        <w:tc>
          <w:tcPr>
            <w:tcW w:w="4883" w:type="dxa"/>
          </w:tcPr>
          <w:p w14:paraId="6A496C8B" w14:textId="77777777" w:rsidR="007F7600" w:rsidRDefault="00B86424" w:rsidP="00F55219">
            <w:r>
              <w:t xml:space="preserve">Enter broker’s port </w:t>
            </w:r>
            <w:r w:rsidRPr="00B86424">
              <w:rPr>
                <w:i/>
              </w:rPr>
              <w:t>(default 1883)</w:t>
            </w:r>
          </w:p>
        </w:tc>
        <w:tc>
          <w:tcPr>
            <w:tcW w:w="3081" w:type="dxa"/>
          </w:tcPr>
          <w:p w14:paraId="1DD60EFA" w14:textId="77777777" w:rsidR="007F7600" w:rsidRDefault="007F7600" w:rsidP="00F55219"/>
        </w:tc>
      </w:tr>
      <w:tr w:rsidR="007F7600" w14:paraId="7C46DBDE" w14:textId="77777777" w:rsidTr="007A15A5">
        <w:trPr>
          <w:tblHeader/>
        </w:trPr>
        <w:tc>
          <w:tcPr>
            <w:tcW w:w="1278" w:type="dxa"/>
          </w:tcPr>
          <w:p w14:paraId="59754CEE" w14:textId="77777777" w:rsidR="007F7600" w:rsidRDefault="007F7600" w:rsidP="00F56CB2">
            <w:pPr>
              <w:jc w:val="center"/>
            </w:pPr>
            <w:r>
              <w:t>3</w:t>
            </w:r>
          </w:p>
        </w:tc>
        <w:tc>
          <w:tcPr>
            <w:tcW w:w="4883" w:type="dxa"/>
          </w:tcPr>
          <w:p w14:paraId="04153270" w14:textId="77777777" w:rsidR="007F7600" w:rsidRDefault="00B86424" w:rsidP="00F55219">
            <w:r>
              <w:t>Enter the username to access the broker</w:t>
            </w:r>
          </w:p>
        </w:tc>
        <w:tc>
          <w:tcPr>
            <w:tcW w:w="3081" w:type="dxa"/>
          </w:tcPr>
          <w:p w14:paraId="3C3C9C59" w14:textId="77777777" w:rsidR="007F7600" w:rsidRDefault="007F7600" w:rsidP="00F55219"/>
        </w:tc>
      </w:tr>
      <w:tr w:rsidR="007F7600" w14:paraId="164D38EE" w14:textId="77777777" w:rsidTr="007A15A5">
        <w:trPr>
          <w:tblHeader/>
        </w:trPr>
        <w:tc>
          <w:tcPr>
            <w:tcW w:w="1278" w:type="dxa"/>
          </w:tcPr>
          <w:p w14:paraId="456DD62C" w14:textId="77777777" w:rsidR="007F7600" w:rsidRDefault="007F7600" w:rsidP="00F56CB2">
            <w:pPr>
              <w:jc w:val="center"/>
            </w:pPr>
            <w:r>
              <w:t>4</w:t>
            </w:r>
          </w:p>
        </w:tc>
        <w:tc>
          <w:tcPr>
            <w:tcW w:w="4883" w:type="dxa"/>
          </w:tcPr>
          <w:p w14:paraId="21BE4003" w14:textId="77777777" w:rsidR="007F7600" w:rsidRDefault="00B86424" w:rsidP="00F55219">
            <w:r>
              <w:t>Enter the password to access the broker</w:t>
            </w:r>
          </w:p>
        </w:tc>
        <w:tc>
          <w:tcPr>
            <w:tcW w:w="3081" w:type="dxa"/>
          </w:tcPr>
          <w:p w14:paraId="1AAA6764" w14:textId="77777777" w:rsidR="007F7600" w:rsidRDefault="007F7600" w:rsidP="00F55219"/>
        </w:tc>
      </w:tr>
      <w:tr w:rsidR="007F7600" w14:paraId="5462455D" w14:textId="77777777" w:rsidTr="007A15A5">
        <w:trPr>
          <w:tblHeader/>
        </w:trPr>
        <w:tc>
          <w:tcPr>
            <w:tcW w:w="1278" w:type="dxa"/>
          </w:tcPr>
          <w:p w14:paraId="2B8DAE85" w14:textId="77777777" w:rsidR="007F7600" w:rsidRDefault="007F7600" w:rsidP="00F56CB2">
            <w:pPr>
              <w:jc w:val="center"/>
            </w:pPr>
            <w:r>
              <w:t>5</w:t>
            </w:r>
          </w:p>
        </w:tc>
        <w:tc>
          <w:tcPr>
            <w:tcW w:w="4883" w:type="dxa"/>
          </w:tcPr>
          <w:p w14:paraId="756CF6A9" w14:textId="77777777" w:rsidR="007F7600" w:rsidRDefault="00B86424" w:rsidP="00F55219">
            <w:r>
              <w:t>Enter the topic prefix</w:t>
            </w:r>
          </w:p>
        </w:tc>
        <w:tc>
          <w:tcPr>
            <w:tcW w:w="3081" w:type="dxa"/>
          </w:tcPr>
          <w:p w14:paraId="703FA322" w14:textId="77777777" w:rsidR="007F7600" w:rsidRDefault="007F7600" w:rsidP="00F55219"/>
        </w:tc>
      </w:tr>
      <w:tr w:rsidR="007F7600" w14:paraId="193349A6" w14:textId="77777777" w:rsidTr="007A15A5">
        <w:trPr>
          <w:tblHeader/>
        </w:trPr>
        <w:tc>
          <w:tcPr>
            <w:tcW w:w="1278" w:type="dxa"/>
          </w:tcPr>
          <w:p w14:paraId="590BDDEB" w14:textId="77777777" w:rsidR="007F7600" w:rsidRDefault="007F7600" w:rsidP="00F56CB2">
            <w:pPr>
              <w:jc w:val="center"/>
            </w:pPr>
            <w:r>
              <w:t>6</w:t>
            </w:r>
          </w:p>
        </w:tc>
        <w:tc>
          <w:tcPr>
            <w:tcW w:w="4883" w:type="dxa"/>
          </w:tcPr>
          <w:p w14:paraId="374D781B" w14:textId="77777777" w:rsidR="007F7600" w:rsidRDefault="00B86424" w:rsidP="00F55219">
            <w:r>
              <w:t>Enter the desired Quality of Service</w:t>
            </w:r>
          </w:p>
        </w:tc>
        <w:tc>
          <w:tcPr>
            <w:tcW w:w="3081" w:type="dxa"/>
          </w:tcPr>
          <w:p w14:paraId="320587B0" w14:textId="77777777" w:rsidR="007F7600" w:rsidRDefault="007F7600" w:rsidP="00F55219"/>
        </w:tc>
      </w:tr>
      <w:tr w:rsidR="007F7600" w14:paraId="27123526" w14:textId="77777777" w:rsidTr="007A15A5">
        <w:trPr>
          <w:tblHeader/>
        </w:trPr>
        <w:tc>
          <w:tcPr>
            <w:tcW w:w="1278" w:type="dxa"/>
          </w:tcPr>
          <w:p w14:paraId="5F9D2F8F" w14:textId="77777777" w:rsidR="007F7600" w:rsidRDefault="007F7600" w:rsidP="00F56CB2">
            <w:pPr>
              <w:jc w:val="center"/>
            </w:pPr>
            <w:r>
              <w:t>7</w:t>
            </w:r>
          </w:p>
        </w:tc>
        <w:tc>
          <w:tcPr>
            <w:tcW w:w="4883" w:type="dxa"/>
          </w:tcPr>
          <w:p w14:paraId="2C365B04" w14:textId="77777777" w:rsidR="007F7600" w:rsidRDefault="00B86424" w:rsidP="00F55219">
            <w:r>
              <w:t>Enable or disable MQTT connection</w:t>
            </w:r>
          </w:p>
        </w:tc>
        <w:tc>
          <w:tcPr>
            <w:tcW w:w="3081" w:type="dxa"/>
          </w:tcPr>
          <w:p w14:paraId="3C4E68AB" w14:textId="77777777" w:rsidR="007F7600" w:rsidRDefault="007F7600" w:rsidP="00F55219"/>
        </w:tc>
      </w:tr>
      <w:tr w:rsidR="007F7600" w14:paraId="3B1651E6" w14:textId="77777777" w:rsidTr="007A15A5">
        <w:trPr>
          <w:tblHeader/>
        </w:trPr>
        <w:tc>
          <w:tcPr>
            <w:tcW w:w="1278" w:type="dxa"/>
          </w:tcPr>
          <w:p w14:paraId="008DC228" w14:textId="77777777" w:rsidR="007F7600" w:rsidRDefault="007F7600" w:rsidP="00F56CB2">
            <w:pPr>
              <w:jc w:val="center"/>
            </w:pPr>
            <w:r>
              <w:t>&lt;ENTER&gt;</w:t>
            </w:r>
          </w:p>
        </w:tc>
        <w:tc>
          <w:tcPr>
            <w:tcW w:w="4883" w:type="dxa"/>
          </w:tcPr>
          <w:p w14:paraId="595E39B8" w14:textId="77777777" w:rsidR="007F7600" w:rsidRDefault="00B86424" w:rsidP="00F55219">
            <w:r>
              <w:t>Save and exit the parameters</w:t>
            </w:r>
          </w:p>
        </w:tc>
        <w:tc>
          <w:tcPr>
            <w:tcW w:w="3081" w:type="dxa"/>
          </w:tcPr>
          <w:p w14:paraId="0ED922BC" w14:textId="77777777" w:rsidR="007F7600" w:rsidRDefault="007F7600" w:rsidP="00F55219"/>
        </w:tc>
      </w:tr>
      <w:tr w:rsidR="007F7600" w14:paraId="50C7082A" w14:textId="77777777" w:rsidTr="007A15A5">
        <w:trPr>
          <w:trHeight w:val="63"/>
          <w:tblHeader/>
        </w:trPr>
        <w:tc>
          <w:tcPr>
            <w:tcW w:w="1278" w:type="dxa"/>
          </w:tcPr>
          <w:p w14:paraId="6250C8F5" w14:textId="77777777" w:rsidR="007F7600" w:rsidRDefault="007F7600" w:rsidP="00F56CB2">
            <w:pPr>
              <w:jc w:val="center"/>
            </w:pPr>
            <w:r>
              <w:t>&lt;ESC&gt;</w:t>
            </w:r>
          </w:p>
        </w:tc>
        <w:tc>
          <w:tcPr>
            <w:tcW w:w="4883" w:type="dxa"/>
          </w:tcPr>
          <w:p w14:paraId="503A4821" w14:textId="77777777" w:rsidR="007F7600" w:rsidRDefault="00B86424" w:rsidP="00F55219">
            <w:r>
              <w:t>Abort any changes</w:t>
            </w:r>
          </w:p>
        </w:tc>
        <w:tc>
          <w:tcPr>
            <w:tcW w:w="3081" w:type="dxa"/>
          </w:tcPr>
          <w:p w14:paraId="66EDEDC2" w14:textId="77777777" w:rsidR="007F7600" w:rsidRDefault="007F7600" w:rsidP="00F55219"/>
        </w:tc>
      </w:tr>
    </w:tbl>
    <w:p w14:paraId="7E91012E" w14:textId="77777777" w:rsidR="007F7600" w:rsidRPr="0026443B" w:rsidRDefault="007F7600" w:rsidP="00F55219"/>
    <w:p w14:paraId="1BE73E52" w14:textId="77777777" w:rsidR="00F55219" w:rsidRDefault="00F55219" w:rsidP="00F55219"/>
    <w:p w14:paraId="114E85F7" w14:textId="77777777" w:rsidR="00F55219" w:rsidRDefault="00F55219" w:rsidP="00F55219"/>
    <w:p w14:paraId="0C7614B9" w14:textId="77777777" w:rsidR="00F55219" w:rsidRDefault="00F55219" w:rsidP="00F55219"/>
    <w:p w14:paraId="2905B554" w14:textId="77777777" w:rsidR="00F55219" w:rsidRDefault="00F55219" w:rsidP="00F55219"/>
    <w:p w14:paraId="5B0A333A" w14:textId="77777777" w:rsidR="00F55219" w:rsidRDefault="00F55219" w:rsidP="00F55219"/>
    <w:p w14:paraId="315C1E80" w14:textId="77777777" w:rsidR="00F55219" w:rsidRDefault="00F55219">
      <w:bookmarkStart w:id="0" w:name="_GoBack"/>
      <w:bookmarkEnd w:id="0"/>
    </w:p>
    <w:sectPr w:rsidR="00F55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8F"/>
    <w:rsid w:val="00061C7D"/>
    <w:rsid w:val="000F539F"/>
    <w:rsid w:val="000F5727"/>
    <w:rsid w:val="001D6DD2"/>
    <w:rsid w:val="00257B54"/>
    <w:rsid w:val="0026443B"/>
    <w:rsid w:val="00303304"/>
    <w:rsid w:val="006111C4"/>
    <w:rsid w:val="00632732"/>
    <w:rsid w:val="007A15A5"/>
    <w:rsid w:val="007F7600"/>
    <w:rsid w:val="0082257F"/>
    <w:rsid w:val="008853D6"/>
    <w:rsid w:val="00910E3D"/>
    <w:rsid w:val="00A21ACE"/>
    <w:rsid w:val="00A82457"/>
    <w:rsid w:val="00B00513"/>
    <w:rsid w:val="00B005D4"/>
    <w:rsid w:val="00B01F5E"/>
    <w:rsid w:val="00B86424"/>
    <w:rsid w:val="00BF768F"/>
    <w:rsid w:val="00CF2453"/>
    <w:rsid w:val="00D45977"/>
    <w:rsid w:val="00D819D2"/>
    <w:rsid w:val="00DB1A11"/>
    <w:rsid w:val="00E134F3"/>
    <w:rsid w:val="00E54B1A"/>
    <w:rsid w:val="00F55219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1F72"/>
  <w15:docId w15:val="{3390188F-ADB9-42E9-91DA-985ABF50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5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2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01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Ray Jones</cp:lastModifiedBy>
  <cp:revision>2</cp:revision>
  <dcterms:created xsi:type="dcterms:W3CDTF">2019-10-17T04:51:00Z</dcterms:created>
  <dcterms:modified xsi:type="dcterms:W3CDTF">2019-10-17T04:51:00Z</dcterms:modified>
</cp:coreProperties>
</file>