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HSA Payroll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Buckley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Adam Kaufman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akaufman@buckleyfirm.com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</w:t>
      </w:r>
    </w:p>
    <w:p w:rsidR="00000000" w:rsidDel="00000000" w:rsidP="00000000" w:rsidRDefault="00000000" w:rsidRPr="00000000" w14:paraId="00000025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27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8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specify your plan year: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01/01/2021 – 12/31/2021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FSA File would you like us to create?</w:t>
      </w:r>
    </w:p>
    <w:tbl>
      <w:tblPr>
        <w:tblStyle w:val="Table3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Include terms if there is a contribution amount to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Hired and Eligible for the plan whether they contribute or not.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for each that apply: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5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3660"/>
        <w:tblGridChange w:id="0">
          <w:tblGrid>
            <w:gridCol w:w="1520"/>
            <w:gridCol w:w="3660"/>
          </w:tblGrid>
        </w:tblGridChange>
      </w:tblGrid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 Catch up Family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 Catch up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 Employer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 Family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HSPFC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Partner HSA Catch up Family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Partner HSA Catch up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Partner HSA Family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HSAPI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Partner HSA Individual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Ultimate will build two Open Enrollment Sessions – one Active and one Passive.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4C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4E">
      <w:pPr>
        <w:spacing w:before="6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         </w:t>
      </w:r>
    </w:p>
    <w:p w:rsidR="00000000" w:rsidDel="00000000" w:rsidP="00000000" w:rsidRDefault="00000000" w:rsidRPr="00000000" w14:paraId="0000004F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54">
      <w:pPr>
        <w:pStyle w:val="Subtitle"/>
        <w:rPr/>
      </w:pPr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pipe delimited text</w:t>
      </w:r>
    </w:p>
    <w:p w:rsidR="00000000" w:rsidDel="00000000" w:rsidP="00000000" w:rsidRDefault="00000000" w:rsidRPr="00000000" w14:paraId="00000064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 </w:t>
      </w:r>
    </w:p>
    <w:p w:rsidR="00000000" w:rsidDel="00000000" w:rsidP="00000000" w:rsidRDefault="00000000" w:rsidRPr="00000000" w14:paraId="00000065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– leave on if there is a contribution to report</w:t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01/12/2021</w:t>
    </w:r>
  </w:p>
  <w:p w:rsidR="00000000" w:rsidDel="00000000" w:rsidP="00000000" w:rsidRDefault="00000000" w:rsidRPr="00000000" w14:paraId="0000006D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1/12/2021 7:18 PM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67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Buckley</w:t>
          </w:r>
        </w:p>
        <w:p w:rsidR="00000000" w:rsidDel="00000000" w:rsidP="00000000" w:rsidRDefault="00000000" w:rsidRPr="00000000" w14:paraId="00000068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rtl w:val="0"/>
            </w:rPr>
            <w:t xml:space="preserve">Buckley - TekP-2021-1-05-0002 - Flores HSA Payroll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