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Vanguard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Buckley LLP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Adam Kauffman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312-924-9800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3"/>
                <w:szCs w:val="23"/>
                <w:shd w:fill="f7f7f7" w:val="clear"/>
                <w:rtl w:val="0"/>
              </w:rPr>
              <w:t xml:space="preserve">akaufman@buckleyfirm.com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0"/>
                <w:szCs w:val="20"/>
                <w:highlight w:val="white"/>
                <w:rtl w:val="0"/>
              </w:rPr>
              <w:t xml:space="preserve">Derrick Mccray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derrick_m_mccray@vanguard.com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6292c"/>
                <w:sz w:val="20"/>
                <w:szCs w:val="20"/>
                <w:highlight w:val="white"/>
                <w:rtl w:val="0"/>
              </w:rPr>
              <w:t xml:space="preserve">Derrick Mccray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derrick_m_mccray@vanguard.com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01/17/2020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Fields and Fixed Length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12p-5am EST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     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– Monthly and Semi-monthly  (Weekly pay group is not eligible)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1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8A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Vanguard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094612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401K File would you like Ultimate Software to create?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All employees except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eeddedbengrp = PB or eecempt type = TMP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not.</w:t>
            </w:r>
          </w:p>
          <w:p w:rsidR="00000000" w:rsidDel="00000000" w:rsidP="00000000" w:rsidRDefault="00000000" w:rsidRPr="00000000" w14:paraId="0000009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9F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A1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A2">
      <w:pPr>
        <w:ind w:left="36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highlight w:val="yellow"/>
          <w:rtl w:val="0"/>
        </w:rPr>
        <w:t xml:space="preserve">Exclude eeddedbengrp = PB or eecempt type = 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Please specify your plan year: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01/01/2020 – 12/31/2020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contribution types should be included on the file?</w:t>
        <w:br w:type="textWrapping"/>
      </w:r>
    </w:p>
    <w:tbl>
      <w:tblPr>
        <w:tblStyle w:val="Table8"/>
        <w:tblW w:w="7380.0" w:type="dxa"/>
        <w:jc w:val="left"/>
        <w:tblInd w:w="0.0" w:type="dxa"/>
        <w:tblLayout w:type="fixed"/>
        <w:tblLook w:val="0400"/>
      </w:tblPr>
      <w:tblGrid>
        <w:gridCol w:w="1380"/>
        <w:gridCol w:w="2340"/>
        <w:gridCol w:w="3660"/>
        <w:tblGridChange w:id="0">
          <w:tblGrid>
            <w:gridCol w:w="1380"/>
            <w:gridCol w:w="2340"/>
            <w:gridCol w:w="366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Contribution Source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Flat 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AAA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AAA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4KEP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% 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AAA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4KP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Partner 401k Flat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AAA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NRB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NRB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Partner Roth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NRB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RTHEP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Partner Roth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NRB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4KL1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4KL2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CA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sent one time only - based on the actual (audit) date entered into UltiPro.</w:t>
      </w:r>
    </w:p>
    <w:p w:rsidR="00000000" w:rsidDel="00000000" w:rsidP="00000000" w:rsidRDefault="00000000" w:rsidRPr="00000000" w14:paraId="000000CD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Terminations sent one time only - based on the actual (audit) date entered into UltiPro, with no future dated terminations.</w:t>
      </w:r>
    </w:p>
    <w:p w:rsidR="00000000" w:rsidDel="00000000" w:rsidP="00000000" w:rsidRDefault="00000000" w:rsidRPr="00000000" w14:paraId="000000CE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__ days (Ex. 30 days).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D5">
      <w:pPr>
        <w:tabs>
          <w:tab w:val="left" w:pos="5235"/>
        </w:tabs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  <w:tab/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tabs>
          <w:tab w:val="center" w:pos="4320"/>
          <w:tab w:val="right" w:pos="8640"/>
        </w:tabs>
        <w:rPr>
          <w:b w:val="0"/>
        </w:rPr>
      </w:pPr>
      <w:r w:rsidDel="00000000" w:rsidR="00000000" w:rsidRPr="00000000">
        <w:rPr>
          <w:rtl w:val="0"/>
        </w:rPr>
        <w:t xml:space="preserve">Notes to Developer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Arial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01/17/2020</w:t>
    </w:r>
  </w:p>
  <w:p w:rsidR="00000000" w:rsidDel="00000000" w:rsidP="00000000" w:rsidRDefault="00000000" w:rsidRPr="00000000" w14:paraId="000000DF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11/8/2019 10:23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0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D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Buckley LLP</w:t>
          </w:r>
        </w:p>
        <w:p w:rsidR="00000000" w:rsidDel="00000000" w:rsidP="00000000" w:rsidRDefault="00000000" w:rsidRPr="00000000" w14:paraId="000000D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Buckley - TekP-2019-10-21-0003 - Vanguard 401k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B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C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