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Culture Amp Demo Interface Requirements Specification</w:t>
      </w:r>
    </w:p>
    <w:p w:rsidR="00000000" w:rsidDel="00000000" w:rsidP="00000000" w:rsidRDefault="00000000" w:rsidRPr="00000000" w14:paraId="0000000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Clutter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Brennen Hicks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delimiters from output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Other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VENDOR_Customer_Type_CCYYMMDD.HHMMSS where CCYYMMDD = date the file is created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VENDOR_Customer_TEST_CCYYMMDD.HHMMSS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12-5 AM EST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Daily at 6am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Any Others: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Are Special characters required (UTF-8 formatting)?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2e75b5"/>
                <w:sz w:val="22"/>
                <w:szCs w:val="22"/>
                <w:highlight w:val="whit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send for Clutter, Inc.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“Clutter, Inc - Part Time” should be excluded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Culture 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Employees regardless of the eecemplstatus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91">
      <w:pPr>
        <w:ind w:left="360" w:firstLine="0"/>
        <w:rPr>
          <w:color w:val="1f4e79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1f4e79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1f4e79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1f4e79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1f4e79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3">
      <w:pPr>
        <w:ind w:left="360" w:firstLine="0"/>
        <w:rPr>
          <w:color w:val="1f4e79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1f4e79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1f4e79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1f4e79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1f4e79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4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97">
      <w:pPr>
        <w:pStyle w:val="Subtitle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terminations on this file: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9D">
      <w:pPr>
        <w:ind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 required</w:t>
      </w:r>
    </w:p>
    <w:p w:rsidR="00000000" w:rsidDel="00000000" w:rsidP="00000000" w:rsidRDefault="00000000" w:rsidRPr="00000000" w14:paraId="0000009E">
      <w:pPr>
        <w:ind w:firstLine="360"/>
        <w:rPr/>
      </w:pPr>
      <w:r w:rsidDel="00000000" w:rsidR="00000000" w:rsidRPr="00000000">
        <w:rPr>
          <w:sz w:val="20"/>
          <w:szCs w:val="20"/>
          <w:rtl w:val="0"/>
        </w:rPr>
        <w:t xml:space="preserve">Vendor is very picky about the format.  If we use csv, then it must be have the UTF-8 encoding, otherwise we can send as 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Arial Unicode MS"/>
  <w:font w:name="MS Gothic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9/22/2021 3:22 PM</w:t>
    </w:r>
  </w:p>
  <w:p w:rsidR="00000000" w:rsidDel="00000000" w:rsidP="00000000" w:rsidRDefault="00000000" w:rsidRPr="00000000" w14:paraId="000000A8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9/22/2021 3:27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A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Clutter</w:t>
          </w:r>
        </w:p>
        <w:p w:rsidR="00000000" w:rsidDel="00000000" w:rsidP="00000000" w:rsidRDefault="00000000" w:rsidRPr="00000000" w14:paraId="000000A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Clutter - TekP-2021-08-26-0001 - Culture Amp Demo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4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5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