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Fidelity 401k Eligibility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Fiskars Living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Glenn Smith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glenn.smith@fiskars.com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4"/>
        <w:tblW w:w="11981.000000000002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622"/>
        <w:gridCol w:w="1970"/>
        <w:gridCol w:w="1275"/>
        <w:gridCol w:w="2780"/>
        <w:gridCol w:w="3067"/>
        <w:gridCol w:w="2267"/>
        <w:tblGridChange w:id="0">
          <w:tblGrid>
            <w:gridCol w:w="622"/>
            <w:gridCol w:w="1970"/>
            <w:gridCol w:w="1275"/>
            <w:gridCol w:w="2780"/>
            <w:gridCol w:w="3067"/>
            <w:gridCol w:w="2267"/>
          </w:tblGrid>
        </w:tblGridChange>
      </w:tblGrid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Comments 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Author</w:t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05/06/2021     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    Lea King 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5"/>
        <w:tblW w:w="14516.0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3"/>
        <w:gridCol w:w="4262"/>
        <w:gridCol w:w="2941"/>
        <w:gridCol w:w="4680"/>
        <w:tblGridChange w:id="0">
          <w:tblGrid>
            <w:gridCol w:w="2633"/>
            <w:gridCol w:w="4262"/>
            <w:gridCol w:w="2941"/>
            <w:gridCol w:w="4680"/>
          </w:tblGrid>
        </w:tblGridChange>
      </w:tblGrid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 delimited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Are there current / other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Rule="auto"/>
              <w:rPr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2e75b5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color w:val="2e75b5"/>
                <w:rtl w:val="0"/>
              </w:rPr>
              <w:t xml:space="preserve"> </w:t>
            </w:r>
            <w:r w:rsidDel="00000000" w:rsidR="00000000" w:rsidRPr="00000000">
              <w:rPr>
                <w:color w:val="2e75b5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Rule="auto"/>
              <w:ind w:left="28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2e75b5"/>
                <w:sz w:val="20"/>
                <w:szCs w:val="20"/>
                <w:rtl w:val="0"/>
              </w:rPr>
              <w:t xml:space="preserve">Weekly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e75b5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2e75b5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color w:val="2e75b5"/>
                <w:rtl w:val="0"/>
              </w:rPr>
              <w:t xml:space="preserve"> </w:t>
            </w:r>
            <w:r w:rsidDel="00000000" w:rsidR="00000000" w:rsidRPr="00000000">
              <w:rPr>
                <w:color w:val="2e75b5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Qualifier Notes:</w:t>
            </w:r>
          </w:p>
        </w:tc>
      </w:tr>
      <w:tr>
        <w:trPr>
          <w:trHeight w:val="249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rPr>
                <w:color w:val="2e75b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2e75b5"/>
                <w:sz w:val="20"/>
                <w:szCs w:val="20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color w:val="2e75b5"/>
                <w:sz w:val="20"/>
                <w:szCs w:val="20"/>
                <w:rtl w:val="0"/>
              </w:rPr>
              <w:t xml:space="preserve"> Pay Period Range</w:t>
            </w:r>
            <w:r w:rsidDel="00000000" w:rsidR="00000000" w:rsidRPr="00000000">
              <w:rPr>
                <w:color w:val="2e75b5"/>
                <w:sz w:val="20"/>
                <w:szCs w:val="20"/>
                <w:highlight w:val="whit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68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Vendor Name: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Fidelity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Confirm Group or Plan Number:</w:t>
        <w:tab/>
        <w:t xml:space="preserve">00088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Type of 401K File</w:t>
      </w: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6F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Enrollment</w:t>
              <w:tab/>
              <w:t xml:space="preserve">           </w:t>
            </w:r>
            <w:r w:rsidDel="00000000" w:rsidR="00000000" w:rsidRPr="00000000">
              <w:rPr>
                <w:rtl w:val="0"/>
              </w:rPr>
              <w:t xml:space="preserve">Employees on applicable ded codes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This file typically will include All Employees Enrolled in the plan whether they contribute or not.</w:t>
            </w:r>
          </w:p>
        </w:tc>
      </w:tr>
    </w:tbl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Will you have employees that have active Deductions in multiple component companies?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77">
      <w:pPr>
        <w:ind w:left="360" w:firstLine="0"/>
        <w:rPr>
          <w:color w:val="ed7d3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8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UltiPro Deduction Codes: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spacing w:after="240" w:before="240" w:line="96.00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7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spacing w:after="240" w:before="240" w:line="96.00000000000001" w:lineRule="auto"/>
        <w:rPr/>
      </w:pPr>
      <w:r w:rsidDel="00000000" w:rsidR="00000000" w:rsidRPr="00000000">
        <w:rPr>
          <w:rtl w:val="0"/>
        </w:rPr>
        <w:t xml:space="preserve">   L401P   =  401K contribution %</w:t>
      </w:r>
    </w:p>
    <w:p w:rsidR="00000000" w:rsidDel="00000000" w:rsidP="00000000" w:rsidRDefault="00000000" w:rsidRPr="00000000" w14:paraId="000000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spacing w:after="240" w:before="240" w:line="96.00000000000001" w:lineRule="auto"/>
        <w:rPr/>
      </w:pPr>
      <w:r w:rsidDel="00000000" w:rsidR="00000000" w:rsidRPr="00000000">
        <w:rPr>
          <w:rtl w:val="0"/>
        </w:rPr>
        <w:t xml:space="preserve">   LROTH =  Roth %</w:t>
      </w:r>
    </w:p>
    <w:p w:rsidR="00000000" w:rsidDel="00000000" w:rsidP="00000000" w:rsidRDefault="00000000" w:rsidRPr="00000000" w14:paraId="000000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spacing w:after="240" w:before="240" w:line="96.00000000000001" w:lineRule="auto"/>
        <w:rPr/>
      </w:pPr>
      <w:r w:rsidDel="00000000" w:rsidR="00000000" w:rsidRPr="00000000">
        <w:rPr>
          <w:rtl w:val="0"/>
        </w:rPr>
        <w:t xml:space="preserve">   401CU = 401k Catch Up</w:t>
      </w:r>
    </w:p>
    <w:p w:rsidR="00000000" w:rsidDel="00000000" w:rsidP="00000000" w:rsidRDefault="00000000" w:rsidRPr="00000000" w14:paraId="000000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spacing w:after="240" w:before="240" w:line="96.00000000000001" w:lineRule="auto"/>
        <w:rPr/>
      </w:pPr>
      <w:r w:rsidDel="00000000" w:rsidR="00000000" w:rsidRPr="00000000">
        <w:rPr>
          <w:rtl w:val="0"/>
        </w:rPr>
        <w:t xml:space="preserve">   L401M = 401k match</w:t>
      </w:r>
    </w:p>
    <w:p w:rsidR="00000000" w:rsidDel="00000000" w:rsidP="00000000" w:rsidRDefault="00000000" w:rsidRPr="00000000" w14:paraId="000000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spacing w:after="240" w:before="240" w:line="96.00000000000001" w:lineRule="auto"/>
        <w:rPr/>
      </w:pPr>
      <w:r w:rsidDel="00000000" w:rsidR="00000000" w:rsidRPr="00000000">
        <w:rPr>
          <w:rtl w:val="0"/>
        </w:rPr>
        <w:t xml:space="preserve">   Loan1 = 401k loan 1</w:t>
      </w:r>
    </w:p>
    <w:p w:rsidR="00000000" w:rsidDel="00000000" w:rsidP="00000000" w:rsidRDefault="00000000" w:rsidRPr="00000000" w14:paraId="000000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spacing w:after="240" w:before="240" w:line="96.00000000000001" w:lineRule="auto"/>
        <w:rPr/>
      </w:pPr>
      <w:r w:rsidDel="00000000" w:rsidR="00000000" w:rsidRPr="00000000">
        <w:rPr>
          <w:color w:val="7f7f7f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 Loan2 = 401k loan 2</w:t>
      </w:r>
    </w:p>
    <w:p w:rsidR="00000000" w:rsidDel="00000000" w:rsidP="00000000" w:rsidRDefault="00000000" w:rsidRPr="00000000" w14:paraId="000000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spacing w:after="240" w:before="240" w:line="96.00000000000001" w:lineRule="auto"/>
        <w:rPr/>
      </w:pPr>
      <w:r w:rsidDel="00000000" w:rsidR="00000000" w:rsidRPr="00000000">
        <w:rPr>
          <w:rtl w:val="0"/>
        </w:rPr>
        <w:t xml:space="preserve">   Loan3 = 401k loan 3</w:t>
      </w:r>
    </w:p>
    <w:p w:rsidR="00000000" w:rsidDel="00000000" w:rsidP="00000000" w:rsidRDefault="00000000" w:rsidRPr="00000000" w14:paraId="00000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 w:firstLine="0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85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b w:val="1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Terminations sent one time only - based on the actual (audit) date entered into UltiPro.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color w:val="7f7f7f"/>
          <w:sz w:val="20"/>
          <w:szCs w:val="2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will be for the Fiskars Living company only.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 new company being built in UKG.  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Employee data will be loaded in the client’s test site around 5/17.</w:t>
      </w:r>
    </w:p>
    <w:p w:rsidR="00000000" w:rsidDel="00000000" w:rsidP="00000000" w:rsidRDefault="00000000" w:rsidRPr="00000000" w14:paraId="00000090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Gothic"/>
  <w:font w:name="MS Mincho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5/6/2021 9:09 AM</w:t>
    </w:r>
  </w:p>
  <w:p w:rsidR="00000000" w:rsidDel="00000000" w:rsidP="00000000" w:rsidRDefault="00000000" w:rsidRPr="00000000" w14:paraId="00000098">
    <w:pPr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5/6/2021 9:09 AM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7"/>
      <w:tblW w:w="11088.0" w:type="dxa"/>
      <w:jc w:val="righ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525" w:hRule="atLeast"/>
      </w:trPr>
      <w:tc>
        <w:tcPr/>
        <w:p w:rsidR="00000000" w:rsidDel="00000000" w:rsidP="00000000" w:rsidRDefault="00000000" w:rsidRPr="00000000" w14:paraId="00000092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Fiskars Living</w:t>
          </w:r>
        </w:p>
        <w:p w:rsidR="00000000" w:rsidDel="00000000" w:rsidP="00000000" w:rsidRDefault="00000000" w:rsidRPr="00000000" w14:paraId="0000009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26292c"/>
              <w:sz w:val="20"/>
              <w:szCs w:val="20"/>
              <w:rtl w:val="0"/>
            </w:rPr>
            <w:t xml:space="preserve">Fiskars Brands - TekP-2021-03-29-0001 - Fidelity_401K Elig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4990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5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</w:p>
      </w:tc>
    </w:tr>
  </w:tbl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