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63745" cy="4572000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7129463</wp:posOffset>
                </wp:positionV>
                <wp:extent cx="4657725" cy="1485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1900" y="3041813"/>
                          <a:ext cx="46482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7129463</wp:posOffset>
                </wp:positionV>
                <wp:extent cx="4657725" cy="14859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680720</wp:posOffset>
                </wp:positionV>
                <wp:extent cx="5829300" cy="156210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36113" y="3003713"/>
                          <a:ext cx="58197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36"/>
                                <w:vertAlign w:val="baseline"/>
                              </w:rPr>
                              <w:t xml:space="preserve">REQUIRED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36"/>
                                <w:vertAlign w:val="baseline"/>
                              </w:rPr>
                              <w:t xml:space="preserve">xConnect – Automated Data Exchange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4f9b"/>
                                <w:sz w:val="36"/>
                                <w:vertAlign w:val="baseline"/>
                              </w:rPr>
                              <w:t xml:space="preserve">Contribution Remittances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680720</wp:posOffset>
                </wp:positionV>
                <wp:extent cx="5829300" cy="1562100"/>
                <wp:effectExtent b="0" l="0" r="0" t="0"/>
                <wp:wrapSquare wrapText="bothSides" distB="45720" distT="45720" distL="114300" distR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  <w:sectPr>
          <w:headerReference r:id="rId9" w:type="default"/>
          <w:footerReference r:id="rId10" w:type="default"/>
          <w:footerReference r:id="rId11" w:type="first"/>
          <w:pgSz w:h="15840" w:w="12240"/>
          <w:pgMar w:bottom="1440" w:top="1440" w:left="1800" w:right="1800" w:header="709" w:footer="283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right" w:pos="11000"/>
        </w:tabs>
        <w:ind w:firstLine="12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1000"/>
        </w:tabs>
        <w:ind w:left="1210" w:right="1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40"/>
          <w:tab w:val="right" w:pos="10780"/>
        </w:tabs>
        <w:ind w:right="124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17">
      <w:pPr>
        <w:tabs>
          <w:tab w:val="left" w:pos="1540"/>
          <w:tab w:val="right" w:pos="10780"/>
        </w:tabs>
        <w:ind w:right="124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Fields list</w:t>
        <w:tab/>
        <w:t xml:space="preserve"> </w:t>
      </w: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18">
      <w:pPr>
        <w:tabs>
          <w:tab w:val="left" w:pos="1540"/>
          <w:tab w:val="right" w:pos="10780"/>
        </w:tabs>
        <w:ind w:right="124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Data transfer </w:t>
        <w:tab/>
      </w: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19">
      <w:pPr>
        <w:tabs>
          <w:tab w:val="left" w:pos="1980"/>
          <w:tab w:val="right" w:pos="10780"/>
          <w:tab w:val="right" w:pos="11000"/>
        </w:tabs>
        <w:ind w:left="1210" w:right="1240" w:firstLine="330"/>
        <w:rPr/>
      </w:pPr>
      <w:r w:rsidDel="00000000" w:rsidR="00000000" w:rsidRPr="00000000">
        <w:rPr>
          <w:rtl w:val="0"/>
        </w:rPr>
        <w:t xml:space="preserve">3.1</w:t>
        <w:tab/>
        <w:t xml:space="preserve">General guideline</w:t>
        <w:tab/>
        <w:t xml:space="preserve">4</w:t>
      </w:r>
    </w:p>
    <w:p w:rsidR="00000000" w:rsidDel="00000000" w:rsidP="00000000" w:rsidRDefault="00000000" w:rsidRPr="00000000" w14:paraId="0000001A">
      <w:pPr>
        <w:tabs>
          <w:tab w:val="left" w:pos="1980"/>
          <w:tab w:val="right" w:pos="10780"/>
          <w:tab w:val="right" w:pos="11000"/>
        </w:tabs>
        <w:ind w:left="1210" w:right="1240" w:firstLine="330"/>
        <w:rPr/>
      </w:pPr>
      <w:r w:rsidDel="00000000" w:rsidR="00000000" w:rsidRPr="00000000">
        <w:rPr>
          <w:rtl w:val="0"/>
        </w:rPr>
        <w:t xml:space="preserve">3.2</w:t>
        <w:tab/>
        <w:t xml:space="preserve">Testing environment</w:t>
        <w:tab/>
        <w:t xml:space="preserve">4</w:t>
      </w:r>
    </w:p>
    <w:p w:rsidR="00000000" w:rsidDel="00000000" w:rsidP="00000000" w:rsidRDefault="00000000" w:rsidRPr="00000000" w14:paraId="0000001B">
      <w:pPr>
        <w:tabs>
          <w:tab w:val="left" w:pos="1980"/>
          <w:tab w:val="right" w:pos="10780"/>
          <w:tab w:val="right" w:pos="11000"/>
        </w:tabs>
        <w:ind w:left="1210" w:right="1240" w:firstLine="330"/>
        <w:rPr/>
      </w:pPr>
      <w:r w:rsidDel="00000000" w:rsidR="00000000" w:rsidRPr="00000000">
        <w:rPr>
          <w:rtl w:val="0"/>
        </w:rPr>
        <w:t xml:space="preserve">3.3</w:t>
        <w:tab/>
        <w:t xml:space="preserve">Production environment</w:t>
        <w:tab/>
        <w:t xml:space="preserve">4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1242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1242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tabs>
          <w:tab w:val="right" w:pos="11000"/>
        </w:tabs>
        <w:ind w:right="1240"/>
        <w:jc w:val="both"/>
        <w:rPr/>
      </w:pPr>
      <w:r w:rsidDel="00000000" w:rsidR="00000000" w:rsidRPr="00000000">
        <w:rPr>
          <w:rtl w:val="0"/>
        </w:rPr>
        <w:t xml:space="preserve">This document will describe the list of the required fields for a contribution remittances data exchange. </w:t>
      </w:r>
    </w:p>
    <w:p w:rsidR="00000000" w:rsidDel="00000000" w:rsidP="00000000" w:rsidRDefault="00000000" w:rsidRPr="00000000" w14:paraId="00000020">
      <w:pPr>
        <w:tabs>
          <w:tab w:val="right" w:pos="11000"/>
        </w:tabs>
        <w:ind w:right="12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1000"/>
        </w:tabs>
        <w:ind w:right="1240"/>
        <w:jc w:val="both"/>
        <w:rPr/>
      </w:pPr>
      <w:r w:rsidDel="00000000" w:rsidR="00000000" w:rsidRPr="00000000">
        <w:rPr>
          <w:rtl w:val="0"/>
        </w:rPr>
        <w:t xml:space="preserve">CSV with Header – 1 line per Contribution type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1242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List of fields</w:t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2430"/>
        <w:gridCol w:w="3155"/>
        <w:gridCol w:w="800"/>
        <w:gridCol w:w="2260"/>
        <w:tblGridChange w:id="0">
          <w:tblGrid>
            <w:gridCol w:w="2430"/>
            <w:gridCol w:w="3155"/>
            <w:gridCol w:w="800"/>
            <w:gridCol w:w="2260"/>
          </w:tblGrid>
        </w:tblGridChange>
      </w:tblGrid>
      <w:tr>
        <w:trPr>
          <w:trHeight w:val="1017" w:hRule="atLeast"/>
        </w:trPr>
        <w:tc>
          <w:tcPr>
            <w:shd w:fill="deebf6" w:val="clear"/>
            <w:vAlign w:val="bottom"/>
          </w:tcPr>
          <w:p w:rsidR="00000000" w:rsidDel="00000000" w:rsidP="00000000" w:rsidRDefault="00000000" w:rsidRPr="00000000" w14:paraId="00000023">
            <w:pPr>
              <w:tabs>
                <w:tab w:val="right" w:pos="11000"/>
              </w:tabs>
              <w:ind w:right="25"/>
              <w:rPr>
                <w:b w:val="1"/>
                <w:color w:val="2f549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f5496"/>
                <w:sz w:val="18"/>
                <w:szCs w:val="18"/>
                <w:rtl w:val="0"/>
              </w:rPr>
              <w:t xml:space="preserve">Field description</w:t>
            </w:r>
          </w:p>
        </w:tc>
        <w:tc>
          <w:tcPr>
            <w:shd w:fill="deebf6" w:val="clear"/>
            <w:vAlign w:val="bottom"/>
          </w:tcPr>
          <w:p w:rsidR="00000000" w:rsidDel="00000000" w:rsidP="00000000" w:rsidRDefault="00000000" w:rsidRPr="00000000" w14:paraId="00000024">
            <w:pPr>
              <w:tabs>
                <w:tab w:val="right" w:pos="11000"/>
              </w:tabs>
              <w:ind w:right="25"/>
              <w:rPr>
                <w:b w:val="1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f5496"/>
                <w:sz w:val="20"/>
                <w:szCs w:val="20"/>
                <w:rtl w:val="0"/>
              </w:rPr>
              <w:t xml:space="preserve">Values / Comments</w:t>
            </w:r>
          </w:p>
        </w:tc>
        <w:tc>
          <w:tcPr>
            <w:shd w:fill="deebf6" w:val="clear"/>
            <w:vAlign w:val="bottom"/>
          </w:tcPr>
          <w:p w:rsidR="00000000" w:rsidDel="00000000" w:rsidP="00000000" w:rsidRDefault="00000000" w:rsidRPr="00000000" w14:paraId="00000025">
            <w:pPr>
              <w:tabs>
                <w:tab w:val="right" w:pos="11000"/>
              </w:tabs>
              <w:ind w:right="25"/>
              <w:jc w:val="center"/>
              <w:rPr>
                <w:b w:val="1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f5496"/>
                <w:sz w:val="20"/>
                <w:szCs w:val="20"/>
                <w:rtl w:val="0"/>
              </w:rPr>
              <w:t xml:space="preserve">required / optional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tabs>
                <w:tab w:val="right" w:pos="11000"/>
              </w:tabs>
              <w:ind w:right="25"/>
              <w:jc w:val="center"/>
              <w:rPr>
                <w:b w:val="1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f5496"/>
                <w:sz w:val="20"/>
                <w:szCs w:val="20"/>
                <w:rtl w:val="0"/>
              </w:rPr>
              <w:t xml:space="preserve">Mapping Notes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Employee’s Social Insurance Number (SIN)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eepssn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Contribution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Contribution deposit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prgpaydate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Contribution 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This amount could be negative or positive. It could contain decimals.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Sum (PdhEECurAmt) where eeddedcode = (ADDPNU, PNUN2, RRSPV, ADPEN, PENSE, ADPNN or PENSN)</w:t>
            </w:r>
          </w:p>
          <w:p w:rsidR="00000000" w:rsidDel="00000000" w:rsidP="00000000" w:rsidRDefault="00000000" w:rsidRPr="00000000" w14:paraId="00000033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4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Sum (PdhERCurAmt) where eeddedcode = (PENSU, PENRN, PENSR)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Contribution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This field will contain the information on the source of the contribution: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1000"/>
              </w:tabs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47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7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Employee’s regular contribution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1000"/>
              </w:tabs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47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7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Employee’s additional contribution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1000"/>
              </w:tabs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47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7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Employer’s regular contribution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IF eeddedcode = PNUN2, PENSE or  RRSP send Employee’s regular contribution</w:t>
            </w:r>
          </w:p>
          <w:p w:rsidR="00000000" w:rsidDel="00000000" w:rsidP="00000000" w:rsidRDefault="00000000" w:rsidRPr="00000000" w14:paraId="0000003C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IF eeddedcode = ADDPNU, ADPEN or ADPNN send Employee’s additional contribution</w:t>
            </w:r>
          </w:p>
          <w:p w:rsidR="00000000" w:rsidDel="00000000" w:rsidP="00000000" w:rsidRDefault="00000000" w:rsidRPr="00000000" w14:paraId="0000003E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IF eeddedcode = PENSU, PENRN or PENSR send Employer’s regular contribution </w:t>
            </w:r>
          </w:p>
          <w:p w:rsidR="00000000" w:rsidDel="00000000" w:rsidP="00000000" w:rsidRDefault="00000000" w:rsidRPr="00000000" w14:paraId="00000040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Beginning of pay period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PrgPeriodStartDate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End of pay period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PrgPeriodEndDate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Employee’s last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Eepnamelast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Employee’s first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Eepnamefirst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Plan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Information on the plan should permit to determine the applicable division and class.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EECUDFIELD01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Plan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Information on the plan should permit to determine the applicable division and class.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EECUDFIELD13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Spousal contribution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This field contains information on spousal contributions (if applicable).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2200"/>
                <w:tab w:val="right" w:pos="11000"/>
              </w:tabs>
              <w:ind w:right="83"/>
              <w:rPr>
                <w:color w:val="464746"/>
                <w:sz w:val="18"/>
                <w:szCs w:val="18"/>
              </w:rPr>
            </w:pPr>
            <w:r w:rsidDel="00000000" w:rsidR="00000000" w:rsidRPr="00000000">
              <w:rPr>
                <w:color w:val="464746"/>
                <w:sz w:val="18"/>
                <w:szCs w:val="18"/>
                <w:rtl w:val="0"/>
              </w:rPr>
              <w:t xml:space="preserve">Spousal contribution proportion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right" w:pos="11000"/>
              </w:tabs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This field contains the contribution proportion to be allocated to the spousal account.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right" w:pos="11000"/>
              </w:tabs>
              <w:jc w:val="center"/>
              <w:rPr>
                <w:color w:val="464746"/>
                <w:sz w:val="20"/>
                <w:szCs w:val="20"/>
              </w:rPr>
            </w:pPr>
            <w:r w:rsidDel="00000000" w:rsidR="00000000" w:rsidRPr="00000000">
              <w:rPr>
                <w:color w:val="464746"/>
                <w:sz w:val="20"/>
                <w:szCs w:val="20"/>
                <w:rtl w:val="0"/>
              </w:rPr>
              <w:t xml:space="preserve">Leave blank</w:t>
            </w:r>
          </w:p>
        </w:tc>
      </w:tr>
    </w:tbl>
    <w:p w:rsidR="00000000" w:rsidDel="00000000" w:rsidP="00000000" w:rsidRDefault="00000000" w:rsidRPr="00000000" w14:paraId="00000061">
      <w:pPr>
        <w:ind w:left="360" w:firstLine="0"/>
        <w:rPr>
          <w:rFonts w:ascii="Yu Gothic" w:cs="Yu Gothic" w:eastAsia="Yu Gothic" w:hAnsi="Yu Gothic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rFonts w:ascii="Yu Gothic" w:cs="Yu Gothic" w:eastAsia="Yu Gothic" w:hAnsi="Yu Gothic"/>
          <w:b w:val="1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b w:val="1"/>
          <w:sz w:val="21"/>
          <w:szCs w:val="21"/>
          <w:rtl w:val="0"/>
        </w:rPr>
        <w:t xml:space="preserve">Pension Deduction Codes: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ADDPNU                     Add’l Pension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PNUN2                        Pension EE2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RRSPV                         RRSP Voluntary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ADPEN                        Add’l Pension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PENSE                        Pension – EE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ADPNN                        Add’l Pension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befor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PENSN                        Pension – 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PENSU                        Pension – Emplr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PENRN                        Pension – Emplr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360" w:firstLine="0"/>
        <w:rPr>
          <w:rFonts w:ascii="Yu Gothic" w:cs="Yu Gothic" w:eastAsia="Yu Gothic" w:hAnsi="Yu Gothic"/>
          <w:sz w:val="21"/>
          <w:szCs w:val="21"/>
        </w:rPr>
      </w:pPr>
      <w:r w:rsidDel="00000000" w:rsidR="00000000" w:rsidRPr="00000000">
        <w:rPr>
          <w:rFonts w:ascii="Yu Gothic" w:cs="Yu Gothic" w:eastAsia="Yu Gothic" w:hAnsi="Yu Gothic"/>
          <w:sz w:val="21"/>
          <w:szCs w:val="21"/>
          <w:rtl w:val="0"/>
        </w:rPr>
        <w:t xml:space="preserve">PENSR                        Pension - Emplr</w:t>
      </w:r>
    </w:p>
    <w:p w:rsidR="00000000" w:rsidDel="00000000" w:rsidP="00000000" w:rsidRDefault="00000000" w:rsidRPr="00000000" w14:paraId="0000006D">
      <w:pPr>
        <w:tabs>
          <w:tab w:val="right" w:pos="11000"/>
        </w:tabs>
        <w:ind w:left="1210" w:right="1240" w:firstLine="0"/>
        <w:rPr/>
        <w:sectPr>
          <w:headerReference r:id="rId12" w:type="first"/>
          <w:footerReference r:id="rId13" w:type="default"/>
          <w:type w:val="nextPage"/>
          <w:pgSz w:h="15840" w:w="12240"/>
          <w:pgMar w:bottom="993" w:top="1440" w:left="1800" w:right="1800" w:header="709" w:footer="284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11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11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1242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Data transfer</w:t>
      </w:r>
    </w:p>
    <w:p w:rsidR="00000000" w:rsidDel="00000000" w:rsidP="00000000" w:rsidRDefault="00000000" w:rsidRPr="00000000" w14:paraId="00000071">
      <w:pPr>
        <w:tabs>
          <w:tab w:val="left" w:pos="2200"/>
          <w:tab w:val="right" w:pos="11000"/>
        </w:tabs>
        <w:ind w:right="1240"/>
        <w:jc w:val="both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rtl w:val="0"/>
        </w:rPr>
        <w:t xml:space="preserve">3.1 </w:t>
      </w:r>
      <w:r w:rsidDel="00000000" w:rsidR="00000000" w:rsidRPr="00000000">
        <w:rPr>
          <w:b w:val="1"/>
          <w:color w:val="2f5496"/>
          <w:rtl w:val="0"/>
        </w:rPr>
        <w:t xml:space="preserve">General guideline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pos="11000"/>
        </w:tabs>
        <w:ind w:left="709" w:right="1020" w:firstLine="0"/>
        <w:rPr/>
      </w:pPr>
      <w:r w:rsidDel="00000000" w:rsidR="00000000" w:rsidRPr="00000000">
        <w:rPr>
          <w:rtl w:val="0"/>
        </w:rPr>
        <w:t xml:space="preserve">iA Financial Group’s Secure Portal supports the standard FTP, SFTP, and FTPS file transfer protocols. </w:t>
      </w:r>
    </w:p>
    <w:p w:rsidR="00000000" w:rsidDel="00000000" w:rsidP="00000000" w:rsidRDefault="00000000" w:rsidRPr="00000000" w14:paraId="00000073">
      <w:pPr>
        <w:tabs>
          <w:tab w:val="right" w:pos="11000"/>
        </w:tabs>
        <w:ind w:left="709" w:right="1020" w:firstLine="0"/>
        <w:rPr/>
      </w:pPr>
      <w:r w:rsidDel="00000000" w:rsidR="00000000" w:rsidRPr="00000000">
        <w:rPr>
          <w:rtl w:val="0"/>
        </w:rPr>
        <w:t xml:space="preserve">We recommend that you use SFTP rather than FTP.</w:t>
      </w:r>
    </w:p>
    <w:p w:rsidR="00000000" w:rsidDel="00000000" w:rsidP="00000000" w:rsidRDefault="00000000" w:rsidRPr="00000000" w14:paraId="00000074">
      <w:pPr>
        <w:tabs>
          <w:tab w:val="right" w:pos="11000"/>
        </w:tabs>
        <w:ind w:right="12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2200"/>
          <w:tab w:val="right" w:pos="11000"/>
        </w:tabs>
        <w:ind w:right="124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rtl w:val="0"/>
        </w:rPr>
        <w:t xml:space="preserve">3.2 </w:t>
      </w:r>
      <w:r w:rsidDel="00000000" w:rsidR="00000000" w:rsidRPr="00000000">
        <w:rPr>
          <w:b w:val="1"/>
          <w:color w:val="2f5496"/>
          <w:rtl w:val="0"/>
        </w:rPr>
        <w:t xml:space="preserve">Testing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9" w:right="102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Server: </w:t>
      </w:r>
      <w:hyperlink r:id="rId14">
        <w:r w:rsidDel="00000000" w:rsidR="00000000" w:rsidRPr="00000000">
          <w:rPr>
            <w:rtl w:val="0"/>
          </w:rPr>
          <w:t xml:space="preserve">fs41.inalco.com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09" w:right="102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login, password and directory will be provided by xConnect team.</w:t>
      </w:r>
    </w:p>
    <w:p w:rsidR="00000000" w:rsidDel="00000000" w:rsidP="00000000" w:rsidRDefault="00000000" w:rsidRPr="00000000" w14:paraId="00000078">
      <w:pPr>
        <w:ind w:left="709" w:right="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1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2200"/>
          <w:tab w:val="right" w:pos="11000"/>
        </w:tabs>
        <w:ind w:right="124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rtl w:val="0"/>
        </w:rPr>
        <w:t xml:space="preserve">3.3 </w:t>
      </w:r>
      <w:r w:rsidDel="00000000" w:rsidR="00000000" w:rsidRPr="00000000">
        <w:rPr>
          <w:b w:val="1"/>
          <w:color w:val="2f5496"/>
          <w:rtl w:val="0"/>
        </w:rPr>
        <w:t xml:space="preserve">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9" w:right="1021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Server: </w:t>
      </w:r>
      <w:hyperlink r:id="rId15">
        <w:r w:rsidDel="00000000" w:rsidR="00000000" w:rsidRPr="00000000">
          <w:rPr>
            <w:rtl w:val="0"/>
          </w:rPr>
          <w:t xml:space="preserve">fs01.inalco.com</w:t>
        </w:r>
      </w:hyperlink>
      <w:r w:rsidDel="00000000" w:rsidR="00000000" w:rsidRPr="00000000">
        <w:rPr>
          <w:rtl w:val="0"/>
        </w:rPr>
        <w:t xml:space="preserve"> (OKIOK)</w:t>
      </w:r>
    </w:p>
    <w:p w:rsidR="00000000" w:rsidDel="00000000" w:rsidP="00000000" w:rsidRDefault="00000000" w:rsidRPr="00000000" w14:paraId="0000007C">
      <w:pPr>
        <w:ind w:left="709" w:right="102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login, password and directory will be provided by xConnect team.</w:t>
      </w:r>
    </w:p>
    <w:p w:rsidR="00000000" w:rsidDel="00000000" w:rsidP="00000000" w:rsidRDefault="00000000" w:rsidRPr="00000000" w14:paraId="0000007D">
      <w:pPr>
        <w:ind w:left="709" w:right="1021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9" w:right="1021" w:firstLine="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first"/>
      <w:type w:val="nextPage"/>
      <w:pgSz w:h="15840" w:w="12240"/>
      <w:pgMar w:bottom="1440" w:top="1440" w:left="1800" w:right="1800" w:header="709" w:footer="144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otham Book"/>
  <w:font w:name="Noto Sans Symbols"/>
  <w:font w:name="Yu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1061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spacing w:line="360" w:lineRule="auto"/>
      <w:jc w:val="center"/>
      <w:rPr>
        <w:rFonts w:ascii="Arial" w:cs="Arial" w:eastAsia="Arial" w:hAnsi="Arial"/>
        <w:color w:val="313231"/>
        <w:sz w:val="12"/>
        <w:szCs w:val="12"/>
      </w:rPr>
    </w:pPr>
    <w:r w:rsidDel="00000000" w:rsidR="00000000" w:rsidRPr="00000000">
      <w:rPr/>
      <w:drawing>
        <wp:inline distB="0" distT="0" distL="0" distR="0">
          <wp:extent cx="5486400" cy="749300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749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313231"/>
        <w:sz w:val="12"/>
        <w:szCs w:val="12"/>
        <w:rtl w:val="0"/>
      </w:rPr>
      <w:t xml:space="preserve">iA Financial Group is a business name and trademark of Industrial Alliance Insurance and Financial Services Inc.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spacing w:line="360" w:lineRule="auto"/>
      <w:jc w:val="center"/>
      <w:rPr>
        <w:rFonts w:ascii="Arial" w:cs="Arial" w:eastAsia="Arial" w:hAnsi="Arial"/>
        <w:color w:val="313231"/>
        <w:sz w:val="12"/>
        <w:szCs w:val="12"/>
      </w:rPr>
    </w:pPr>
    <w:r w:rsidDel="00000000" w:rsidR="00000000" w:rsidRPr="00000000">
      <w:rPr/>
      <w:drawing>
        <wp:inline distB="0" distT="0" distL="0" distR="0">
          <wp:extent cx="5486400" cy="749300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749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spacing w:line="360" w:lineRule="auto"/>
      <w:jc w:val="center"/>
      <w:rPr>
        <w:rFonts w:ascii="Arial" w:cs="Arial" w:eastAsia="Arial" w:hAnsi="Arial"/>
        <w:color w:val="313231"/>
        <w:sz w:val="12"/>
        <w:szCs w:val="12"/>
      </w:rPr>
    </w:pPr>
    <w:r w:rsidDel="00000000" w:rsidR="00000000" w:rsidRPr="00000000">
      <w:rPr>
        <w:rFonts w:ascii="Arial" w:cs="Arial" w:eastAsia="Arial" w:hAnsi="Arial"/>
        <w:color w:val="313231"/>
        <w:sz w:val="12"/>
        <w:szCs w:val="12"/>
        <w:rtl w:val="0"/>
      </w:rPr>
      <w:t xml:space="preserve">iA Financial Group is a business name and trademark of Industrial Alliance Insurance and Financial Services Inc.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709" w:right="-7" w:firstLine="0"/>
      <w:jc w:val="center"/>
      <w:rPr>
        <w:rFonts w:ascii="Gotham Book" w:cs="Gotham Book" w:eastAsia="Gotham Book" w:hAnsi="Gotham Book"/>
        <w:b w:val="0"/>
        <w:i w:val="0"/>
        <w:smallCaps w:val="0"/>
        <w:strike w:val="0"/>
        <w:color w:val="46474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86400" cy="749300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749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-520699</wp:posOffset>
              </wp:positionV>
              <wp:extent cx="6400800" cy="127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45600" y="3779365"/>
                        <a:ext cx="6400800" cy="1270"/>
                        <a:chOff x="2145600" y="3779365"/>
                        <a:chExt cx="6400800" cy="1270"/>
                      </a:xfrm>
                    </wpg:grpSpPr>
                    <wpg:grpSp>
                      <wpg:cNvGrpSpPr/>
                      <wpg:grpSpPr>
                        <a:xfrm>
                          <a:off x="2145600" y="3779365"/>
                          <a:ext cx="6400800" cy="1270"/>
                          <a:chOff x="1080" y="-159"/>
                          <a:chExt cx="10080" cy="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080" y="-159"/>
                            <a:ext cx="1007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80" y="-159"/>
                            <a:ext cx="10080" cy="2"/>
                          </a:xfrm>
                          <a:custGeom>
                            <a:rect b="b" l="l" r="r" t="t"/>
                            <a:pathLst>
                              <a:path extrusionOk="0" h="120000"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BCBEC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-520699</wp:posOffset>
              </wp:positionV>
              <wp:extent cx="6400800" cy="127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6692900</wp:posOffset>
              </wp:positionH>
              <wp:positionV relativeFrom="paragraph">
                <wp:posOffset>-386079</wp:posOffset>
              </wp:positionV>
              <wp:extent cx="568325" cy="314960"/>
              <wp:effectExtent b="0" l="0" r="0" t="0"/>
              <wp:wrapSquare wrapText="bothSides" distB="45720" distT="4572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66600" y="3627283"/>
                        <a:ext cx="558800" cy="305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4f9b"/>
                              <w:sz w:val="22"/>
                              <w:vertAlign w:val="baseline"/>
                            </w:rPr>
                            <w:t xml:space="preserve">ia.ca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6692900</wp:posOffset>
              </wp:positionH>
              <wp:positionV relativeFrom="paragraph">
                <wp:posOffset>-386079</wp:posOffset>
              </wp:positionV>
              <wp:extent cx="568325" cy="314960"/>
              <wp:effectExtent b="0" l="0" r="0" t="0"/>
              <wp:wrapSquare wrapText="bothSides" distB="45720" distT="4572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32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A">
    <w:pPr>
      <w:spacing w:line="360" w:lineRule="auto"/>
      <w:jc w:val="center"/>
      <w:rPr>
        <w:rFonts w:ascii="Arial" w:cs="Arial" w:eastAsia="Arial" w:hAnsi="Arial"/>
        <w:color w:val="313231"/>
        <w:sz w:val="12"/>
        <w:szCs w:val="12"/>
      </w:rPr>
    </w:pPr>
    <w:r w:rsidDel="00000000" w:rsidR="00000000" w:rsidRPr="00000000">
      <w:rPr>
        <w:rFonts w:ascii="Arial" w:cs="Arial" w:eastAsia="Arial" w:hAnsi="Arial"/>
        <w:color w:val="313231"/>
        <w:sz w:val="12"/>
        <w:szCs w:val="12"/>
        <w:rtl w:val="0"/>
      </w:rPr>
      <w:t xml:space="preserve">iA Financial Group is a business name and trademark of Industrial Alliance Insurance and Financial Services Inc.</w:t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-523874</wp:posOffset>
          </wp:positionH>
          <wp:positionV relativeFrom="paragraph">
            <wp:posOffset>-162559</wp:posOffset>
          </wp:positionV>
          <wp:extent cx="864000" cy="468000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4000" cy="468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-323849</wp:posOffset>
          </wp:positionH>
          <wp:positionV relativeFrom="paragraph">
            <wp:posOffset>-19684</wp:posOffset>
          </wp:positionV>
          <wp:extent cx="864000" cy="46800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4000" cy="468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1000"/>
      </w:tabs>
      <w:ind w:left="1210" w:right="1240"/>
    </w:pPr>
    <w:rPr>
      <w:rFonts w:ascii="Gotham Book" w:cs="Gotham Book" w:eastAsia="Gotham Book" w:hAnsi="Gotham Book"/>
      <w:b w:val="1"/>
      <w:color w:val="004f9b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2200"/>
        <w:tab w:val="right" w:pos="11000"/>
      </w:tabs>
      <w:spacing w:after="0" w:line="240" w:lineRule="auto"/>
    </w:pPr>
    <w:rPr>
      <w:b w:val="1"/>
      <w:color w:val="2f5496"/>
      <w:sz w:val="18"/>
      <w:szCs w:val="18"/>
    </w:rPr>
  </w:style>
  <w:style w:type="paragraph" w:styleId="Heading3">
    <w:name w:val="heading 3"/>
    <w:basedOn w:val="Normal"/>
    <w:next w:val="Normal"/>
    <w:pPr>
      <w:keepNext w:val="1"/>
      <w:tabs>
        <w:tab w:val="left" w:pos="2200"/>
        <w:tab w:val="right" w:pos="11000"/>
      </w:tabs>
      <w:spacing w:after="0" w:line="240" w:lineRule="auto"/>
      <w:ind w:right="1240"/>
    </w:pPr>
    <w:rPr>
      <w:b w:val="1"/>
      <w:color w:val="2f5496"/>
      <w:sz w:val="18"/>
      <w:szCs w:val="18"/>
    </w:rPr>
  </w:style>
  <w:style w:type="paragraph" w:styleId="Heading4">
    <w:name w:val="heading 4"/>
    <w:basedOn w:val="Normal"/>
    <w:next w:val="Normal"/>
    <w:pPr>
      <w:keepNext w:val="1"/>
      <w:tabs>
        <w:tab w:val="right" w:pos="11000"/>
      </w:tabs>
      <w:ind w:right="1240"/>
      <w:jc w:val="both"/>
    </w:pPr>
    <w:rPr>
      <w:color w:val="2f5496"/>
      <w:sz w:val="28"/>
      <w:szCs w:val="28"/>
    </w:rPr>
  </w:style>
  <w:style w:type="paragraph" w:styleId="Heading5">
    <w:name w:val="heading 5"/>
    <w:basedOn w:val="Normal"/>
    <w:next w:val="Normal"/>
    <w:pPr>
      <w:keepNext w:val="1"/>
      <w:tabs>
        <w:tab w:val="left" w:pos="3630"/>
        <w:tab w:val="right" w:pos="11000"/>
      </w:tabs>
      <w:spacing w:after="360" w:lineRule="auto"/>
      <w:ind w:right="1242"/>
    </w:pPr>
    <w:rPr>
      <w:b w:val="1"/>
      <w:color w:val="004f9b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right" w:pos="11000"/>
      </w:tabs>
      <w:spacing w:after="0" w:line="240" w:lineRule="auto"/>
      <w:ind w:right="13"/>
    </w:pPr>
    <w:rPr>
      <w:b w:val="1"/>
      <w:color w:val="2f549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fs01.inalco.com/" TargetMode="External"/><Relationship Id="rId14" Type="http://schemas.openxmlformats.org/officeDocument/2006/relationships/hyperlink" Target="https://fs41.inalco.com/" TargetMode="External"/><Relationship Id="rId17" Type="http://schemas.openxmlformats.org/officeDocument/2006/relationships/footer" Target="footer4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