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 Interface Requirements Specification</w:t>
      </w:r>
    </w:p>
    <w:p w:rsidR="00000000" w:rsidDel="00000000" w:rsidP="00000000" w:rsidRDefault="00000000" w:rsidRPr="00000000" w14:paraId="00000006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Maxor National Pharmacy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Dessa Von Glahn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DVonGlahn@maxor.com</w:t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Matt Rude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Matt.Rude@healthefx.us</w:t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04/28/2020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3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4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Health EFX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p w:rsidR="00000000" w:rsidDel="00000000" w:rsidP="00000000" w:rsidRDefault="00000000" w:rsidRPr="00000000" w14:paraId="00000052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Medical</w:t>
        <w:tab/>
        <w:tab/>
        <w:t xml:space="preserve">MEDBC and I5</w:t>
        <w:tab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UltiPro, </w:t>
      </w:r>
      <w:r w:rsidDel="00000000" w:rsidR="00000000" w:rsidRPr="00000000">
        <w:rPr>
          <w:color w:val="000000"/>
          <w:sz w:val="20"/>
          <w:szCs w:val="20"/>
          <w:highlight w:val="yellow"/>
          <w:rtl w:val="0"/>
        </w:rPr>
        <w:t xml:space="preserve">but no future term 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7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DCH, DPC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5F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0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1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Pipe delimited text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File will run monthly to report the prior month’s data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6B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highlight w:val="yellow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highlight w:val="yellow"/>
          <w:rtl w:val="0"/>
        </w:rPr>
        <w:t xml:space="preserve">No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highlight w:val="yellow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highlight w:val="yellow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75">
      <w:pPr>
        <w:ind w:left="720" w:firstLine="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04/28/2020</w:t>
    </w:r>
  </w:p>
  <w:p w:rsidR="00000000" w:rsidDel="00000000" w:rsidP="00000000" w:rsidRDefault="00000000" w:rsidRPr="00000000" w14:paraId="00000082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7C">
          <w:pPr>
            <w:pStyle w:val="Heading1"/>
            <w:tabs>
              <w:tab w:val="center" w:pos="4320"/>
              <w:tab w:val="right" w:pos="8640"/>
            </w:tabs>
            <w:jc w:val="right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Maxor National Pharmacy</w:t>
          </w:r>
        </w:p>
        <w:p w:rsidR="00000000" w:rsidDel="00000000" w:rsidP="00000000" w:rsidRDefault="00000000" w:rsidRPr="00000000" w14:paraId="0000007D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none"/>
                <w:rtl w:val="0"/>
              </w:rPr>
              <w:t xml:space="preserve">Maxor Ntl Pharm - TekP-2020-03-26-0002 - Health EFX_Benefits/Dep file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E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F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4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