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Aetna Medical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NYSARC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Melisa Diaz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melisa.diaz@ahrcnyc.org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Stephanie Moreno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747678"/>
                <w:sz w:val="20"/>
                <w:szCs w:val="20"/>
                <w:highlight w:val="white"/>
                <w:rtl w:val="0"/>
              </w:rPr>
              <w:t xml:space="preserve">morenos@aetna.com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4389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715"/>
        <w:gridCol w:w="1370"/>
        <w:gridCol w:w="1267"/>
        <w:gridCol w:w="3158"/>
        <w:gridCol w:w="3158"/>
        <w:gridCol w:w="2361"/>
        <w:gridCol w:w="2361"/>
        <w:tblGridChange w:id="0">
          <w:tblGrid>
            <w:gridCol w:w="715"/>
            <w:gridCol w:w="1370"/>
            <w:gridCol w:w="1267"/>
            <w:gridCol w:w="3158"/>
            <w:gridCol w:w="3158"/>
            <w:gridCol w:w="2361"/>
            <w:gridCol w:w="2361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10/01/2021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834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 Row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Trailer Row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SECUREFTP.X12UNZ.NYSARC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Nightly maintenance window: 2-5am EST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Run On-Demand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Scheduled to run: Weekly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*Open Enrollment files are always run On-Demand, even if other files are Scheduled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1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 for Summary/ Transmission Emails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Global Formats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34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890"/>
              <w:gridCol w:w="8458"/>
              <w:tblGridChange w:id="0">
                <w:tblGrid>
                  <w:gridCol w:w="1890"/>
                  <w:gridCol w:w="84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Dates:</w:t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Standard 834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Phone Numbers: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Zip Code: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Amount Fields:</w:t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Any Others:</w:t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Formatting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Special characters required (UTF-8 formatting)?</w:t>
              <w:br w:type="textWrapping"/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Yes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51" w:hRule="atLeast"/>
          <w:tblHeader w:val="0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Company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Data Selector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8D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Health and Welfare Exports (Medical, Dental, and Vision)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Aetna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or Plan Number:</w:t>
        <w:tab/>
        <w:t xml:space="preserve">175372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7/1/2021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Employees with Active (or recently Terminated) Applicable Deduction Code(s)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Benefits in multiple component companies? </w:t>
        <w:tab/>
      </w:r>
    </w:p>
    <w:p w:rsidR="00000000" w:rsidDel="00000000" w:rsidP="00000000" w:rsidRDefault="00000000" w:rsidRPr="00000000" w14:paraId="00000095">
      <w:pPr>
        <w:ind w:left="360" w:firstLine="0"/>
        <w:rPr>
          <w:color w:val="2e75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2e75b5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No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2e75b5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Yes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97">
      <w:pPr>
        <w:ind w:left="360" w:firstLine="0"/>
        <w:rPr>
          <w:color w:val="2e75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2e75b5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No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2e75b5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Yes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list field and values to exclude or include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(whichever is a shorter list)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where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the applicable UltiPro Deduction Codes that apply:  </w:t>
      </w:r>
    </w:p>
    <w:tbl>
      <w:tblPr>
        <w:tblStyle w:val="Table8"/>
        <w:tblW w:w="4608.0" w:type="dxa"/>
        <w:jc w:val="left"/>
        <w:tblInd w:w="607.0" w:type="dxa"/>
        <w:tblBorders>
          <w:top w:color="92d050" w:space="0" w:sz="4" w:val="single"/>
          <w:left w:color="92d050" w:space="0" w:sz="4" w:val="single"/>
          <w:bottom w:color="92d050" w:space="0" w:sz="4" w:val="single"/>
          <w:right w:color="92d050" w:space="0" w:sz="4" w:val="single"/>
          <w:insideH w:color="92d050" w:space="0" w:sz="4" w:val="single"/>
          <w:insideV w:color="92d050" w:space="0" w:sz="4" w:val="single"/>
        </w:tblBorders>
        <w:tblLayout w:type="fixed"/>
        <w:tblLook w:val="0400"/>
      </w:tblPr>
      <w:tblGrid>
        <w:gridCol w:w="1908"/>
        <w:gridCol w:w="2700"/>
        <w:tblGridChange w:id="0">
          <w:tblGrid>
            <w:gridCol w:w="1908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Deduction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Benefit Plan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D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ATDLR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E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Aetna Medical DLR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ATEPA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0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Aetna Medical EPO &lt;$70K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ATEPZ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2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Aetna Medical EPO $70+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3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ATPOS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4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Aetna Medical POS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5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ATUN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6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Aetna Medical Union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the Relationship Code(s) that define:    </w:t>
      </w:r>
    </w:p>
    <w:p w:rsidR="00000000" w:rsidDel="00000000" w:rsidP="00000000" w:rsidRDefault="00000000" w:rsidRPr="00000000" w14:paraId="000000A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“Spouse” / "Domestic Partner" </w:t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SPS, DOM</w:t>
      </w: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9">
      <w:pPr>
        <w:ind w:left="360" w:firstLine="0"/>
        <w:rPr>
          <w:color w:val="7f7f7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“Children”</w:t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CHD, CHL, DPC or STC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do you currently administer COBRA?</w:t>
      </w:r>
    </w:p>
    <w:p w:rsidR="00000000" w:rsidDel="00000000" w:rsidP="00000000" w:rsidRDefault="00000000" w:rsidRPr="00000000" w14:paraId="000000AB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3rd Party Cobra Administrator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Enrollment Option:  Ultimate will build two Open Enrollment Sessions – one Active and one Passive.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AE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60" w:lineRule="auto"/>
        <w:ind w:left="3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B0">
      <w:pPr>
        <w:spacing w:before="6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</w:t>
      </w:r>
    </w:p>
    <w:p w:rsidR="00000000" w:rsidDel="00000000" w:rsidP="00000000" w:rsidRDefault="00000000" w:rsidRPr="00000000" w14:paraId="000000B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B3">
      <w:pPr>
        <w:pStyle w:val="Subtitle"/>
        <w:rPr/>
      </w:pPr>
      <w:r w:rsidDel="00000000" w:rsidR="00000000" w:rsidRPr="00000000">
        <w:rPr>
          <w:rtl w:val="0"/>
        </w:rPr>
        <w:t xml:space="preserve">Health and Welfare Exports (Medical, Dental, and Vision)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receive termination of coverage on this file: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Terminations sent one time only - based on the actual (audit) date entered into UltiPro.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07/01/2021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Benefit Change Effective Date Option: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Actual Benefit Coverage Start Date as keyed on the EMP and DEP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C4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Mincho"/>
  <w:font w:name="MS Gothic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10/1/2021 12:46 PM</w:t>
    </w:r>
  </w:p>
  <w:p w:rsidR="00000000" w:rsidDel="00000000" w:rsidP="00000000" w:rsidRDefault="00000000" w:rsidRPr="00000000" w14:paraId="000000D0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10/1/2021 12:47 PM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9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cantSplit w:val="0"/>
        <w:trHeight w:val="270" w:hRule="atLeast"/>
        <w:tblHeader w:val="0"/>
      </w:trPr>
      <w:tc>
        <w:tcPr/>
        <w:p w:rsidR="00000000" w:rsidDel="00000000" w:rsidP="00000000" w:rsidRDefault="00000000" w:rsidRPr="00000000" w14:paraId="000000C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NYSARC</w:t>
          </w:r>
        </w:p>
        <w:p w:rsidR="00000000" w:rsidDel="00000000" w:rsidP="00000000" w:rsidRDefault="00000000" w:rsidRPr="00000000" w14:paraId="000000CB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color w:val="26292c"/>
              <w:sz w:val="20"/>
              <w:szCs w:val="20"/>
              <w:rtl w:val="0"/>
            </w:rPr>
            <w:t xml:space="preserve">NYSARC Inc - TekP-2021-05-12-0001 - Aetna 834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D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