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 Newly Eligible and Qualified Beneficiaries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Redhorse Corporation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Amanda Lubisich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###-###-####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6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u w:val="single"/>
                  <w:shd w:fill="f7f7f7" w:val="clear"/>
                  <w:rtl w:val="0"/>
                </w:rPr>
                <w:t xml:space="preserve">amanda.lubisich@redhorsecorp.com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Discovery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36093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A">
      <w:pPr>
        <w:ind w:left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ind w:left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☒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 - where DedISCOBRACovered = 'Y'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1fob9te" w:id="2"/>
      <w:bookmarkEnd w:id="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3"/>
        <w:tblW w:w="5480.0" w:type="dxa"/>
        <w:jc w:val="left"/>
        <w:tblInd w:w="0.0" w:type="dxa"/>
        <w:tblLayout w:type="fixed"/>
        <w:tblLook w:val="0400"/>
      </w:tblPr>
      <w:tblGrid>
        <w:gridCol w:w="3880"/>
        <w:gridCol w:w="1600"/>
        <w:tblGridChange w:id="0">
          <w:tblGrid>
            <w:gridCol w:w="3880"/>
            <w:gridCol w:w="160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Discovery plan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 code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Dental DPPO 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DENH or DENHO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Dental DPPO 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DENL or DENLO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Medical 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EPO or EPOO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Medical High Deductible OAP HSA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HSAR or HSAO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Medical Low Deductible OAP HSA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HSARL or HSALC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Cigna Medical OAP PPO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OAP or OAPO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VSP 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VIS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Aetna Dental International DPPO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INTDE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Aetna Medical International PPO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INTME</w:t>
            </w:r>
          </w:p>
        </w:tc>
      </w:tr>
    </w:tbl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47">
      <w:pPr>
        <w:pStyle w:val="Subtitle"/>
        <w:rPr/>
      </w:pPr>
      <w:r w:rsidDel="00000000" w:rsidR="00000000" w:rsidRPr="00000000">
        <w:rPr>
          <w:rtl w:val="0"/>
        </w:rPr>
        <w:t xml:space="preserve">Newly Eligible/General Notices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Which newly eligible member option should we send on the file?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Anyone newly enrolled in any deduction is valid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new enrollees with no previous plan since their Date of Last Hire (eecDateOfLastHire)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new enrollees with no previous plan in all history.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All new enrollees &amp; re-enrollees with no active plan since their Date of Last Hire (eecDateOfLastHire). Re-enrollments into the same DedCode are considered under this option.  For example, the employee may have been enrolled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MED1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during his/her original employment and then was rehired at a later date and re-enrolled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MED1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. NewEnrolleeType = ‘4’ will consider this re-enrollment scenario as valid in the New Enrollee Module. 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Subtitle"/>
        <w:rPr/>
      </w:pPr>
      <w:r w:rsidDel="00000000" w:rsidR="00000000" w:rsidRPr="00000000">
        <w:rPr>
          <w:rtl w:val="0"/>
        </w:rPr>
        <w:t xml:space="preserve">Qualified Beneficiaries/Qualified Enrollees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 there life events where the vendor does not want the employee sent on the file?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Yes, please list them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edhChangeReason = 204, LEVNT4, 201 or LEVNT3 or EecTermReason  = 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54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MS Gothic" w:cs="MS Gothic" w:eastAsia="MS Gothic" w:hAnsi="MS Gothic"/>
          <w:rtl w:val="0"/>
        </w:rPr>
        <w:t xml:space="preserve">☐</w:t>
      </w:r>
      <w:r w:rsidDel="00000000" w:rsidR="00000000" w:rsidRPr="00000000">
        <w:rPr>
          <w:rtl w:val="0"/>
        </w:rPr>
        <w:tab/>
        <w:t xml:space="preserve">Sample file has been added to client folder.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Copy and paste any other info from the vendor’s email below that would be helpful to the QA or Developer.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  <w:font w:name="Source Sans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02/14/2020</w:t>
    </w:r>
  </w:p>
  <w:p w:rsidR="00000000" w:rsidDel="00000000" w:rsidP="00000000" w:rsidRDefault="00000000" w:rsidRPr="00000000" w14:paraId="00000067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5D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Redhorse Corp</w:t>
          </w:r>
        </w:p>
        <w:p w:rsidR="00000000" w:rsidDel="00000000" w:rsidP="00000000" w:rsidRDefault="00000000" w:rsidRPr="00000000" w14:paraId="0000005E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Redhorse  - TekP-01-08-2020-0002 -  Cobra Combined</w:t>
          </w:r>
        </w:p>
      </w:tc>
      <w:tc>
        <w:tcPr>
          <w:vAlign w:val="center"/>
        </w:tcPr>
        <w:p w:rsidR="00000000" w:rsidDel="00000000" w:rsidP="00000000" w:rsidRDefault="00000000" w:rsidRPr="00000000" w14:paraId="0000005F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60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amanda.lubisich@redhorsecorp.com?bcc=tekpartnersap2pcompany-a4f866%2Bdeal291%40pipedrivemail.com" TargetMode="Externa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SourceSansPro-boldItalic.ttf"/><Relationship Id="rId5" Type="http://schemas.openxmlformats.org/officeDocument/2006/relationships/font" Target="fonts/ArialBlack-regular.ttf"/><Relationship Id="rId6" Type="http://schemas.openxmlformats.org/officeDocument/2006/relationships/font" Target="fonts/SourceSansPro-regular.ttf"/><Relationship Id="rId7" Type="http://schemas.openxmlformats.org/officeDocument/2006/relationships/font" Target="fonts/SourceSansPro-bold.ttf"/><Relationship Id="rId8" Type="http://schemas.openxmlformats.org/officeDocument/2006/relationships/font" Target="fonts/SourceSansPr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