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COBRA Qualified Beneficiaries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Symplr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RaShanna Dickson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RDickson@symplr.com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Ameriflex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 - where DedISCOBRACovered = 'Y'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tbl>
      <w:tblPr>
        <w:tblStyle w:val="Table3"/>
        <w:tblW w:w="4860.0" w:type="dxa"/>
        <w:jc w:val="left"/>
        <w:tblInd w:w="565.0" w:type="dxa"/>
        <w:tblLayout w:type="fixed"/>
        <w:tblLook w:val="0400"/>
      </w:tblPr>
      <w:tblGrid>
        <w:gridCol w:w="3300"/>
        <w:gridCol w:w="1560"/>
        <w:tblGridChange w:id="0">
          <w:tblGrid>
            <w:gridCol w:w="3300"/>
            <w:gridCol w:w="1560"/>
          </w:tblGrid>
        </w:tblGridChange>
      </w:tblGrid>
      <w:tr>
        <w:trPr>
          <w:trHeight w:val="2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Ameriflex Plan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4"/>
                <w:szCs w:val="24"/>
                <w:rtl w:val="0"/>
              </w:rPr>
              <w:t xml:space="preserve">Ded code</w:t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Cigna HDHP 2800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MED1, MED1P</w:t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Cigna High DPPO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DEN1, DENC1</w:t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Cigna Low DPPO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DEN2, DENC2</w:t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Cigna PPO 1000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MED2</w:t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Cigna PPO 2000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MED3</w:t>
            </w:r>
          </w:p>
        </w:tc>
      </w:tr>
      <w:tr>
        <w:trPr>
          <w:trHeight w:val="29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Vision PPO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VIS, PVIS</w:t>
            </w:r>
          </w:p>
        </w:tc>
      </w:tr>
    </w:tbl>
    <w:p w:rsidR="00000000" w:rsidDel="00000000" w:rsidP="00000000" w:rsidRDefault="00000000" w:rsidRPr="00000000" w14:paraId="0000003C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/>
      </w:pPr>
      <w:r w:rsidDel="00000000" w:rsidR="00000000" w:rsidRPr="00000000">
        <w:rPr>
          <w:rtl w:val="0"/>
        </w:rPr>
        <w:t xml:space="preserve">Newly Eligible/General Notices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Which newly eligible member option should we send on the file?</w:t>
      </w:r>
    </w:p>
    <w:p w:rsidR="00000000" w:rsidDel="00000000" w:rsidP="00000000" w:rsidRDefault="00000000" w:rsidRPr="00000000" w14:paraId="0000003F">
      <w:pPr>
        <w:ind w:left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#4 - All new enrollees &amp; re-enrollees with no active plan since their Date of Last Hire (eecDateOfLastHire). Re-enrollments into the same DedCode are considered under this option.  For example, the employee may have been enrolled in </w:t>
      </w:r>
      <w:r w:rsidDel="00000000" w:rsidR="00000000" w:rsidRPr="00000000">
        <w:rPr>
          <w:b w:val="1"/>
          <w:highlight w:val="yellow"/>
          <w:rtl w:val="0"/>
        </w:rPr>
        <w:t xml:space="preserve">MED1 </w:t>
      </w:r>
      <w:r w:rsidDel="00000000" w:rsidR="00000000" w:rsidRPr="00000000">
        <w:rPr>
          <w:highlight w:val="yellow"/>
          <w:rtl w:val="0"/>
        </w:rPr>
        <w:t xml:space="preserve">during his/her original employment and then was rehired at a later date and re-enrolled in </w:t>
      </w:r>
      <w:r w:rsidDel="00000000" w:rsidR="00000000" w:rsidRPr="00000000">
        <w:rPr>
          <w:b w:val="1"/>
          <w:highlight w:val="yellow"/>
          <w:rtl w:val="0"/>
        </w:rPr>
        <w:t xml:space="preserve">MED1</w:t>
      </w:r>
      <w:r w:rsidDel="00000000" w:rsidR="00000000" w:rsidRPr="00000000">
        <w:rPr>
          <w:highlight w:val="yellow"/>
          <w:rtl w:val="0"/>
        </w:rPr>
        <w:t xml:space="preserve">. NewEnrolleeType = ‘4’ will consider this re-enrollment scenario as valid in the New Enrollee Module. 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rPr/>
      </w:pPr>
      <w:r w:rsidDel="00000000" w:rsidR="00000000" w:rsidRPr="00000000">
        <w:rPr>
          <w:rtl w:val="0"/>
        </w:rPr>
        <w:t xml:space="preserve">Qualified Beneficiaries/Qualified Enrollees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life events where the vendor does not want the employee sent on the file?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Yes, please list them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edhChangeReason = 204, LEVNT4, 201 or LEVNT3 or EecTermReason  = 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47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Sample file is on the last page of the layout.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4e79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Verdan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02/17/2020</w:t>
    </w:r>
  </w:p>
  <w:p w:rsidR="00000000" w:rsidDel="00000000" w:rsidP="00000000" w:rsidRDefault="00000000" w:rsidRPr="00000000" w14:paraId="00000059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4F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Symplr</w:t>
          </w:r>
        </w:p>
        <w:p w:rsidR="00000000" w:rsidDel="00000000" w:rsidP="00000000" w:rsidRDefault="00000000" w:rsidRPr="00000000" w14:paraId="0000005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Symplr-TekP-2019-11-1-0009-Ameriflex COBRA QB</w:t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