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HSA Payroll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Trinity River Authority of Texas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Claudine Rank-Belfield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color w:val="2f5496"/>
                <w:sz w:val="20"/>
                <w:szCs w:val="20"/>
                <w:rtl w:val="0"/>
              </w:rPr>
              <w:t xml:space="preserve">817-493-5174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rankc@trinityra.org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3666a"/>
                <w:sz w:val="18"/>
                <w:szCs w:val="18"/>
                <w:rtl w:val="0"/>
              </w:rPr>
              <w:t xml:space="preserve">Kerry Kanuho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63666a"/>
                <w:sz w:val="18"/>
                <w:szCs w:val="18"/>
                <w:rtl w:val="0"/>
              </w:rPr>
              <w:t xml:space="preserve">801-982-3377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18"/>
                  <w:szCs w:val="18"/>
                  <w:u w:val="single"/>
                  <w:rtl w:val="0"/>
                </w:rPr>
                <w:t xml:space="preserve">Kerry.Kanuho@optum.com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515-480-4262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365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520"/>
        <w:gridCol w:w="1260"/>
        <w:gridCol w:w="1710"/>
        <w:gridCol w:w="3220"/>
        <w:gridCol w:w="2205"/>
        <w:tblGridChange w:id="0">
          <w:tblGrid>
            <w:gridCol w:w="450"/>
            <w:gridCol w:w="1520"/>
            <w:gridCol w:w="1260"/>
            <w:gridCol w:w="1710"/>
            <w:gridCol w:w="3220"/>
            <w:gridCol w:w="2205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02/10/2020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    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Optum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</w:p>
    <w:p w:rsidR="00000000" w:rsidDel="00000000" w:rsidP="00000000" w:rsidRDefault="00000000" w:rsidRPr="00000000" w14:paraId="0000003E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kind of HSA Files would you like Ultimate Software to Create?</w:t>
      </w:r>
    </w:p>
    <w:tbl>
      <w:tblPr>
        <w:tblStyle w:val="Table5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852"/>
              </w:tabs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HSA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employees with a contribution amount to report on the pay date being 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 the applicable UltiPro Deduction/Earning Codes for each that apply:</w:t>
      </w:r>
    </w:p>
    <w:p w:rsidR="00000000" w:rsidDel="00000000" w:rsidP="00000000" w:rsidRDefault="00000000" w:rsidRPr="00000000" w14:paraId="0000004A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 - Description</w:t>
      </w:r>
    </w:p>
    <w:p w:rsidR="00000000" w:rsidDel="00000000" w:rsidP="00000000" w:rsidRDefault="00000000" w:rsidRPr="00000000" w14:paraId="0000004B">
      <w:pPr>
        <w:ind w:firstLine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HSAI</w:t>
        <w:tab/>
        <w:t xml:space="preserve">HSA Individual</w:t>
      </w:r>
    </w:p>
    <w:p w:rsidR="00000000" w:rsidDel="00000000" w:rsidP="00000000" w:rsidRDefault="00000000" w:rsidRPr="00000000" w14:paraId="0000004C">
      <w:pPr>
        <w:ind w:firstLine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HSAF</w:t>
        <w:tab/>
        <w:t xml:space="preserve">HSA Family</w:t>
      </w:r>
    </w:p>
    <w:p w:rsidR="00000000" w:rsidDel="00000000" w:rsidP="00000000" w:rsidRDefault="00000000" w:rsidRPr="00000000" w14:paraId="0000004D">
      <w:pPr>
        <w:ind w:firstLine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HSACF</w:t>
        <w:tab/>
        <w:t xml:space="preserve">HSA Catchup Family</w:t>
      </w:r>
    </w:p>
    <w:p w:rsidR="00000000" w:rsidDel="00000000" w:rsidP="00000000" w:rsidRDefault="00000000" w:rsidRPr="00000000" w14:paraId="0000004E">
      <w:pPr>
        <w:ind w:firstLine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HSACI</w:t>
        <w:tab/>
        <w:t xml:space="preserve">HSA Catchup Individual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CSV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All employees with contribution amounts to report</w:t>
      </w:r>
    </w:p>
    <w:sectPr>
      <w:headerReference r:id="rId7" w:type="default"/>
      <w:footerReference r:id="rId8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MS Gothic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02/10/2020</w:t>
    </w:r>
  </w:p>
  <w:p w:rsidR="00000000" w:rsidDel="00000000" w:rsidP="00000000" w:rsidRDefault="00000000" w:rsidRPr="00000000" w14:paraId="00000065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2/10/20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5F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Trinity River Authority of Texas</w:t>
          </w:r>
        </w:p>
        <w:p w:rsidR="00000000" w:rsidDel="00000000" w:rsidP="00000000" w:rsidRDefault="00000000" w:rsidRPr="00000000" w14:paraId="0000006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TRA - TekP-2019-12-03-002 - Optum_HSA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rry.Kanuho@optum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