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COBRA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UniCarriers Americas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Heather Quebbeman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815.568.3492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00"/>
                  <w:sz w:val="16"/>
                  <w:szCs w:val="16"/>
                  <w:u w:val="single"/>
                  <w:rtl w:val="0"/>
                </w:rPr>
                <w:t xml:space="preserve">hquebbeman@UniCarriersAmericas.com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Lea_king@ultimatesoftware.com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P&amp;A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Group or Plan Number: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ind w:firstLine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1633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A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highlight w:val="yellow"/>
          <w:rtl w:val="0"/>
        </w:rPr>
        <w:t xml:space="preserve">Do not exclude TES emptype for this one as we will need to test different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Employees Active on Applicable Deduction Code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Active Only Employees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Employees with YTD Earnings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UltiPro Deduction Code</w:t>
      </w:r>
    </w:p>
    <w:tbl>
      <w:tblPr>
        <w:tblStyle w:val="Table3"/>
        <w:tblW w:w="4900.0" w:type="dxa"/>
        <w:jc w:val="left"/>
        <w:tblInd w:w="0.0" w:type="dxa"/>
        <w:tblLayout w:type="fixed"/>
        <w:tblLook w:val="0400"/>
      </w:tblPr>
      <w:tblGrid>
        <w:gridCol w:w="1480"/>
        <w:gridCol w:w="3420"/>
        <w:tblGridChange w:id="0">
          <w:tblGrid>
            <w:gridCol w:w="1480"/>
            <w:gridCol w:w="3420"/>
          </w:tblGrid>
        </w:tblGridChange>
      </w:tblGrid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deddedcode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dedlongdesc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HSA Wellness Plus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HSA Improvement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HSA Non Wellness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PPO Wellness Improvement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PPO Wellness Plus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PPO Non Wellness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FSA Medical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Dental PPO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Vision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ind w:left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4E">
      <w:pPr>
        <w:pStyle w:val="Subtitle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EDI file must: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all fields enclosed with quotes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comma delimited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 a header record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 a trailer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following COBRA events are required:</w:t>
      </w:r>
    </w:p>
    <w:p w:rsidR="00000000" w:rsidDel="00000000" w:rsidP="00000000" w:rsidRDefault="00000000" w:rsidRPr="00000000" w14:paraId="000000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Initial/General Rights Events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HIRE – when a new employee is enrolling in benefits for the first time.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MEMBER – when a current employee has elected COBRA-eligible benefits for the first time or for the addition of new child or spouse that have elected COBRA-eligible benefits.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Qualifying Events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CEASE-A – when a child turns age 26 and is no longer eligible for COBRA.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DEATH – when the employee has the event of death and there are dependents with COBRA coverage to be offered COBRA.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DIVORCE – when there is a divorce and the spouse is being taken off the COBRA coverage.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– for an employee involuntary or voluntary termination.</w:t>
      </w:r>
    </w:p>
    <w:p w:rsidR="00000000" w:rsidDel="00000000" w:rsidP="00000000" w:rsidRDefault="00000000" w:rsidRPr="00000000" w14:paraId="00000061">
      <w:pPr>
        <w:rPr>
          <w:color w:val="1f4e79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MS Gothic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10/25/2019</w:t>
    </w:r>
  </w:p>
  <w:p w:rsidR="00000000" w:rsidDel="00000000" w:rsidP="00000000" w:rsidRDefault="00000000" w:rsidRPr="00000000" w14:paraId="0000006D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63">
          <w:pPr>
            <w:pStyle w:val="Heading1"/>
            <w:tabs>
              <w:tab w:val="center" w:pos="4320"/>
              <w:tab w:val="right" w:pos="8640"/>
            </w:tabs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UniCarriers Americas</w:t>
          </w:r>
        </w:p>
        <w:p w:rsidR="00000000" w:rsidDel="00000000" w:rsidP="00000000" w:rsidRDefault="00000000" w:rsidRPr="00000000" w14:paraId="00000064">
          <w:pPr>
            <w:pStyle w:val="Heading1"/>
            <w:tabs>
              <w:tab w:val="center" w:pos="4320"/>
              <w:tab w:val="right" w:pos="8640"/>
            </w:tabs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TekP-2019-10-18-0004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6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il.p2pnation.com/owa/redir.aspx?C=Vexxfc1xDF-WEkK07a6lNdIQ9GA-YO1T_WjRYQIPVuHNPo19-lfXCA..&amp;URL=mailto%3ahquebbeman%40UniCarriersAmericas.com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